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5264BB" w:rsidRPr="008268C5" w:rsidTr="00C2474E">
        <w:trPr>
          <w:cantSplit/>
          <w:trHeight w:hRule="exact" w:val="851"/>
        </w:trPr>
        <w:tc>
          <w:tcPr>
            <w:tcW w:w="1276" w:type="dxa"/>
            <w:tcBorders>
              <w:bottom w:val="single" w:sz="4" w:space="0" w:color="auto"/>
            </w:tcBorders>
            <w:shd w:val="clear" w:color="auto" w:fill="auto"/>
            <w:vAlign w:val="bottom"/>
          </w:tcPr>
          <w:p w:rsidR="005264BB" w:rsidRPr="008268C5" w:rsidRDefault="005264BB" w:rsidP="00C2474E">
            <w:pPr>
              <w:spacing w:after="80"/>
            </w:pPr>
          </w:p>
        </w:tc>
        <w:tc>
          <w:tcPr>
            <w:tcW w:w="2268" w:type="dxa"/>
            <w:tcBorders>
              <w:bottom w:val="single" w:sz="4" w:space="0" w:color="auto"/>
            </w:tcBorders>
            <w:shd w:val="clear" w:color="auto" w:fill="auto"/>
            <w:vAlign w:val="bottom"/>
          </w:tcPr>
          <w:p w:rsidR="005264BB" w:rsidRPr="008268C5" w:rsidRDefault="005264BB" w:rsidP="00C2474E">
            <w:pPr>
              <w:spacing w:after="80" w:line="300" w:lineRule="exact"/>
              <w:rPr>
                <w:b/>
                <w:sz w:val="24"/>
                <w:szCs w:val="24"/>
              </w:rPr>
            </w:pPr>
          </w:p>
        </w:tc>
        <w:tc>
          <w:tcPr>
            <w:tcW w:w="6095" w:type="dxa"/>
            <w:tcBorders>
              <w:bottom w:val="single" w:sz="4" w:space="0" w:color="auto"/>
            </w:tcBorders>
            <w:shd w:val="clear" w:color="auto" w:fill="auto"/>
            <w:vAlign w:val="bottom"/>
          </w:tcPr>
          <w:p w:rsidR="005264BB" w:rsidRPr="008268C5" w:rsidRDefault="005264BB" w:rsidP="00C2474E">
            <w:pPr>
              <w:suppressAutoHyphens w:val="0"/>
              <w:spacing w:after="20"/>
              <w:jc w:val="right"/>
              <w:rPr>
                <w:b/>
                <w:sz w:val="28"/>
                <w:szCs w:val="28"/>
              </w:rPr>
            </w:pPr>
            <w:r w:rsidRPr="008268C5">
              <w:rPr>
                <w:b/>
                <w:sz w:val="28"/>
                <w:szCs w:val="28"/>
              </w:rPr>
              <w:t>INF.</w:t>
            </w:r>
            <w:r>
              <w:rPr>
                <w:b/>
                <w:sz w:val="28"/>
                <w:szCs w:val="28"/>
              </w:rPr>
              <w:t>21/Add.1E</w:t>
            </w:r>
          </w:p>
        </w:tc>
      </w:tr>
    </w:tbl>
    <w:p w:rsidR="005264BB" w:rsidRPr="008268C5" w:rsidRDefault="005264BB" w:rsidP="005264BB">
      <w:pPr>
        <w:spacing w:before="120"/>
        <w:rPr>
          <w:b/>
          <w:sz w:val="28"/>
          <w:szCs w:val="28"/>
        </w:rPr>
      </w:pPr>
      <w:r w:rsidRPr="008268C5">
        <w:rPr>
          <w:b/>
          <w:sz w:val="28"/>
          <w:szCs w:val="28"/>
        </w:rPr>
        <w:t>Economic Commission for Europe</w:t>
      </w:r>
    </w:p>
    <w:p w:rsidR="005264BB" w:rsidRPr="008268C5" w:rsidRDefault="005264BB" w:rsidP="005264BB">
      <w:pPr>
        <w:spacing w:before="120"/>
        <w:rPr>
          <w:sz w:val="28"/>
          <w:szCs w:val="28"/>
        </w:rPr>
      </w:pPr>
      <w:r w:rsidRPr="008268C5">
        <w:rPr>
          <w:sz w:val="28"/>
          <w:szCs w:val="28"/>
        </w:rPr>
        <w:t>Inland Transport Committee</w:t>
      </w:r>
    </w:p>
    <w:p w:rsidR="005264BB" w:rsidRPr="008268C5" w:rsidRDefault="005264BB" w:rsidP="005264BB">
      <w:pPr>
        <w:spacing w:before="120"/>
        <w:rPr>
          <w:b/>
          <w:sz w:val="24"/>
          <w:szCs w:val="24"/>
        </w:rPr>
      </w:pPr>
      <w:r w:rsidRPr="008268C5">
        <w:rPr>
          <w:b/>
          <w:sz w:val="24"/>
          <w:szCs w:val="24"/>
        </w:rPr>
        <w:t>Working Party on the Transport of Dangerous Goods</w:t>
      </w:r>
    </w:p>
    <w:p w:rsidR="005264BB" w:rsidRPr="008268C5" w:rsidRDefault="005264BB" w:rsidP="005264BB">
      <w:pPr>
        <w:spacing w:before="120"/>
        <w:rPr>
          <w:b/>
        </w:rPr>
      </w:pPr>
      <w:r>
        <w:rPr>
          <w:b/>
        </w:rPr>
        <w:t>105</w:t>
      </w:r>
      <w:r w:rsidRPr="00963ABB">
        <w:rPr>
          <w:b/>
          <w:vertAlign w:val="superscript"/>
        </w:rPr>
        <w:t>th</w:t>
      </w:r>
      <w:r>
        <w:rPr>
          <w:b/>
        </w:rPr>
        <w:t xml:space="preserve"> session</w:t>
      </w:r>
      <w:r>
        <w:rPr>
          <w:b/>
        </w:rPr>
        <w:tab/>
      </w:r>
      <w:r>
        <w:rPr>
          <w:b/>
        </w:rPr>
        <w:tab/>
      </w:r>
      <w:r>
        <w:rPr>
          <w:b/>
        </w:rPr>
        <w:tab/>
      </w:r>
      <w:r>
        <w:rPr>
          <w:b/>
        </w:rPr>
        <w:tab/>
      </w:r>
      <w:r>
        <w:rPr>
          <w:b/>
        </w:rPr>
        <w:tab/>
      </w:r>
      <w:r>
        <w:rPr>
          <w:b/>
        </w:rPr>
        <w:tab/>
      </w:r>
      <w:r>
        <w:rPr>
          <w:b/>
        </w:rPr>
        <w:tab/>
      </w:r>
      <w:r>
        <w:rPr>
          <w:b/>
        </w:rPr>
        <w:tab/>
      </w:r>
      <w:r>
        <w:rPr>
          <w:b/>
        </w:rPr>
        <w:tab/>
      </w:r>
      <w:r w:rsidR="00BC1C46">
        <w:rPr>
          <w:b/>
        </w:rPr>
        <w:t>1 November</w:t>
      </w:r>
      <w:bookmarkStart w:id="0" w:name="_GoBack"/>
      <w:bookmarkEnd w:id="0"/>
      <w:r>
        <w:rPr>
          <w:b/>
        </w:rPr>
        <w:t xml:space="preserve"> 2018</w:t>
      </w:r>
    </w:p>
    <w:p w:rsidR="005264BB" w:rsidRPr="008268C5" w:rsidRDefault="005264BB" w:rsidP="005264BB">
      <w:r w:rsidRPr="008268C5">
        <w:t xml:space="preserve">Geneva, </w:t>
      </w:r>
      <w:r>
        <w:t>6-9 November</w:t>
      </w:r>
      <w:r w:rsidRPr="008268C5">
        <w:t xml:space="preserve"> 201</w:t>
      </w:r>
      <w:r>
        <w:t>8</w:t>
      </w:r>
    </w:p>
    <w:p w:rsidR="005264BB" w:rsidRPr="00065466" w:rsidRDefault="005264BB" w:rsidP="005264BB">
      <w:r>
        <w:t>Item 4 of the provisional agenda</w:t>
      </w:r>
    </w:p>
    <w:p w:rsidR="005264BB" w:rsidRPr="00BC336B" w:rsidRDefault="005264BB" w:rsidP="005264BB">
      <w:pPr>
        <w:rPr>
          <w:b/>
          <w:bCs/>
          <w:lang w:val="de-AT"/>
        </w:rPr>
      </w:pPr>
      <w:r>
        <w:rPr>
          <w:b/>
          <w:bCs/>
        </w:rPr>
        <w:t>Work of the RID/ADR/ADN Joint Meeting</w:t>
      </w:r>
    </w:p>
    <w:p w:rsidR="005264BB" w:rsidRPr="00890ED4" w:rsidRDefault="005264BB" w:rsidP="005264BB">
      <w:pPr>
        <w:pStyle w:val="HChG"/>
      </w:pPr>
      <w:r>
        <w:tab/>
      </w:r>
      <w:r>
        <w:tab/>
      </w:r>
      <w:r>
        <w:rPr>
          <w:bCs/>
        </w:rPr>
        <w:t>Recommendations of the RID/ADR/ADN Joint Meeting on its autumn 2018 session</w:t>
      </w:r>
    </w:p>
    <w:p w:rsidR="005264BB" w:rsidRDefault="005264BB" w:rsidP="005264BB">
      <w:pPr>
        <w:pStyle w:val="H1G"/>
      </w:pPr>
      <w:r>
        <w:tab/>
      </w:r>
      <w:r>
        <w:tab/>
      </w:r>
      <w:r w:rsidRPr="00890ED4">
        <w:t xml:space="preserve">Transmitted by the </w:t>
      </w:r>
      <w:r w:rsidR="0081309C">
        <w:t>s</w:t>
      </w:r>
      <w:r>
        <w:t>ecretariat</w:t>
      </w:r>
    </w:p>
    <w:p w:rsidR="005264BB" w:rsidRDefault="005264BB" w:rsidP="0081309C">
      <w:pPr>
        <w:pStyle w:val="H23G"/>
      </w:pPr>
      <w:r>
        <w:tab/>
      </w:r>
      <w:r>
        <w:tab/>
      </w:r>
      <w:r w:rsidR="00F35F31">
        <w:t xml:space="preserve"> </w:t>
      </w:r>
    </w:p>
    <w:p w:rsidR="005264BB" w:rsidRDefault="005264BB" w:rsidP="005264BB">
      <w:pPr>
        <w:pStyle w:val="SingleTxtG"/>
      </w:pPr>
    </w:p>
    <w:p w:rsidR="005264BB" w:rsidRDefault="005264BB" w:rsidP="005264BB">
      <w:pPr>
        <w:pStyle w:val="HChG"/>
      </w:pPr>
      <w:r>
        <w:tab/>
      </w:r>
      <w:r>
        <w:tab/>
      </w:r>
    </w:p>
    <w:p w:rsidR="005264BB" w:rsidRDefault="005264BB" w:rsidP="005264BB">
      <w:pPr>
        <w:pStyle w:val="HChG"/>
      </w:pPr>
    </w:p>
    <w:p w:rsidR="005264BB" w:rsidRDefault="005264BB" w:rsidP="005264BB"/>
    <w:p w:rsidR="005264BB" w:rsidRDefault="005264BB" w:rsidP="005264BB"/>
    <w:p w:rsidR="005264BB" w:rsidRDefault="005264BB" w:rsidP="005264BB"/>
    <w:p w:rsidR="005264BB" w:rsidRDefault="005264BB" w:rsidP="005264BB"/>
    <w:p w:rsidR="005264BB" w:rsidRDefault="005264BB" w:rsidP="005264BB"/>
    <w:p w:rsidR="005264BB" w:rsidRDefault="005264BB" w:rsidP="005264BB"/>
    <w:p w:rsidR="005264BB" w:rsidRDefault="005264BB" w:rsidP="005264BB"/>
    <w:p w:rsidR="005264BB" w:rsidRDefault="005264BB" w:rsidP="005264BB"/>
    <w:p w:rsidR="005264BB" w:rsidRDefault="005264BB" w:rsidP="005264BB"/>
    <w:p w:rsidR="005264BB" w:rsidRDefault="005264BB" w:rsidP="005264BB"/>
    <w:p w:rsidR="005264BB" w:rsidRDefault="005264BB" w:rsidP="005264BB"/>
    <w:p w:rsidR="005264BB" w:rsidRDefault="005264BB" w:rsidP="005264BB"/>
    <w:p w:rsidR="005264BB" w:rsidRPr="005264BB" w:rsidRDefault="005264BB" w:rsidP="005264BB"/>
    <w:p w:rsidR="005264BB" w:rsidRDefault="005264BB" w:rsidP="005264BB">
      <w:pPr>
        <w:pStyle w:val="HChG"/>
      </w:pPr>
      <w:r>
        <w:tab/>
      </w:r>
      <w:r>
        <w:tab/>
      </w:r>
    </w:p>
    <w:p w:rsidR="005264BB" w:rsidRDefault="005264BB">
      <w:pPr>
        <w:suppressAutoHyphens w:val="0"/>
        <w:spacing w:line="240" w:lineRule="auto"/>
        <w:rPr>
          <w:b/>
          <w:sz w:val="28"/>
        </w:rPr>
      </w:pPr>
      <w:r>
        <w:br w:type="page"/>
      </w:r>
    </w:p>
    <w:p w:rsidR="005264BB" w:rsidRDefault="00472FC4" w:rsidP="005264BB">
      <w:pPr>
        <w:pStyle w:val="HChG"/>
      </w:pPr>
      <w:r>
        <w:lastRenderedPageBreak/>
        <w:tab/>
      </w:r>
      <w:r>
        <w:tab/>
        <w:t>Annex</w:t>
      </w:r>
      <w:r w:rsidR="005264BB">
        <w:t xml:space="preserve"> I</w:t>
      </w:r>
    </w:p>
    <w:p w:rsidR="005264BB" w:rsidRPr="00890ED4" w:rsidRDefault="005264BB" w:rsidP="005264BB">
      <w:pPr>
        <w:pStyle w:val="HChG"/>
      </w:pPr>
      <w:r>
        <w:tab/>
      </w:r>
      <w:r>
        <w:tab/>
        <w:t xml:space="preserve">Draft amendments </w:t>
      </w:r>
      <w:r w:rsidR="00F35F31">
        <w:t xml:space="preserve">for standards </w:t>
      </w:r>
      <w:r>
        <w:t>adopted by the Joint Meeting for entry into force on 1 January 2021</w:t>
      </w:r>
    </w:p>
    <w:p w:rsidR="005264BB" w:rsidRPr="00DB762A" w:rsidRDefault="005264BB" w:rsidP="005264BB">
      <w:pPr>
        <w:pStyle w:val="H1G"/>
      </w:pPr>
      <w:r>
        <w:tab/>
      </w:r>
      <w:r>
        <w:tab/>
      </w:r>
      <w:r w:rsidRPr="00DB762A">
        <w:t>Chapter 6.2</w:t>
      </w:r>
    </w:p>
    <w:p w:rsidR="005264BB" w:rsidRDefault="005264BB" w:rsidP="005264BB">
      <w:pPr>
        <w:pStyle w:val="SingleTxtG"/>
        <w:spacing w:before="120"/>
      </w:pPr>
      <w:r w:rsidRPr="00DB762A">
        <w:t>6.2.4.1</w:t>
      </w:r>
      <w:r w:rsidRPr="00DB762A">
        <w:tab/>
      </w:r>
      <w:r>
        <w:t>Amend the table as follows:</w:t>
      </w:r>
    </w:p>
    <w:p w:rsidR="005264BB" w:rsidRDefault="005264BB" w:rsidP="00FE3CBF">
      <w:pPr>
        <w:pStyle w:val="Bullet1G"/>
        <w:numPr>
          <w:ilvl w:val="0"/>
          <w:numId w:val="0"/>
        </w:numPr>
        <w:ind w:left="1134" w:firstLine="306"/>
      </w:pPr>
      <w:r>
        <w:t>(a)</w:t>
      </w:r>
      <w:r>
        <w:tab/>
        <w:t>Under “</w:t>
      </w:r>
      <w:r w:rsidRPr="000F04C5">
        <w:rPr>
          <w:b/>
          <w:bCs/>
        </w:rPr>
        <w:t>for design and construction</w:t>
      </w:r>
      <w:r>
        <w:t>”:</w:t>
      </w:r>
    </w:p>
    <w:p w:rsidR="005264BB" w:rsidRPr="00DB762A" w:rsidRDefault="005264BB" w:rsidP="005264BB">
      <w:pPr>
        <w:pStyle w:val="Bullet1G"/>
        <w:numPr>
          <w:ilvl w:val="0"/>
          <w:numId w:val="3"/>
        </w:numPr>
        <w:tabs>
          <w:tab w:val="clear" w:pos="1701"/>
        </w:tabs>
        <w:ind w:left="2008" w:hanging="284"/>
      </w:pPr>
      <w:r>
        <w:t>In column (2), i</w:t>
      </w:r>
      <w:r w:rsidRPr="00DB762A">
        <w:t xml:space="preserve">nsert the following note against the references to directives </w:t>
      </w:r>
      <w:r w:rsidRPr="00441BD3">
        <w:t>84/525/EEC, 84/526/EEC and 84/527/EEC</w:t>
      </w:r>
      <w:r w:rsidRPr="00DB762A">
        <w:t>:</w:t>
      </w:r>
    </w:p>
    <w:p w:rsidR="005264BB" w:rsidRPr="00F95552" w:rsidRDefault="005264BB" w:rsidP="005264BB">
      <w:pPr>
        <w:pStyle w:val="SingleTxtG"/>
        <w:spacing w:before="120"/>
        <w:ind w:left="2008"/>
        <w:rPr>
          <w:i/>
        </w:rPr>
      </w:pPr>
      <w:r w:rsidRPr="00DB762A">
        <w:t>"</w:t>
      </w:r>
      <w:r w:rsidRPr="00DB762A">
        <w:rPr>
          <w:b/>
          <w:i/>
          <w:iCs/>
        </w:rPr>
        <w:t>NOTE</w:t>
      </w:r>
      <w:r w:rsidRPr="00DB762A">
        <w:rPr>
          <w:i/>
          <w:iCs/>
        </w:rPr>
        <w:t>:</w:t>
      </w:r>
      <w:r w:rsidRPr="00DB762A">
        <w:t xml:space="preserve"> </w:t>
      </w:r>
      <w:r w:rsidRPr="00DB762A">
        <w:rPr>
          <w:i/>
        </w:rPr>
        <w:t>Notwithstanding the repeal of the directives 84/525/EEC, 84/526/EEC and 84/527/EEC as published in the Official Journal of the European Communities No. L300 of 19.11.1984 the annexes of these directives remain applicable as standards for design, construction and initial inspection and test for gas cylinders.  These annexes may be found at</w:t>
      </w:r>
      <w:r>
        <w:rPr>
          <w:i/>
        </w:rPr>
        <w:t>:</w:t>
      </w:r>
      <w:r w:rsidRPr="00DB762A">
        <w:rPr>
          <w:i/>
        </w:rPr>
        <w:t xml:space="preserve"> </w:t>
      </w:r>
      <w:hyperlink r:id="rId7" w:history="1">
        <w:r w:rsidRPr="00DB762A">
          <w:rPr>
            <w:rStyle w:val="Hyperlink"/>
            <w:i/>
            <w:iCs/>
          </w:rPr>
          <w:t>https://eur-lex.europa.eu/oj/direct-access.html</w:t>
        </w:r>
      </w:hyperlink>
      <w:r w:rsidRPr="00DB762A">
        <w:t xml:space="preserve">". </w:t>
      </w:r>
    </w:p>
    <w:p w:rsidR="005264BB" w:rsidRPr="00DB762A" w:rsidRDefault="005264BB" w:rsidP="005264BB">
      <w:pPr>
        <w:pStyle w:val="Bullet1G"/>
        <w:numPr>
          <w:ilvl w:val="0"/>
          <w:numId w:val="3"/>
        </w:numPr>
        <w:tabs>
          <w:tab w:val="clear" w:pos="1701"/>
        </w:tabs>
        <w:ind w:left="1985" w:hanging="284"/>
        <w:rPr>
          <w:i/>
        </w:rPr>
      </w:pPr>
      <w:r>
        <w:t>F</w:t>
      </w:r>
      <w:r w:rsidRPr="00DB762A">
        <w:t xml:space="preserve">or “EN 12807:2008”, in column (4), replace </w:t>
      </w:r>
      <w:r>
        <w:t>the existing text</w:t>
      </w:r>
      <w:r w:rsidRPr="00DB762A">
        <w:t xml:space="preserve"> with “Between 1 January 2009 and 31 December 2022”.</w:t>
      </w:r>
      <w:r w:rsidRPr="00DB762A">
        <w:rPr>
          <w:i/>
        </w:rPr>
        <w:t xml:space="preserve"> </w:t>
      </w:r>
    </w:p>
    <w:p w:rsidR="005264BB" w:rsidRPr="00DB762A" w:rsidRDefault="005264BB" w:rsidP="005264BB">
      <w:pPr>
        <w:pStyle w:val="Bullet1G"/>
        <w:numPr>
          <w:ilvl w:val="0"/>
          <w:numId w:val="3"/>
        </w:numPr>
        <w:tabs>
          <w:tab w:val="clear" w:pos="1701"/>
        </w:tabs>
        <w:ind w:left="1985" w:hanging="284"/>
      </w:pPr>
      <w:r>
        <w:t xml:space="preserve">After the existing row for </w:t>
      </w:r>
      <w:r w:rsidRPr="00DB762A">
        <w:t>“EN 12807:2008”</w:t>
      </w:r>
      <w:r>
        <w:t xml:space="preserve"> add </w:t>
      </w:r>
      <w:r w:rsidRPr="00DB762A">
        <w:t>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230"/>
        <w:gridCol w:w="1170"/>
        <w:gridCol w:w="1260"/>
        <w:gridCol w:w="450"/>
      </w:tblGrid>
      <w:tr w:rsidR="005264BB" w:rsidRPr="00CE1950" w:rsidTr="00C2474E">
        <w:tc>
          <w:tcPr>
            <w:tcW w:w="1350" w:type="dxa"/>
          </w:tcPr>
          <w:p w:rsidR="005264BB" w:rsidRPr="00CE1950" w:rsidRDefault="005264BB" w:rsidP="00C2474E">
            <w:pPr>
              <w:widowControl w:val="0"/>
              <w:spacing w:before="40" w:after="40"/>
              <w:jc w:val="center"/>
              <w:rPr>
                <w:bCs/>
                <w:sz w:val="18"/>
                <w:szCs w:val="18"/>
              </w:rPr>
            </w:pPr>
            <w:r w:rsidRPr="00CE1950">
              <w:rPr>
                <w:bCs/>
                <w:iCs/>
                <w:sz w:val="18"/>
                <w:szCs w:val="18"/>
              </w:rPr>
              <w:t xml:space="preserve">EN </w:t>
            </w:r>
            <w:proofErr w:type="gramStart"/>
            <w:r w:rsidRPr="00CE1950">
              <w:rPr>
                <w:bCs/>
                <w:iCs/>
                <w:sz w:val="18"/>
                <w:szCs w:val="18"/>
              </w:rPr>
              <w:t>12807:[</w:t>
            </w:r>
            <w:proofErr w:type="gramEnd"/>
            <w:r w:rsidRPr="00CE1950">
              <w:rPr>
                <w:bCs/>
                <w:iCs/>
                <w:sz w:val="18"/>
                <w:szCs w:val="18"/>
              </w:rPr>
              <w:t>2019]</w:t>
            </w:r>
          </w:p>
        </w:tc>
        <w:tc>
          <w:tcPr>
            <w:tcW w:w="4230" w:type="dxa"/>
            <w:vAlign w:val="center"/>
          </w:tcPr>
          <w:p w:rsidR="005264BB" w:rsidRPr="00CE1950" w:rsidRDefault="005264BB" w:rsidP="00C2474E">
            <w:pPr>
              <w:widowControl w:val="0"/>
              <w:spacing w:before="40" w:after="40"/>
              <w:rPr>
                <w:bCs/>
                <w:sz w:val="18"/>
                <w:szCs w:val="18"/>
                <w:highlight w:val="green"/>
              </w:rPr>
            </w:pPr>
            <w:r w:rsidRPr="00CE1950">
              <w:rPr>
                <w:bCs/>
                <w:sz w:val="18"/>
                <w:szCs w:val="18"/>
              </w:rPr>
              <w:t>LPG equipment and accessories - Transportable refillable brazed steel cylinders for liquefied petroleum gas (LPG) - Design and construction</w:t>
            </w:r>
          </w:p>
        </w:tc>
        <w:tc>
          <w:tcPr>
            <w:tcW w:w="1170" w:type="dxa"/>
          </w:tcPr>
          <w:p w:rsidR="005264BB" w:rsidRPr="00CE1950" w:rsidRDefault="005264BB" w:rsidP="00C2474E">
            <w:pPr>
              <w:widowControl w:val="0"/>
              <w:spacing w:before="40" w:after="40"/>
              <w:rPr>
                <w:bCs/>
                <w:sz w:val="18"/>
                <w:szCs w:val="18"/>
                <w:highlight w:val="green"/>
              </w:rPr>
            </w:pPr>
            <w:r w:rsidRPr="00CE1950">
              <w:rPr>
                <w:bCs/>
                <w:sz w:val="18"/>
                <w:szCs w:val="18"/>
              </w:rPr>
              <w:t>6.2.3.1 and 6.2.3.4</w:t>
            </w:r>
          </w:p>
        </w:tc>
        <w:tc>
          <w:tcPr>
            <w:tcW w:w="1260" w:type="dxa"/>
            <w:shd w:val="clear" w:color="auto" w:fill="auto"/>
          </w:tcPr>
          <w:p w:rsidR="005264BB" w:rsidRPr="00CE1950" w:rsidRDefault="005264BB" w:rsidP="00C2474E">
            <w:pPr>
              <w:widowControl w:val="0"/>
              <w:spacing w:before="40" w:after="40"/>
              <w:jc w:val="center"/>
              <w:rPr>
                <w:bCs/>
                <w:sz w:val="18"/>
                <w:szCs w:val="18"/>
              </w:rPr>
            </w:pPr>
            <w:r w:rsidRPr="00CE1950">
              <w:rPr>
                <w:bCs/>
                <w:sz w:val="18"/>
                <w:szCs w:val="18"/>
              </w:rPr>
              <w:t>Until further notice</w:t>
            </w:r>
          </w:p>
        </w:tc>
        <w:tc>
          <w:tcPr>
            <w:tcW w:w="450" w:type="dxa"/>
            <w:shd w:val="clear" w:color="auto" w:fill="auto"/>
          </w:tcPr>
          <w:p w:rsidR="005264BB" w:rsidRPr="00CE1950" w:rsidRDefault="005264BB" w:rsidP="00C2474E">
            <w:pPr>
              <w:widowControl w:val="0"/>
              <w:spacing w:before="40" w:after="40"/>
              <w:jc w:val="center"/>
              <w:rPr>
                <w:bCs/>
                <w:sz w:val="18"/>
                <w:szCs w:val="18"/>
              </w:rPr>
            </w:pPr>
          </w:p>
        </w:tc>
      </w:tr>
    </w:tbl>
    <w:p w:rsidR="005264BB" w:rsidRDefault="005264BB" w:rsidP="00FE3CBF">
      <w:pPr>
        <w:pStyle w:val="Bullet1G"/>
        <w:numPr>
          <w:ilvl w:val="0"/>
          <w:numId w:val="0"/>
        </w:numPr>
        <w:spacing w:before="240"/>
        <w:ind w:left="873" w:firstLine="567"/>
      </w:pPr>
      <w:r>
        <w:t xml:space="preserve"> (b)</w:t>
      </w:r>
      <w:r>
        <w:tab/>
        <w:t>Under “</w:t>
      </w:r>
      <w:r w:rsidRPr="000F04C5">
        <w:rPr>
          <w:b/>
          <w:bCs/>
        </w:rPr>
        <w:t>for closures</w:t>
      </w:r>
      <w:r>
        <w:t>”:</w:t>
      </w:r>
    </w:p>
    <w:p w:rsidR="005264BB" w:rsidRPr="00930C20" w:rsidRDefault="005264BB" w:rsidP="005264BB">
      <w:pPr>
        <w:pStyle w:val="Bullet1G"/>
        <w:numPr>
          <w:ilvl w:val="0"/>
          <w:numId w:val="3"/>
        </w:numPr>
        <w:tabs>
          <w:tab w:val="clear" w:pos="1701"/>
        </w:tabs>
        <w:ind w:left="1985" w:hanging="284"/>
      </w:pPr>
      <w:r>
        <w:t>F</w:t>
      </w:r>
      <w:r w:rsidRPr="00DB762A">
        <w:t>or “EN ISO 17871:2015”, in column (4), replace the existing text with “Between 1 January 2017 and 31 December 2021”.</w:t>
      </w:r>
    </w:p>
    <w:p w:rsidR="005264BB" w:rsidRPr="00DB762A" w:rsidRDefault="005264BB" w:rsidP="005264BB">
      <w:pPr>
        <w:pStyle w:val="Bullet1G"/>
        <w:numPr>
          <w:ilvl w:val="0"/>
          <w:numId w:val="3"/>
        </w:numPr>
        <w:tabs>
          <w:tab w:val="clear" w:pos="1701"/>
        </w:tabs>
        <w:ind w:left="1985" w:hanging="284"/>
      </w:pPr>
      <w:r>
        <w:t xml:space="preserve">After the existing row for </w:t>
      </w:r>
      <w:r w:rsidRPr="00DB762A">
        <w:t>“EN ISO 17871:2015”</w:t>
      </w:r>
      <w:r>
        <w:t xml:space="preserve"> a</w:t>
      </w:r>
      <w:r w:rsidRPr="00DB762A">
        <w:t>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230"/>
        <w:gridCol w:w="1170"/>
        <w:gridCol w:w="1260"/>
        <w:gridCol w:w="450"/>
      </w:tblGrid>
      <w:tr w:rsidR="005264BB" w:rsidRPr="00CE1950" w:rsidTr="00021CDD">
        <w:tc>
          <w:tcPr>
            <w:tcW w:w="135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EN ISO 17871:2015 + A1:2018</w:t>
            </w:r>
          </w:p>
        </w:tc>
        <w:tc>
          <w:tcPr>
            <w:tcW w:w="4230" w:type="dxa"/>
          </w:tcPr>
          <w:p w:rsidR="005264BB" w:rsidRPr="00CE1950" w:rsidRDefault="005264BB" w:rsidP="00021CDD">
            <w:pPr>
              <w:widowControl w:val="0"/>
              <w:spacing w:before="60" w:after="60"/>
              <w:rPr>
                <w:rFonts w:cs="Arial"/>
                <w:sz w:val="18"/>
                <w:szCs w:val="18"/>
              </w:rPr>
            </w:pPr>
            <w:r w:rsidRPr="00CE1950">
              <w:rPr>
                <w:rFonts w:cs="Arial"/>
                <w:sz w:val="18"/>
                <w:szCs w:val="18"/>
              </w:rPr>
              <w:t>Gas cylinders – Quick-release cylinder valves – Specification and type testing</w:t>
            </w:r>
          </w:p>
        </w:tc>
        <w:tc>
          <w:tcPr>
            <w:tcW w:w="117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6.2.3.1, 6.2.3.3 and 6.2.3.4</w:t>
            </w:r>
          </w:p>
        </w:tc>
        <w:tc>
          <w:tcPr>
            <w:tcW w:w="126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Until further notice</w:t>
            </w:r>
          </w:p>
        </w:tc>
        <w:tc>
          <w:tcPr>
            <w:tcW w:w="450" w:type="dxa"/>
            <w:vAlign w:val="center"/>
          </w:tcPr>
          <w:p w:rsidR="005264BB" w:rsidRPr="00CE1950" w:rsidRDefault="005264BB" w:rsidP="00C2474E">
            <w:pPr>
              <w:widowControl w:val="0"/>
              <w:spacing w:before="60" w:after="60"/>
              <w:rPr>
                <w:rFonts w:cs="Arial"/>
                <w:sz w:val="18"/>
                <w:szCs w:val="18"/>
              </w:rPr>
            </w:pPr>
          </w:p>
        </w:tc>
      </w:tr>
    </w:tbl>
    <w:p w:rsidR="005264BB" w:rsidRDefault="00FE3CBF" w:rsidP="005264BB">
      <w:pPr>
        <w:pStyle w:val="SingleTxtG"/>
        <w:spacing w:before="120"/>
      </w:pPr>
      <w:r>
        <w:t>6.2.4.2</w:t>
      </w:r>
      <w:r>
        <w:tab/>
      </w:r>
      <w:r w:rsidR="005264BB">
        <w:t>Amend the table as follows:</w:t>
      </w:r>
    </w:p>
    <w:p w:rsidR="005264BB" w:rsidRPr="00DB762A" w:rsidRDefault="005264BB" w:rsidP="005264BB">
      <w:pPr>
        <w:pStyle w:val="Bullet1G"/>
        <w:numPr>
          <w:ilvl w:val="0"/>
          <w:numId w:val="3"/>
        </w:numPr>
        <w:tabs>
          <w:tab w:val="clear" w:pos="1701"/>
          <w:tab w:val="num" w:pos="2438"/>
        </w:tabs>
        <w:ind w:left="2438"/>
        <w:rPr>
          <w:iCs/>
        </w:rPr>
      </w:pPr>
      <w:r>
        <w:t>F</w:t>
      </w:r>
      <w:r w:rsidRPr="00DB762A">
        <w:t xml:space="preserve">or “EN 1968:2002 +A1:2005 (except annex B)”, in column (3), </w:t>
      </w:r>
      <w:r>
        <w:t>replace the existing text</w:t>
      </w:r>
      <w:r w:rsidRPr="000F04C5">
        <w:t xml:space="preserve"> </w:t>
      </w:r>
      <w:r w:rsidRPr="00DB762A">
        <w:t>with “Until 31 December 2022”.</w:t>
      </w:r>
      <w:r w:rsidRPr="00DB762A">
        <w:rPr>
          <w:iCs/>
        </w:rPr>
        <w:t xml:space="preserve"> </w:t>
      </w:r>
    </w:p>
    <w:p w:rsidR="005264BB" w:rsidRPr="00F95552" w:rsidRDefault="005264BB" w:rsidP="005264BB">
      <w:pPr>
        <w:pStyle w:val="Bullet1G"/>
        <w:numPr>
          <w:ilvl w:val="0"/>
          <w:numId w:val="3"/>
        </w:numPr>
        <w:tabs>
          <w:tab w:val="clear" w:pos="1701"/>
          <w:tab w:val="num" w:pos="2438"/>
        </w:tabs>
        <w:ind w:left="2438"/>
      </w:pPr>
      <w:r w:rsidRPr="000F04C5">
        <w:t xml:space="preserve">For “EN 1802:2002 (except annex B)”, in column (3), replace </w:t>
      </w:r>
      <w:r>
        <w:t>the existing text</w:t>
      </w:r>
      <w:r w:rsidRPr="000F04C5">
        <w:t xml:space="preserve"> with “Until 31 December 2022”. </w:t>
      </w:r>
    </w:p>
    <w:p w:rsidR="005264BB" w:rsidRPr="00DB762A" w:rsidRDefault="005264BB" w:rsidP="005264BB">
      <w:pPr>
        <w:pStyle w:val="Bullet1G"/>
        <w:numPr>
          <w:ilvl w:val="0"/>
          <w:numId w:val="3"/>
        </w:numPr>
        <w:tabs>
          <w:tab w:val="clear" w:pos="1701"/>
          <w:tab w:val="num" w:pos="2438"/>
        </w:tabs>
        <w:ind w:left="2438"/>
      </w:pPr>
      <w:r>
        <w:t>After the existing row for “EN 1802:2002 (except annex B), a</w:t>
      </w:r>
      <w:r w:rsidRPr="00DB762A">
        <w:t>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40"/>
        <w:gridCol w:w="1890"/>
      </w:tblGrid>
      <w:tr w:rsidR="005264BB" w:rsidRPr="00CE1950" w:rsidTr="00C2474E">
        <w:trPr>
          <w:trHeight w:val="1015"/>
        </w:trPr>
        <w:tc>
          <w:tcPr>
            <w:tcW w:w="1530" w:type="dxa"/>
            <w:vAlign w:val="center"/>
          </w:tcPr>
          <w:p w:rsidR="005264BB" w:rsidRPr="00CE1950" w:rsidRDefault="005264BB" w:rsidP="00C2474E">
            <w:pPr>
              <w:widowControl w:val="0"/>
              <w:spacing w:before="40" w:after="40"/>
              <w:jc w:val="center"/>
              <w:rPr>
                <w:bCs/>
                <w:iCs/>
                <w:sz w:val="18"/>
                <w:szCs w:val="18"/>
              </w:rPr>
            </w:pPr>
            <w:r w:rsidRPr="00CE1950">
              <w:rPr>
                <w:bCs/>
                <w:noProof/>
                <w:sz w:val="18"/>
                <w:szCs w:val="18"/>
              </w:rPr>
              <w:t>EN ISO 18119:[2018]</w:t>
            </w:r>
          </w:p>
        </w:tc>
        <w:tc>
          <w:tcPr>
            <w:tcW w:w="5040" w:type="dxa"/>
            <w:vAlign w:val="center"/>
          </w:tcPr>
          <w:p w:rsidR="005264BB" w:rsidRPr="00CE1950" w:rsidRDefault="005264BB" w:rsidP="00C2474E">
            <w:pPr>
              <w:widowControl w:val="0"/>
              <w:spacing w:before="40" w:after="40"/>
              <w:rPr>
                <w:bCs/>
                <w:noProof/>
                <w:sz w:val="18"/>
                <w:szCs w:val="18"/>
              </w:rPr>
            </w:pPr>
            <w:r w:rsidRPr="00CE1950">
              <w:rPr>
                <w:bCs/>
                <w:noProof/>
                <w:sz w:val="18"/>
                <w:szCs w:val="18"/>
              </w:rPr>
              <w:t>Gas cylinders - Seamless steel and seamless aluminium-alloy gas cylinders and tubes - Periodic inspection and testing</w:t>
            </w:r>
          </w:p>
          <w:p w:rsidR="005264BB" w:rsidRPr="00CE1950" w:rsidRDefault="005264BB" w:rsidP="00C2474E">
            <w:pPr>
              <w:widowControl w:val="0"/>
              <w:spacing w:before="40" w:after="40"/>
              <w:rPr>
                <w:bCs/>
                <w:iCs/>
                <w:sz w:val="18"/>
                <w:szCs w:val="18"/>
              </w:rPr>
            </w:pPr>
            <w:r w:rsidRPr="00CE1950">
              <w:rPr>
                <w:b/>
                <w:i/>
                <w:iCs/>
                <w:noProof/>
                <w:sz w:val="18"/>
                <w:szCs w:val="18"/>
              </w:rPr>
              <w:t>NOTE:</w:t>
            </w:r>
            <w:r w:rsidRPr="00CE1950">
              <w:rPr>
                <w:bCs/>
                <w:noProof/>
                <w:sz w:val="18"/>
                <w:szCs w:val="18"/>
              </w:rPr>
              <w:t xml:space="preserve"> </w:t>
            </w:r>
            <w:r w:rsidRPr="00CE1950">
              <w:rPr>
                <w:bCs/>
                <w:i/>
                <w:noProof/>
                <w:sz w:val="18"/>
                <w:szCs w:val="18"/>
              </w:rPr>
              <w:t>Notwithstanding clause B.1 of this standard, all cylinders and tubes whose wall thickness is less than the minimum design wall thickness shall be rejected.</w:t>
            </w:r>
          </w:p>
        </w:tc>
        <w:tc>
          <w:tcPr>
            <w:tcW w:w="1890" w:type="dxa"/>
            <w:vAlign w:val="center"/>
          </w:tcPr>
          <w:p w:rsidR="005264BB" w:rsidRPr="00CE1950" w:rsidRDefault="005264BB" w:rsidP="00C2474E">
            <w:pPr>
              <w:widowControl w:val="0"/>
              <w:spacing w:before="40" w:after="40"/>
              <w:jc w:val="center"/>
              <w:rPr>
                <w:bCs/>
                <w:sz w:val="18"/>
                <w:szCs w:val="18"/>
              </w:rPr>
            </w:pPr>
            <w:r w:rsidRPr="00CE1950">
              <w:rPr>
                <w:bCs/>
                <w:sz w:val="18"/>
                <w:szCs w:val="18"/>
              </w:rPr>
              <w:t>Mandatorily from 1 January 2023</w:t>
            </w:r>
          </w:p>
        </w:tc>
      </w:tr>
    </w:tbl>
    <w:p w:rsidR="005264BB" w:rsidRPr="00F95552" w:rsidRDefault="005264BB" w:rsidP="005264BB">
      <w:pPr>
        <w:pStyle w:val="Bullet1G"/>
        <w:numPr>
          <w:ilvl w:val="0"/>
          <w:numId w:val="3"/>
        </w:numPr>
        <w:tabs>
          <w:tab w:val="clear" w:pos="1701"/>
          <w:tab w:val="num" w:pos="2438"/>
        </w:tabs>
        <w:spacing w:before="240"/>
        <w:ind w:left="2438"/>
      </w:pPr>
      <w:r>
        <w:lastRenderedPageBreak/>
        <w:t>F</w:t>
      </w:r>
      <w:r w:rsidRPr="00DB762A">
        <w:t xml:space="preserve">or “EN 1440:2016 (except annex C)”, in column (3), replace </w:t>
      </w:r>
      <w:r>
        <w:t xml:space="preserve">the existing </w:t>
      </w:r>
      <w:proofErr w:type="gramStart"/>
      <w:r>
        <w:t xml:space="preserve">text </w:t>
      </w:r>
      <w:r w:rsidRPr="00DB762A">
        <w:t xml:space="preserve"> </w:t>
      </w:r>
      <w:r>
        <w:t>with</w:t>
      </w:r>
      <w:proofErr w:type="gramEnd"/>
      <w:r>
        <w:t xml:space="preserve"> “Until 31 December </w:t>
      </w:r>
      <w:r w:rsidRPr="00DB762A">
        <w:t>2021”.</w:t>
      </w:r>
      <w:r w:rsidRPr="00EF30EB">
        <w:t xml:space="preserve"> </w:t>
      </w:r>
    </w:p>
    <w:p w:rsidR="005264BB" w:rsidRPr="00DB762A" w:rsidRDefault="005264BB" w:rsidP="005264BB">
      <w:pPr>
        <w:pStyle w:val="Bullet1G"/>
        <w:numPr>
          <w:ilvl w:val="0"/>
          <w:numId w:val="3"/>
        </w:numPr>
        <w:tabs>
          <w:tab w:val="clear" w:pos="1701"/>
          <w:tab w:val="num" w:pos="2438"/>
        </w:tabs>
        <w:ind w:left="2438"/>
      </w:pPr>
      <w:r>
        <w:t>After</w:t>
      </w:r>
      <w:r w:rsidRPr="00DB762A">
        <w:t xml:space="preserve"> the </w:t>
      </w:r>
      <w:r>
        <w:t>existing row for “EN 1440:2016 (except annex C)”,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5103"/>
        <w:gridCol w:w="1833"/>
      </w:tblGrid>
      <w:tr w:rsidR="005264BB" w:rsidRPr="00CE1950" w:rsidTr="00C2474E">
        <w:tc>
          <w:tcPr>
            <w:tcW w:w="1524"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EN 1440:2016 + A1:2018 (except Annex C)</w:t>
            </w:r>
          </w:p>
        </w:tc>
        <w:tc>
          <w:tcPr>
            <w:tcW w:w="5103"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LPG equipment and accessories – Transportable refillable traditional welded and brazed steel Liquefied Petroleum Gas (LPG) cylinders – Periodic inspection</w:t>
            </w:r>
          </w:p>
        </w:tc>
        <w:tc>
          <w:tcPr>
            <w:tcW w:w="1833" w:type="dxa"/>
            <w:vAlign w:val="center"/>
          </w:tcPr>
          <w:p w:rsidR="005264BB" w:rsidRPr="00CE1950" w:rsidRDefault="005264BB" w:rsidP="00C2474E">
            <w:pPr>
              <w:widowControl w:val="0"/>
              <w:spacing w:before="60" w:after="60"/>
              <w:jc w:val="center"/>
              <w:rPr>
                <w:rFonts w:cs="Arial"/>
                <w:sz w:val="18"/>
                <w:szCs w:val="18"/>
              </w:rPr>
            </w:pPr>
            <w:r w:rsidRPr="00CE1950">
              <w:rPr>
                <w:rFonts w:cs="Arial"/>
                <w:sz w:val="18"/>
                <w:szCs w:val="18"/>
              </w:rPr>
              <w:t>Mandatorily from 1 January 2022</w:t>
            </w:r>
          </w:p>
        </w:tc>
      </w:tr>
    </w:tbl>
    <w:p w:rsidR="005264BB" w:rsidRPr="00A56BB4" w:rsidRDefault="005264BB" w:rsidP="005264BB">
      <w:pPr>
        <w:pStyle w:val="Bullet1G"/>
        <w:numPr>
          <w:ilvl w:val="0"/>
          <w:numId w:val="3"/>
        </w:numPr>
        <w:tabs>
          <w:tab w:val="clear" w:pos="1701"/>
          <w:tab w:val="num" w:pos="2438"/>
        </w:tabs>
        <w:spacing w:before="240"/>
        <w:ind w:left="2438"/>
      </w:pPr>
      <w:r>
        <w:t>F</w:t>
      </w:r>
      <w:r w:rsidRPr="00DB762A">
        <w:t>or “EN 16728:2016 (except clause 3.5, Annex F and Annex G)”, in column</w:t>
      </w:r>
      <w:r>
        <w:t> </w:t>
      </w:r>
      <w:r w:rsidRPr="00DB762A">
        <w:t>(3), replace the existing text with “Until 31 December 2021”.</w:t>
      </w:r>
      <w:r w:rsidRPr="00A56BB4">
        <w:t xml:space="preserve"> </w:t>
      </w:r>
    </w:p>
    <w:p w:rsidR="005264BB" w:rsidRPr="00DB762A" w:rsidRDefault="005264BB" w:rsidP="005264BB">
      <w:pPr>
        <w:pStyle w:val="Bullet1G"/>
        <w:numPr>
          <w:ilvl w:val="0"/>
          <w:numId w:val="3"/>
        </w:numPr>
        <w:tabs>
          <w:tab w:val="clear" w:pos="1701"/>
          <w:tab w:val="num" w:pos="2438"/>
        </w:tabs>
        <w:spacing w:before="240"/>
        <w:ind w:left="2438"/>
      </w:pPr>
      <w:r>
        <w:t>A</w:t>
      </w:r>
      <w:r w:rsidRPr="00DB762A">
        <w:t xml:space="preserve">fter the </w:t>
      </w:r>
      <w:r>
        <w:t>existing row</w:t>
      </w:r>
      <w:r w:rsidRPr="00DB762A">
        <w:t xml:space="preserve"> for “EN 16728:2016 (excep</w:t>
      </w:r>
      <w:r>
        <w:t>t clause 3.5, Annex F and Annex </w:t>
      </w:r>
      <w:r w:rsidRPr="00DB762A">
        <w:t>G)”</w:t>
      </w:r>
      <w:r>
        <w:t>, a</w:t>
      </w:r>
      <w:r w:rsidRPr="00DB762A">
        <w:t>dd the following new entry:</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140"/>
        <w:gridCol w:w="2079"/>
      </w:tblGrid>
      <w:tr w:rsidR="005264BB" w:rsidRPr="00CE1950" w:rsidTr="00C2474E">
        <w:tc>
          <w:tcPr>
            <w:tcW w:w="225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EN 16728:2016 + A1:2018</w:t>
            </w:r>
          </w:p>
        </w:tc>
        <w:tc>
          <w:tcPr>
            <w:tcW w:w="414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LPG equipment and accessories – Transportable refillable LPG cylinders other than traditional welded and brazed steel cylinders – Periodic inspection</w:t>
            </w:r>
          </w:p>
        </w:tc>
        <w:tc>
          <w:tcPr>
            <w:tcW w:w="2079" w:type="dxa"/>
            <w:vAlign w:val="center"/>
          </w:tcPr>
          <w:p w:rsidR="005264BB" w:rsidRPr="00CE1950" w:rsidRDefault="005264BB" w:rsidP="00C2474E">
            <w:pPr>
              <w:widowControl w:val="0"/>
              <w:spacing w:before="60" w:after="60"/>
              <w:jc w:val="center"/>
              <w:rPr>
                <w:rFonts w:cs="Arial"/>
                <w:sz w:val="18"/>
                <w:szCs w:val="18"/>
              </w:rPr>
            </w:pPr>
            <w:r w:rsidRPr="00CE1950">
              <w:rPr>
                <w:rFonts w:cs="Arial"/>
                <w:sz w:val="18"/>
                <w:szCs w:val="18"/>
              </w:rPr>
              <w:t>Mandatorily from 1 January 2022</w:t>
            </w:r>
          </w:p>
        </w:tc>
      </w:tr>
    </w:tbl>
    <w:p w:rsidR="005264BB" w:rsidRPr="00DB762A" w:rsidRDefault="005264BB" w:rsidP="005264BB">
      <w:pPr>
        <w:pStyle w:val="H1G"/>
        <w:keepNext w:val="0"/>
        <w:keepLines w:val="0"/>
        <w:ind w:left="1138" w:right="1138" w:hanging="1138"/>
      </w:pPr>
      <w:r w:rsidRPr="00DB762A">
        <w:tab/>
      </w:r>
      <w:r w:rsidRPr="00DB762A">
        <w:tab/>
        <w:t>Chapter 6.8</w:t>
      </w:r>
    </w:p>
    <w:p w:rsidR="00E862C9" w:rsidRDefault="005264BB" w:rsidP="005264BB">
      <w:pPr>
        <w:pStyle w:val="SingleTxtG"/>
        <w:spacing w:before="120"/>
      </w:pPr>
      <w:r w:rsidRPr="00DB762A">
        <w:t>6.8.2.6.1</w:t>
      </w:r>
      <w:r w:rsidRPr="00DB762A">
        <w:tab/>
      </w:r>
      <w:r>
        <w:t>Amend the table</w:t>
      </w:r>
      <w:r w:rsidR="00E862C9">
        <w:t xml:space="preserve"> as follows:</w:t>
      </w:r>
    </w:p>
    <w:p w:rsidR="005264BB" w:rsidRDefault="00054D87" w:rsidP="00D063CE">
      <w:pPr>
        <w:pStyle w:val="SingleTxtG"/>
        <w:spacing w:before="120"/>
        <w:ind w:firstLine="567"/>
      </w:pPr>
      <w:r>
        <w:t>(a)</w:t>
      </w:r>
      <w:r>
        <w:tab/>
        <w:t>U</w:t>
      </w:r>
      <w:r w:rsidR="005264BB">
        <w:t>nder “</w:t>
      </w:r>
      <w:r w:rsidR="005264BB" w:rsidRPr="00D063CE">
        <w:rPr>
          <w:b/>
          <w:bCs/>
        </w:rPr>
        <w:t>for design and construction of tanks</w:t>
      </w:r>
      <w:r w:rsidR="005264BB">
        <w:t>”:</w:t>
      </w:r>
    </w:p>
    <w:p w:rsidR="005264BB" w:rsidRPr="00A56BB4" w:rsidRDefault="005264BB" w:rsidP="005264BB">
      <w:pPr>
        <w:pStyle w:val="Bullet1G"/>
        <w:numPr>
          <w:ilvl w:val="0"/>
          <w:numId w:val="3"/>
        </w:numPr>
        <w:tabs>
          <w:tab w:val="clear" w:pos="1701"/>
          <w:tab w:val="num" w:pos="2438"/>
        </w:tabs>
        <w:ind w:left="2438"/>
      </w:pPr>
      <w:r>
        <w:t>F</w:t>
      </w:r>
      <w:r w:rsidRPr="00DB762A">
        <w:t>or “EN 14025:2013+A1:2016</w:t>
      </w:r>
      <w:r>
        <w:t xml:space="preserve"> (except Annex B)</w:t>
      </w:r>
      <w:r w:rsidRPr="00DB762A">
        <w:t xml:space="preserve">”, in column (4), replace </w:t>
      </w:r>
      <w:r>
        <w:t>the existing text</w:t>
      </w:r>
      <w:r w:rsidRPr="00DB762A">
        <w:t xml:space="preserve"> with “Between 1 January 2017 and 31 December 2021”.</w:t>
      </w:r>
      <w:r w:rsidRPr="00A56BB4">
        <w:t xml:space="preserve"> </w:t>
      </w:r>
    </w:p>
    <w:p w:rsidR="005264BB" w:rsidRPr="00DB762A" w:rsidRDefault="005264BB" w:rsidP="005264BB">
      <w:pPr>
        <w:pStyle w:val="Bullet1G"/>
        <w:numPr>
          <w:ilvl w:val="0"/>
          <w:numId w:val="3"/>
        </w:numPr>
        <w:tabs>
          <w:tab w:val="clear" w:pos="1701"/>
          <w:tab w:val="num" w:pos="2438"/>
        </w:tabs>
        <w:ind w:left="2438"/>
      </w:pPr>
      <w:r>
        <w:t>A</w:t>
      </w:r>
      <w:r w:rsidRPr="00DB762A">
        <w:t xml:space="preserve">fter the </w:t>
      </w:r>
      <w:r>
        <w:t>existing row</w:t>
      </w:r>
      <w:r w:rsidRPr="00DB762A">
        <w:t xml:space="preserve"> for </w:t>
      </w:r>
      <w:r>
        <w:t>“EN 14025:2013</w:t>
      </w:r>
      <w:r w:rsidRPr="00DB762A">
        <w:t>+A1:2016</w:t>
      </w:r>
      <w:r>
        <w:t xml:space="preserve"> (except Annex B)</w:t>
      </w:r>
      <w:r w:rsidRPr="00DB762A">
        <w:t>”</w:t>
      </w:r>
      <w:r>
        <w:t>, add</w:t>
      </w:r>
      <w:r w:rsidRPr="00DB762A">
        <w:t xml:space="preserve"> the following new entries</w:t>
      </w:r>
      <w:r>
        <w:t>:</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40"/>
        <w:gridCol w:w="720"/>
        <w:gridCol w:w="1530"/>
        <w:gridCol w:w="270"/>
      </w:tblGrid>
      <w:tr w:rsidR="005264BB" w:rsidRPr="00CE1950" w:rsidTr="00C2474E">
        <w:tc>
          <w:tcPr>
            <w:tcW w:w="1440" w:type="dxa"/>
            <w:vAlign w:val="center"/>
          </w:tcPr>
          <w:p w:rsidR="005264BB" w:rsidRPr="00CE1950" w:rsidRDefault="005264BB" w:rsidP="00C2474E">
            <w:pPr>
              <w:widowControl w:val="0"/>
              <w:spacing w:before="40" w:after="40"/>
              <w:rPr>
                <w:rFonts w:cs="Arial"/>
                <w:sz w:val="18"/>
                <w:szCs w:val="18"/>
              </w:rPr>
            </w:pPr>
            <w:r w:rsidRPr="00CE1950">
              <w:rPr>
                <w:rFonts w:cs="Arial"/>
                <w:iCs/>
                <w:sz w:val="18"/>
                <w:szCs w:val="18"/>
              </w:rPr>
              <w:t>EN </w:t>
            </w:r>
            <w:r w:rsidRPr="00CE1950">
              <w:rPr>
                <w:rFonts w:cs="Arial"/>
                <w:sz w:val="18"/>
                <w:szCs w:val="18"/>
              </w:rPr>
              <w:t>14025:2018</w:t>
            </w:r>
          </w:p>
        </w:tc>
        <w:tc>
          <w:tcPr>
            <w:tcW w:w="4140" w:type="dxa"/>
            <w:vAlign w:val="center"/>
          </w:tcPr>
          <w:p w:rsidR="005264BB" w:rsidRPr="00CE1950" w:rsidRDefault="005264BB" w:rsidP="00C2474E">
            <w:pPr>
              <w:widowControl w:val="0"/>
              <w:spacing w:before="40" w:after="40"/>
              <w:rPr>
                <w:rFonts w:cs="Arial"/>
                <w:sz w:val="18"/>
                <w:szCs w:val="18"/>
              </w:rPr>
            </w:pPr>
            <w:r w:rsidRPr="00CE1950">
              <w:rPr>
                <w:rFonts w:cs="Arial"/>
                <w:sz w:val="18"/>
                <w:szCs w:val="18"/>
              </w:rPr>
              <w:t>Tanks for the transport of dangerous goods – Metallic pressure tanks – Design and construction</w:t>
            </w:r>
          </w:p>
          <w:p w:rsidR="005264BB" w:rsidRPr="00CE1950" w:rsidRDefault="005264BB" w:rsidP="00C2474E">
            <w:pPr>
              <w:widowControl w:val="0"/>
              <w:spacing w:before="40" w:after="40"/>
              <w:rPr>
                <w:rFonts w:cs="Arial"/>
                <w:i/>
                <w:sz w:val="18"/>
                <w:szCs w:val="18"/>
              </w:rPr>
            </w:pPr>
            <w:r w:rsidRPr="00CE1950">
              <w:rPr>
                <w:rFonts w:cs="Arial"/>
                <w:b/>
                <w:bCs/>
                <w:i/>
                <w:sz w:val="18"/>
                <w:szCs w:val="18"/>
              </w:rPr>
              <w:t>NOTE:</w:t>
            </w:r>
            <w:r w:rsidRPr="00CE1950">
              <w:rPr>
                <w:rFonts w:cs="Arial"/>
                <w:i/>
                <w:sz w:val="18"/>
                <w:szCs w:val="18"/>
              </w:rPr>
              <w:t xml:space="preserve"> Materials of shells shall at least be attested by a type 3.1 certificate issued in accordance with standard EN 10204.</w:t>
            </w:r>
          </w:p>
        </w:tc>
        <w:tc>
          <w:tcPr>
            <w:tcW w:w="720" w:type="dxa"/>
            <w:vAlign w:val="center"/>
          </w:tcPr>
          <w:p w:rsidR="005264BB" w:rsidRPr="00CE1950" w:rsidRDefault="005264BB" w:rsidP="00C2474E">
            <w:pPr>
              <w:widowControl w:val="0"/>
              <w:spacing w:before="40" w:after="40"/>
              <w:rPr>
                <w:rFonts w:cs="Arial"/>
                <w:sz w:val="18"/>
                <w:szCs w:val="18"/>
              </w:rPr>
            </w:pPr>
            <w:r w:rsidRPr="00CE1950">
              <w:rPr>
                <w:rFonts w:cs="Arial"/>
                <w:sz w:val="18"/>
                <w:szCs w:val="18"/>
              </w:rPr>
              <w:t>6.8.2.1 and 6.8.3.1</w:t>
            </w:r>
          </w:p>
        </w:tc>
        <w:tc>
          <w:tcPr>
            <w:tcW w:w="1530" w:type="dxa"/>
            <w:vAlign w:val="center"/>
          </w:tcPr>
          <w:p w:rsidR="005264BB" w:rsidRPr="00CE1950" w:rsidRDefault="005264BB" w:rsidP="00C2474E">
            <w:pPr>
              <w:widowControl w:val="0"/>
              <w:spacing w:before="40" w:after="40"/>
              <w:jc w:val="center"/>
              <w:rPr>
                <w:rFonts w:cs="Arial"/>
                <w:sz w:val="18"/>
                <w:szCs w:val="18"/>
              </w:rPr>
            </w:pPr>
            <w:r w:rsidRPr="00CE1950">
              <w:rPr>
                <w:rFonts w:cs="Arial"/>
                <w:sz w:val="18"/>
                <w:szCs w:val="18"/>
              </w:rPr>
              <w:t>Until further notice</w:t>
            </w:r>
          </w:p>
        </w:tc>
        <w:tc>
          <w:tcPr>
            <w:tcW w:w="270" w:type="dxa"/>
            <w:vAlign w:val="center"/>
          </w:tcPr>
          <w:p w:rsidR="005264BB" w:rsidRPr="00CE1950" w:rsidRDefault="005264BB" w:rsidP="00C2474E">
            <w:pPr>
              <w:widowControl w:val="0"/>
              <w:spacing w:before="40" w:after="40"/>
              <w:rPr>
                <w:rFonts w:cs="Arial"/>
                <w:sz w:val="18"/>
                <w:szCs w:val="18"/>
              </w:rPr>
            </w:pPr>
          </w:p>
        </w:tc>
      </w:tr>
      <w:tr w:rsidR="005264BB" w:rsidRPr="00CE1950" w:rsidTr="00C2474E">
        <w:tc>
          <w:tcPr>
            <w:tcW w:w="144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EN 12972:2018</w:t>
            </w:r>
          </w:p>
        </w:tc>
        <w:tc>
          <w:tcPr>
            <w:tcW w:w="414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Tanks for transport of dangerous goods – Testing, inspection and marking of metallic tanks</w:t>
            </w:r>
          </w:p>
        </w:tc>
        <w:tc>
          <w:tcPr>
            <w:tcW w:w="72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6.8.2.3</w:t>
            </w:r>
          </w:p>
        </w:tc>
        <w:tc>
          <w:tcPr>
            <w:tcW w:w="153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Mandatorily from 1 January 2022</w:t>
            </w:r>
          </w:p>
        </w:tc>
        <w:tc>
          <w:tcPr>
            <w:tcW w:w="270" w:type="dxa"/>
            <w:vAlign w:val="center"/>
          </w:tcPr>
          <w:p w:rsidR="005264BB" w:rsidRPr="00CE1950" w:rsidRDefault="005264BB" w:rsidP="00C2474E">
            <w:pPr>
              <w:widowControl w:val="0"/>
              <w:spacing w:before="60" w:after="60"/>
              <w:rPr>
                <w:rFonts w:cs="Arial"/>
                <w:sz w:val="18"/>
                <w:szCs w:val="18"/>
              </w:rPr>
            </w:pPr>
          </w:p>
        </w:tc>
      </w:tr>
    </w:tbl>
    <w:p w:rsidR="005264BB" w:rsidRPr="00E15B59" w:rsidRDefault="005264BB" w:rsidP="005264BB">
      <w:pPr>
        <w:pStyle w:val="Bullet1G"/>
        <w:numPr>
          <w:ilvl w:val="0"/>
          <w:numId w:val="3"/>
        </w:numPr>
        <w:tabs>
          <w:tab w:val="clear" w:pos="1701"/>
          <w:tab w:val="num" w:pos="2438"/>
        </w:tabs>
        <w:spacing w:before="240"/>
        <w:ind w:left="2438"/>
      </w:pPr>
      <w:r>
        <w:t>F</w:t>
      </w:r>
      <w:r w:rsidRPr="00DB762A">
        <w:t>or “EN 12493:2013+A1:2014+AC</w:t>
      </w:r>
      <w:r>
        <w:t>:</w:t>
      </w:r>
      <w:r w:rsidRPr="00DB762A">
        <w:t>2015 (except Annex C)”, in column (4)</w:t>
      </w:r>
      <w:r>
        <w:t>,</w:t>
      </w:r>
      <w:r w:rsidRPr="00DB762A">
        <w:t xml:space="preserve"> </w:t>
      </w:r>
      <w:r>
        <w:t>replace the existing text</w:t>
      </w:r>
      <w:r w:rsidRPr="00DB762A">
        <w:t xml:space="preserve"> with “Between 1 January 2017 and 31 December 2022”.</w:t>
      </w:r>
      <w:r w:rsidRPr="00E15B59">
        <w:t xml:space="preserve"> </w:t>
      </w:r>
    </w:p>
    <w:p w:rsidR="005264BB" w:rsidRPr="00DB762A" w:rsidRDefault="005264BB" w:rsidP="005264BB">
      <w:pPr>
        <w:pStyle w:val="Bullet1G"/>
        <w:numPr>
          <w:ilvl w:val="0"/>
          <w:numId w:val="3"/>
        </w:numPr>
        <w:tabs>
          <w:tab w:val="clear" w:pos="1701"/>
          <w:tab w:val="num" w:pos="2438"/>
        </w:tabs>
        <w:spacing w:before="240"/>
        <w:ind w:left="2438"/>
      </w:pPr>
      <w:r>
        <w:t>A</w:t>
      </w:r>
      <w:r w:rsidRPr="00DB762A">
        <w:t xml:space="preserve">fter the </w:t>
      </w:r>
      <w:r>
        <w:t>existing row</w:t>
      </w:r>
      <w:r w:rsidRPr="00DB762A">
        <w:t xml:space="preserve"> for “EN</w:t>
      </w:r>
      <w:r>
        <w:t> </w:t>
      </w:r>
      <w:r w:rsidRPr="00DB762A">
        <w:t>12493:2013+A1:2014+AC</w:t>
      </w:r>
      <w:r>
        <w:t>:</w:t>
      </w:r>
      <w:r w:rsidRPr="00DB762A">
        <w:t>2015</w:t>
      </w:r>
      <w:r>
        <w:t xml:space="preserve"> (except annex </w:t>
      </w:r>
      <w:r w:rsidRPr="00DB762A">
        <w:t>C)”</w:t>
      </w:r>
      <w:r>
        <w:t>, a</w:t>
      </w:r>
      <w:r w:rsidRPr="00DB762A">
        <w:t>dd the following new entry:</w:t>
      </w:r>
    </w:p>
    <w:tbl>
      <w:tblPr>
        <w:tblW w:w="78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022"/>
        <w:gridCol w:w="1701"/>
        <w:gridCol w:w="1217"/>
        <w:gridCol w:w="270"/>
      </w:tblGrid>
      <w:tr w:rsidR="005264BB" w:rsidRPr="00CE1950" w:rsidTr="00C2474E">
        <w:tc>
          <w:tcPr>
            <w:tcW w:w="1620" w:type="dxa"/>
            <w:vAlign w:val="center"/>
          </w:tcPr>
          <w:p w:rsidR="005264BB" w:rsidRPr="00CE1950" w:rsidRDefault="005264BB" w:rsidP="00C2474E">
            <w:pPr>
              <w:widowControl w:val="0"/>
              <w:spacing w:before="40" w:after="40"/>
              <w:rPr>
                <w:bCs/>
                <w:iCs/>
                <w:sz w:val="18"/>
                <w:szCs w:val="18"/>
              </w:rPr>
            </w:pPr>
            <w:r w:rsidRPr="00CE1950">
              <w:rPr>
                <w:bCs/>
                <w:iCs/>
                <w:sz w:val="18"/>
                <w:szCs w:val="18"/>
              </w:rPr>
              <w:t>EN 12493:2013+ A2:2018 (except Annex C)</w:t>
            </w:r>
          </w:p>
        </w:tc>
        <w:tc>
          <w:tcPr>
            <w:tcW w:w="3022" w:type="dxa"/>
            <w:vAlign w:val="center"/>
          </w:tcPr>
          <w:p w:rsidR="005264BB" w:rsidRPr="00CE1950" w:rsidRDefault="005264BB" w:rsidP="00C2474E">
            <w:pPr>
              <w:widowControl w:val="0"/>
              <w:spacing w:before="40" w:after="40"/>
              <w:rPr>
                <w:bCs/>
                <w:iCs/>
                <w:sz w:val="18"/>
                <w:szCs w:val="18"/>
              </w:rPr>
            </w:pPr>
            <w:r w:rsidRPr="00CE1950">
              <w:rPr>
                <w:bCs/>
                <w:iCs/>
                <w:sz w:val="18"/>
                <w:szCs w:val="18"/>
              </w:rPr>
              <w:t>LPG equipment and accessories - Welded steel pressure vessels for LPG road tankers - Design and manufacture</w:t>
            </w:r>
          </w:p>
        </w:tc>
        <w:tc>
          <w:tcPr>
            <w:tcW w:w="1701" w:type="dxa"/>
            <w:vAlign w:val="center"/>
          </w:tcPr>
          <w:p w:rsidR="005264BB" w:rsidRPr="00CE1950" w:rsidRDefault="005264BB" w:rsidP="00C2474E">
            <w:pPr>
              <w:widowControl w:val="0"/>
              <w:spacing w:before="40" w:after="40"/>
              <w:rPr>
                <w:bCs/>
                <w:sz w:val="18"/>
                <w:szCs w:val="18"/>
              </w:rPr>
            </w:pPr>
            <w:r w:rsidRPr="00CE1950">
              <w:rPr>
                <w:bCs/>
                <w:sz w:val="18"/>
                <w:szCs w:val="18"/>
              </w:rPr>
              <w:t>6.8.2.1, 6.8.2.5</w:t>
            </w:r>
          </w:p>
          <w:p w:rsidR="005264BB" w:rsidRPr="00CE1950" w:rsidRDefault="005264BB" w:rsidP="00C2474E">
            <w:pPr>
              <w:widowControl w:val="0"/>
              <w:spacing w:before="40" w:after="40"/>
              <w:rPr>
                <w:bCs/>
                <w:sz w:val="18"/>
                <w:szCs w:val="18"/>
              </w:rPr>
            </w:pPr>
            <w:r w:rsidRPr="00CE1950">
              <w:rPr>
                <w:bCs/>
                <w:sz w:val="18"/>
                <w:szCs w:val="18"/>
              </w:rPr>
              <w:t>6.8.3.1, 6.8.3.5</w:t>
            </w:r>
          </w:p>
          <w:p w:rsidR="005264BB" w:rsidRPr="00CE1950" w:rsidRDefault="005264BB" w:rsidP="00C2474E">
            <w:pPr>
              <w:widowControl w:val="0"/>
              <w:spacing w:before="40" w:after="40"/>
              <w:rPr>
                <w:bCs/>
                <w:sz w:val="18"/>
                <w:szCs w:val="18"/>
              </w:rPr>
            </w:pPr>
            <w:r w:rsidRPr="00CE1950">
              <w:rPr>
                <w:bCs/>
                <w:sz w:val="18"/>
                <w:szCs w:val="18"/>
              </w:rPr>
              <w:t>6.8.5.1 to 6.8.5.3</w:t>
            </w:r>
          </w:p>
        </w:tc>
        <w:tc>
          <w:tcPr>
            <w:tcW w:w="1217" w:type="dxa"/>
            <w:vAlign w:val="center"/>
          </w:tcPr>
          <w:p w:rsidR="005264BB" w:rsidRPr="00CE1950" w:rsidRDefault="005264BB" w:rsidP="00C2474E">
            <w:pPr>
              <w:widowControl w:val="0"/>
              <w:spacing w:before="40" w:after="40"/>
              <w:jc w:val="center"/>
              <w:rPr>
                <w:bCs/>
                <w:sz w:val="18"/>
                <w:szCs w:val="18"/>
              </w:rPr>
            </w:pPr>
            <w:r w:rsidRPr="00CE1950">
              <w:rPr>
                <w:bCs/>
                <w:sz w:val="18"/>
                <w:szCs w:val="18"/>
              </w:rPr>
              <w:t>Until further notice</w:t>
            </w:r>
          </w:p>
        </w:tc>
        <w:tc>
          <w:tcPr>
            <w:tcW w:w="270" w:type="dxa"/>
          </w:tcPr>
          <w:p w:rsidR="005264BB" w:rsidRPr="00CE1950" w:rsidRDefault="005264BB" w:rsidP="00C2474E">
            <w:pPr>
              <w:widowControl w:val="0"/>
              <w:spacing w:before="40" w:after="40"/>
              <w:jc w:val="center"/>
              <w:rPr>
                <w:bCs/>
                <w:sz w:val="18"/>
                <w:szCs w:val="18"/>
              </w:rPr>
            </w:pPr>
          </w:p>
        </w:tc>
      </w:tr>
    </w:tbl>
    <w:p w:rsidR="004F4419" w:rsidRDefault="004F4419" w:rsidP="005264BB">
      <w:pPr>
        <w:pStyle w:val="SingleTxtG"/>
        <w:spacing w:before="120"/>
        <w:ind w:firstLine="567"/>
      </w:pPr>
    </w:p>
    <w:p w:rsidR="004F4419" w:rsidRDefault="004F4419" w:rsidP="005264BB">
      <w:pPr>
        <w:pStyle w:val="SingleTxtG"/>
        <w:spacing w:before="120"/>
        <w:ind w:firstLine="567"/>
      </w:pPr>
    </w:p>
    <w:p w:rsidR="005264BB" w:rsidRDefault="005264BB" w:rsidP="005264BB">
      <w:pPr>
        <w:pStyle w:val="SingleTxtG"/>
        <w:spacing w:before="120"/>
        <w:ind w:firstLine="567"/>
      </w:pPr>
      <w:r>
        <w:lastRenderedPageBreak/>
        <w:t>(b)</w:t>
      </w:r>
      <w:r>
        <w:tab/>
        <w:t>Under “</w:t>
      </w:r>
      <w:r w:rsidRPr="0003533A">
        <w:rPr>
          <w:b/>
          <w:bCs/>
        </w:rPr>
        <w:t>F</w:t>
      </w:r>
      <w:r w:rsidRPr="00035E6A">
        <w:rPr>
          <w:b/>
          <w:bCs/>
        </w:rPr>
        <w:t xml:space="preserve">or </w:t>
      </w:r>
      <w:r>
        <w:rPr>
          <w:b/>
          <w:bCs/>
        </w:rPr>
        <w:t>equipment</w:t>
      </w:r>
      <w:r>
        <w:t xml:space="preserve">”: </w:t>
      </w:r>
    </w:p>
    <w:p w:rsidR="005264BB" w:rsidRPr="00DC5FF6" w:rsidRDefault="005264BB" w:rsidP="005264BB">
      <w:pPr>
        <w:pStyle w:val="Bullet1G"/>
        <w:numPr>
          <w:ilvl w:val="0"/>
          <w:numId w:val="3"/>
        </w:numPr>
        <w:tabs>
          <w:tab w:val="clear" w:pos="1701"/>
          <w:tab w:val="num" w:pos="2438"/>
        </w:tabs>
        <w:spacing w:before="240"/>
        <w:ind w:left="2438"/>
      </w:pPr>
      <w:r w:rsidRPr="00920269">
        <w:t xml:space="preserve">For “EN 13317:2002+A1:2006”, in column (4), replace the existing text with “Between 1 January 2009 and 31 December 2021”. </w:t>
      </w:r>
    </w:p>
    <w:p w:rsidR="005264BB" w:rsidRPr="00DB762A" w:rsidRDefault="005264BB" w:rsidP="005264BB">
      <w:pPr>
        <w:pStyle w:val="Bullet1G"/>
        <w:numPr>
          <w:ilvl w:val="0"/>
          <w:numId w:val="3"/>
        </w:numPr>
        <w:tabs>
          <w:tab w:val="clear" w:pos="1701"/>
          <w:tab w:val="num" w:pos="2438"/>
        </w:tabs>
        <w:spacing w:before="240"/>
        <w:ind w:left="2438"/>
      </w:pPr>
      <w:r>
        <w:t xml:space="preserve">After the existing row </w:t>
      </w:r>
      <w:r w:rsidRPr="00DB762A">
        <w:t>for “EN 13317:2002+A1:2006”</w:t>
      </w:r>
      <w:r>
        <w:t xml:space="preserve"> add the following new entry</w:t>
      </w:r>
      <w:r w:rsidRPr="00DB762A">
        <w:t>:</w:t>
      </w:r>
    </w:p>
    <w:tbl>
      <w:tblPr>
        <w:tblW w:w="7920" w:type="dxa"/>
        <w:tblInd w:w="116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260"/>
        <w:gridCol w:w="3930"/>
        <w:gridCol w:w="900"/>
        <w:gridCol w:w="1620"/>
        <w:gridCol w:w="210"/>
      </w:tblGrid>
      <w:tr w:rsidR="005264BB" w:rsidRPr="00CE1950" w:rsidTr="00C2474E">
        <w:trPr>
          <w:trHeight w:val="517"/>
        </w:trPr>
        <w:tc>
          <w:tcPr>
            <w:tcW w:w="1260" w:type="dxa"/>
            <w:tcBorders>
              <w:top w:val="single" w:sz="4" w:space="0" w:color="auto"/>
            </w:tcBorders>
            <w:vAlign w:val="center"/>
          </w:tcPr>
          <w:p w:rsidR="005264BB" w:rsidRPr="00CE1950" w:rsidRDefault="005264BB" w:rsidP="00C2474E">
            <w:pPr>
              <w:widowControl w:val="0"/>
              <w:rPr>
                <w:rFonts w:cs="Arial"/>
                <w:sz w:val="18"/>
                <w:szCs w:val="18"/>
              </w:rPr>
            </w:pPr>
            <w:r w:rsidRPr="00CE1950">
              <w:rPr>
                <w:rFonts w:cs="Arial"/>
                <w:sz w:val="18"/>
                <w:szCs w:val="18"/>
              </w:rPr>
              <w:t>EN 13317:2018</w:t>
            </w:r>
          </w:p>
        </w:tc>
        <w:tc>
          <w:tcPr>
            <w:tcW w:w="3930" w:type="dxa"/>
            <w:tcBorders>
              <w:top w:val="single" w:sz="4" w:space="0" w:color="auto"/>
            </w:tcBorders>
            <w:vAlign w:val="center"/>
          </w:tcPr>
          <w:p w:rsidR="005264BB" w:rsidRPr="00CE1950" w:rsidRDefault="005264BB" w:rsidP="00C2474E">
            <w:pPr>
              <w:widowControl w:val="0"/>
              <w:rPr>
                <w:rFonts w:cs="Arial"/>
                <w:sz w:val="18"/>
                <w:szCs w:val="18"/>
              </w:rPr>
            </w:pPr>
            <w:r w:rsidRPr="00CE1950">
              <w:rPr>
                <w:rFonts w:cs="Arial"/>
                <w:sz w:val="18"/>
                <w:szCs w:val="18"/>
              </w:rPr>
              <w:t>Tanks for transport of dangerous goods - Service equipment for tanks - Manhole cover assembly</w:t>
            </w:r>
          </w:p>
        </w:tc>
        <w:tc>
          <w:tcPr>
            <w:tcW w:w="900" w:type="dxa"/>
            <w:tcBorders>
              <w:top w:val="single" w:sz="4" w:space="0" w:color="auto"/>
            </w:tcBorders>
            <w:vAlign w:val="center"/>
          </w:tcPr>
          <w:p w:rsidR="005264BB" w:rsidRPr="00CE1950" w:rsidRDefault="005264BB" w:rsidP="00C2474E">
            <w:pPr>
              <w:widowControl w:val="0"/>
              <w:rPr>
                <w:rFonts w:cs="Arial"/>
                <w:sz w:val="18"/>
                <w:szCs w:val="18"/>
              </w:rPr>
            </w:pPr>
            <w:r w:rsidRPr="00CE1950">
              <w:rPr>
                <w:rFonts w:cs="Arial"/>
                <w:sz w:val="18"/>
                <w:szCs w:val="18"/>
              </w:rPr>
              <w:t>6.8.2.2 and 6.8.2.4.1</w:t>
            </w:r>
          </w:p>
        </w:tc>
        <w:tc>
          <w:tcPr>
            <w:tcW w:w="1620" w:type="dxa"/>
            <w:tcBorders>
              <w:top w:val="single" w:sz="6" w:space="0" w:color="auto"/>
              <w:left w:val="single" w:sz="6" w:space="0" w:color="auto"/>
              <w:bottom w:val="single" w:sz="6" w:space="0" w:color="auto"/>
              <w:right w:val="single" w:sz="6" w:space="0" w:color="auto"/>
            </w:tcBorders>
            <w:vAlign w:val="center"/>
          </w:tcPr>
          <w:p w:rsidR="005264BB" w:rsidRPr="00CE1950" w:rsidRDefault="005264BB" w:rsidP="00C2474E">
            <w:pPr>
              <w:widowControl w:val="0"/>
              <w:rPr>
                <w:rFonts w:cs="Arial"/>
                <w:sz w:val="18"/>
                <w:szCs w:val="18"/>
              </w:rPr>
            </w:pPr>
            <w:r w:rsidRPr="00CE1950">
              <w:rPr>
                <w:rFonts w:cs="Arial"/>
                <w:sz w:val="18"/>
                <w:szCs w:val="18"/>
              </w:rPr>
              <w:t>Until further notice</w:t>
            </w:r>
          </w:p>
        </w:tc>
        <w:tc>
          <w:tcPr>
            <w:tcW w:w="210" w:type="dxa"/>
            <w:tcBorders>
              <w:top w:val="single" w:sz="4" w:space="0" w:color="auto"/>
            </w:tcBorders>
            <w:vAlign w:val="center"/>
          </w:tcPr>
          <w:p w:rsidR="005264BB" w:rsidRPr="00CE1950" w:rsidRDefault="005264BB" w:rsidP="00C2474E">
            <w:pPr>
              <w:widowControl w:val="0"/>
              <w:rPr>
                <w:rFonts w:cs="Arial"/>
                <w:sz w:val="18"/>
                <w:szCs w:val="18"/>
              </w:rPr>
            </w:pPr>
          </w:p>
        </w:tc>
      </w:tr>
    </w:tbl>
    <w:p w:rsidR="005264BB" w:rsidRDefault="005264BB" w:rsidP="005264BB">
      <w:pPr>
        <w:pStyle w:val="SingleTxtG"/>
        <w:spacing w:before="240"/>
        <w:ind w:left="2268" w:hanging="1134"/>
      </w:pPr>
      <w:r w:rsidRPr="00DB762A">
        <w:t>6.8.2.6.2</w:t>
      </w:r>
      <w:r w:rsidRPr="00DB762A">
        <w:tab/>
      </w:r>
      <w:r>
        <w:t>For</w:t>
      </w:r>
      <w:r w:rsidRPr="00DB762A">
        <w:t xml:space="preserve"> “EN 12972:2007”, in column (4), replace the existing text with “Until 30 June 2021”.</w:t>
      </w:r>
      <w:r w:rsidRPr="00E15B59">
        <w:t xml:space="preserve"> </w:t>
      </w:r>
    </w:p>
    <w:p w:rsidR="005264BB" w:rsidRPr="00DB762A" w:rsidRDefault="005264BB" w:rsidP="00F730BB">
      <w:pPr>
        <w:pStyle w:val="Bullet1G"/>
        <w:numPr>
          <w:ilvl w:val="0"/>
          <w:numId w:val="3"/>
        </w:numPr>
        <w:tabs>
          <w:tab w:val="clear" w:pos="1701"/>
          <w:tab w:val="num" w:pos="2438"/>
        </w:tabs>
        <w:spacing w:before="240"/>
        <w:ind w:left="2438"/>
      </w:pPr>
      <w:r w:rsidRPr="00DB762A">
        <w:t>Add the following new entry to the table after the entry for “EN 12972:2007”:</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803"/>
        <w:gridCol w:w="900"/>
        <w:gridCol w:w="1620"/>
        <w:gridCol w:w="337"/>
      </w:tblGrid>
      <w:tr w:rsidR="005264BB" w:rsidRPr="00CE1950" w:rsidTr="00C2474E">
        <w:tc>
          <w:tcPr>
            <w:tcW w:w="144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EN 12972:2018</w:t>
            </w:r>
          </w:p>
        </w:tc>
        <w:tc>
          <w:tcPr>
            <w:tcW w:w="3803"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Tanks for transport of dangerous goods – Testing, inspection and marking of metallic tanks</w:t>
            </w:r>
          </w:p>
        </w:tc>
        <w:tc>
          <w:tcPr>
            <w:tcW w:w="90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6.8.2.4</w:t>
            </w:r>
          </w:p>
          <w:p w:rsidR="005264BB" w:rsidRPr="00CE1950" w:rsidRDefault="005264BB" w:rsidP="00C2474E">
            <w:pPr>
              <w:widowControl w:val="0"/>
              <w:spacing w:before="60" w:after="60"/>
              <w:rPr>
                <w:rFonts w:cs="Arial"/>
                <w:sz w:val="18"/>
                <w:szCs w:val="18"/>
              </w:rPr>
            </w:pPr>
            <w:r w:rsidRPr="00CE1950">
              <w:rPr>
                <w:rFonts w:cs="Arial"/>
                <w:sz w:val="18"/>
                <w:szCs w:val="18"/>
              </w:rPr>
              <w:t>6.8.3.4</w:t>
            </w:r>
          </w:p>
        </w:tc>
        <w:tc>
          <w:tcPr>
            <w:tcW w:w="1620" w:type="dxa"/>
            <w:vAlign w:val="center"/>
          </w:tcPr>
          <w:p w:rsidR="005264BB" w:rsidRPr="00CE1950" w:rsidRDefault="005264BB" w:rsidP="00C2474E">
            <w:pPr>
              <w:widowControl w:val="0"/>
              <w:spacing w:before="60" w:after="60"/>
              <w:rPr>
                <w:rFonts w:cs="Arial"/>
                <w:sz w:val="18"/>
                <w:szCs w:val="18"/>
              </w:rPr>
            </w:pPr>
            <w:r w:rsidRPr="00CE1950">
              <w:rPr>
                <w:rFonts w:cs="Arial"/>
                <w:sz w:val="18"/>
                <w:szCs w:val="18"/>
              </w:rPr>
              <w:t>Mandatorily from 1 July 2021</w:t>
            </w:r>
          </w:p>
        </w:tc>
        <w:tc>
          <w:tcPr>
            <w:tcW w:w="337" w:type="dxa"/>
            <w:vAlign w:val="center"/>
          </w:tcPr>
          <w:p w:rsidR="005264BB" w:rsidRPr="00CE1950" w:rsidRDefault="005264BB" w:rsidP="00C2474E">
            <w:pPr>
              <w:widowControl w:val="0"/>
              <w:spacing w:before="60" w:after="60"/>
              <w:rPr>
                <w:rFonts w:cs="Arial"/>
                <w:sz w:val="18"/>
                <w:szCs w:val="18"/>
              </w:rPr>
            </w:pPr>
          </w:p>
        </w:tc>
      </w:tr>
    </w:tbl>
    <w:p w:rsidR="005264BB" w:rsidRPr="00DB762A" w:rsidRDefault="005264BB" w:rsidP="005264BB">
      <w:pPr>
        <w:pStyle w:val="SingleTxtG"/>
        <w:spacing w:before="120"/>
        <w:ind w:left="2268" w:hanging="1134"/>
        <w:rPr>
          <w:iCs/>
        </w:rPr>
      </w:pPr>
      <w:r w:rsidRPr="00DB762A">
        <w:t>6.8.4 (d)</w:t>
      </w:r>
      <w:r w:rsidRPr="00DB762A">
        <w:tab/>
        <w:t>In TT11, in the paragraph after the Table, replace “EN 14025:2013 + A1:2016” by “EN 14025:2018” and replace “EN 12493:2013+A1:2014+AC:2015” by “EN 12493:2013+A2:2018”.</w:t>
      </w:r>
      <w:r w:rsidRPr="00DB762A">
        <w:rPr>
          <w:iCs/>
        </w:rPr>
        <w:t xml:space="preserve"> </w:t>
      </w:r>
    </w:p>
    <w:p w:rsidR="005264BB" w:rsidRPr="00DC5FF6" w:rsidRDefault="005264BB" w:rsidP="005264BB">
      <w:pPr>
        <w:pStyle w:val="H1G"/>
        <w:spacing w:before="0"/>
      </w:pPr>
      <w:r w:rsidRPr="00DB762A">
        <w:tab/>
      </w:r>
      <w:r w:rsidRPr="00DB762A">
        <w:tab/>
      </w:r>
    </w:p>
    <w:p w:rsidR="005264BB" w:rsidRDefault="005264BB" w:rsidP="005264BB">
      <w:pPr>
        <w:pStyle w:val="HChG"/>
      </w:pPr>
      <w:r>
        <w:tab/>
      </w:r>
      <w:r>
        <w:tab/>
      </w:r>
    </w:p>
    <w:p w:rsidR="005264BB" w:rsidRDefault="005264BB">
      <w:pPr>
        <w:suppressAutoHyphens w:val="0"/>
        <w:spacing w:line="240" w:lineRule="auto"/>
        <w:rPr>
          <w:b/>
          <w:sz w:val="28"/>
        </w:rPr>
      </w:pPr>
      <w:r>
        <w:br w:type="page"/>
      </w:r>
    </w:p>
    <w:p w:rsidR="00CD7149" w:rsidRPr="00DB762A" w:rsidRDefault="005264BB" w:rsidP="00CD7149">
      <w:pPr>
        <w:pStyle w:val="HChG"/>
        <w:rPr>
          <w:highlight w:val="yellow"/>
        </w:rPr>
      </w:pPr>
      <w:r>
        <w:lastRenderedPageBreak/>
        <w:tab/>
      </w:r>
      <w:r>
        <w:tab/>
      </w:r>
      <w:r w:rsidR="00CD7149">
        <w:t>ANNEX II</w:t>
      </w:r>
    </w:p>
    <w:p w:rsidR="00CD7149" w:rsidRPr="00DB762A" w:rsidRDefault="00CD7149" w:rsidP="00CD7149">
      <w:pPr>
        <w:pStyle w:val="HChG"/>
      </w:pPr>
      <w:r w:rsidRPr="00DB762A">
        <w:tab/>
      </w:r>
      <w:r w:rsidRPr="00DB762A">
        <w:tab/>
        <w:t xml:space="preserve">Guideline for the application of EN 12972 (Tanks for transport of dangerous goods - Testing, inspection and marking of metallic tanks) </w:t>
      </w:r>
      <w:r>
        <w:t>for</w:t>
      </w:r>
      <w:r w:rsidRPr="00DB762A">
        <w:t xml:space="preserve"> compliance with RID/ADR</w:t>
      </w:r>
    </w:p>
    <w:p w:rsidR="00CD7149" w:rsidRPr="00DB762A" w:rsidRDefault="00CD7149" w:rsidP="00CD7149">
      <w:pPr>
        <w:pStyle w:val="SingleTxtG"/>
      </w:pPr>
      <w:proofErr w:type="gramStart"/>
      <w:r w:rsidRPr="00DB762A">
        <w:t>In order to</w:t>
      </w:r>
      <w:proofErr w:type="gramEnd"/>
      <w:r w:rsidRPr="00DB762A">
        <w:t xml:space="preserve"> comply with the requirements of ADR, EN</w:t>
      </w:r>
      <w:r>
        <w:t> </w:t>
      </w:r>
      <w:r w:rsidRPr="00DB762A">
        <w:t xml:space="preserve">12972:2007 referenced in 6.8.2.6.2 </w:t>
      </w:r>
      <w:r>
        <w:t xml:space="preserve">of </w:t>
      </w:r>
      <w:r w:rsidRPr="00DB762A">
        <w:t>ADR need</w:t>
      </w:r>
      <w:r>
        <w:t>s</w:t>
      </w:r>
      <w:r w:rsidRPr="00DB762A">
        <w:t xml:space="preserve"> to be applied together with the requirements of ADR in</w:t>
      </w:r>
      <w:r>
        <w:t> </w:t>
      </w:r>
      <w:r w:rsidRPr="00DB762A">
        <w:t>1.1.5.</w:t>
      </w:r>
    </w:p>
    <w:p w:rsidR="00CD7149" w:rsidRPr="00DB762A" w:rsidRDefault="00CD7149" w:rsidP="00CD7149">
      <w:pPr>
        <w:pStyle w:val="SingleTxtG"/>
      </w:pPr>
      <w:r w:rsidRPr="00DB762A">
        <w:t>EN 12972:2018 has been published and it has been decided that this standard will be referenced in the 2021 edition of ADR.</w:t>
      </w:r>
    </w:p>
    <w:p w:rsidR="00CD7149" w:rsidRPr="00BD4799" w:rsidRDefault="00CD7149" w:rsidP="00CD7149">
      <w:pPr>
        <w:pStyle w:val="SingleTxtG"/>
      </w:pPr>
      <w:r w:rsidRPr="00DB762A">
        <w:t xml:space="preserve">To aid compliance with and consistent application of the 2019 edition of ADR, competent authorities are encouraged to approve the use of EN 12972:2018 for testing and </w:t>
      </w:r>
      <w:r>
        <w:t>inspection of</w:t>
      </w:r>
      <w:r w:rsidRPr="00DB762A">
        <w:t xml:space="preserve"> tanks according to ADR 6.8.2.7 paragraph 3 as soon as possible, but no later than 1 January 2020.</w:t>
      </w:r>
    </w:p>
    <w:p w:rsidR="00CD7149" w:rsidRDefault="00CD7149" w:rsidP="005264BB">
      <w:pPr>
        <w:pStyle w:val="HChG"/>
      </w:pPr>
    </w:p>
    <w:p w:rsidR="00CD7149" w:rsidRDefault="00CD7149">
      <w:pPr>
        <w:suppressAutoHyphens w:val="0"/>
        <w:spacing w:line="240" w:lineRule="auto"/>
        <w:rPr>
          <w:b/>
          <w:sz w:val="28"/>
        </w:rPr>
      </w:pPr>
      <w:r>
        <w:br w:type="page"/>
      </w:r>
    </w:p>
    <w:p w:rsidR="005264BB" w:rsidRDefault="00CD7149" w:rsidP="005264BB">
      <w:pPr>
        <w:pStyle w:val="HChG"/>
      </w:pPr>
      <w:r>
        <w:lastRenderedPageBreak/>
        <w:tab/>
      </w:r>
      <w:r>
        <w:tab/>
      </w:r>
      <w:r w:rsidR="005264BB">
        <w:t>ANNEX II</w:t>
      </w:r>
      <w:r>
        <w:t>I</w:t>
      </w:r>
    </w:p>
    <w:p w:rsidR="005264BB" w:rsidRPr="005264BB" w:rsidRDefault="005264BB" w:rsidP="005264BB">
      <w:pPr>
        <w:pStyle w:val="H1G"/>
      </w:pPr>
      <w:r>
        <w:tab/>
      </w:r>
      <w:r>
        <w:tab/>
        <w:t>Draft amendments adopted by the Joint Meeting for entry into force on 1 January 2021</w:t>
      </w:r>
    </w:p>
    <w:p w:rsidR="005264BB" w:rsidRPr="00DB762A" w:rsidRDefault="005264BB" w:rsidP="005264BB">
      <w:pPr>
        <w:pStyle w:val="H1G"/>
      </w:pPr>
      <w:r>
        <w:tab/>
      </w:r>
      <w:r>
        <w:tab/>
      </w:r>
      <w:r w:rsidRPr="00DB762A">
        <w:t>Chapter 1.4</w:t>
      </w:r>
    </w:p>
    <w:p w:rsidR="005264BB" w:rsidRDefault="004F4419" w:rsidP="005264BB">
      <w:pPr>
        <w:pStyle w:val="SingleTxtG"/>
      </w:pPr>
      <w:bookmarkStart w:id="1" w:name="_Hlk525252460"/>
      <w:r>
        <w:t>1.4.3.3</w:t>
      </w:r>
      <w:r w:rsidR="005264BB" w:rsidRPr="00DB762A">
        <w:t xml:space="preserve"> (e)</w:t>
      </w:r>
      <w:bookmarkEnd w:id="1"/>
      <w:r w:rsidR="005264BB" w:rsidRPr="00DB762A">
        <w:tab/>
        <w:t>Delete “maximum” (twice).</w:t>
      </w:r>
    </w:p>
    <w:p w:rsidR="005264BB" w:rsidRPr="00DB762A" w:rsidRDefault="005264BB" w:rsidP="005264BB">
      <w:pPr>
        <w:pStyle w:val="H1G"/>
      </w:pPr>
      <w:r w:rsidRPr="00DB762A">
        <w:tab/>
      </w:r>
      <w:r w:rsidRPr="00DB762A">
        <w:tab/>
        <w:t>Chapter 1.6</w:t>
      </w:r>
    </w:p>
    <w:p w:rsidR="005264BB" w:rsidRPr="00DB762A" w:rsidRDefault="005264BB" w:rsidP="005264BB">
      <w:pPr>
        <w:pStyle w:val="SingleTxtG"/>
      </w:pPr>
      <w:r>
        <w:t>1.6.2.16</w:t>
      </w:r>
      <w:r>
        <w:tab/>
      </w:r>
      <w:r w:rsidRPr="00DB762A">
        <w:t>Add the following new paragraph:</w:t>
      </w:r>
    </w:p>
    <w:p w:rsidR="005264BB" w:rsidRPr="00DB762A" w:rsidRDefault="005264BB" w:rsidP="005264BB">
      <w:pPr>
        <w:pStyle w:val="SingleTxtG"/>
        <w:spacing w:before="120"/>
        <w:rPr>
          <w:i/>
        </w:rPr>
      </w:pPr>
      <w:r w:rsidRPr="00DB762A">
        <w:t>“</w:t>
      </w:r>
      <w:r>
        <w:t>1.6.2.16</w:t>
      </w:r>
      <w:r>
        <w:tab/>
      </w:r>
      <w:r w:rsidRPr="00DB762A">
        <w:t>The requirements of NOTE 3 of 6.2.3.5.1 applicable until 31 December 2020 may continue to be applied until 31 December 2022.”</w:t>
      </w:r>
    </w:p>
    <w:p w:rsidR="005264BB" w:rsidRPr="00DB762A" w:rsidRDefault="005264BB" w:rsidP="005264BB">
      <w:pPr>
        <w:pStyle w:val="SingleTxtG"/>
      </w:pPr>
      <w:r w:rsidRPr="00DB762A">
        <w:t>1.6.3.100</w:t>
      </w:r>
      <w:r w:rsidRPr="00DB762A">
        <w:tab/>
        <w:t>Merge the two existing paragraphs</w:t>
      </w:r>
      <w:r>
        <w:t xml:space="preserve"> under the title, renumber them as </w:t>
      </w:r>
      <w:r w:rsidRPr="00DB762A">
        <w:t>1.6.3.100.1 and add the following new subparagraph 1.6.3.100.2:</w:t>
      </w:r>
    </w:p>
    <w:p w:rsidR="005264BB" w:rsidRDefault="005264BB" w:rsidP="005264BB">
      <w:pPr>
        <w:pStyle w:val="SingleTxtG"/>
      </w:pPr>
      <w:r w:rsidRPr="00DB762A">
        <w:t>“1.6.3.100.2</w:t>
      </w:r>
      <w:r w:rsidRPr="00DB762A">
        <w:tab/>
        <w:t xml:space="preserve">FRP tanks constructed before 1 July 2021 in accordance with the requirements in force up to 31 December 2020 but which do not, however, meet the requirements for the marking of the tank code of 6.9.6.1 applicable as from 1 January 2021 may continue to be marked in accordance with the requirements applicable up to 31 December 2020 until the next periodic inspection after 1 July 2021.” </w:t>
      </w:r>
    </w:p>
    <w:p w:rsidR="005264BB" w:rsidRPr="00DB762A" w:rsidRDefault="005264BB" w:rsidP="005264BB">
      <w:pPr>
        <w:pStyle w:val="H1G"/>
      </w:pPr>
      <w:r>
        <w:tab/>
      </w:r>
      <w:r>
        <w:tab/>
      </w:r>
      <w:r w:rsidRPr="00DB762A">
        <w:t>Chapter 1.8</w:t>
      </w:r>
    </w:p>
    <w:p w:rsidR="005264BB" w:rsidRPr="00DB762A" w:rsidRDefault="005264BB" w:rsidP="005264BB">
      <w:pPr>
        <w:pStyle w:val="SingleTxtG"/>
      </w:pPr>
      <w:r w:rsidRPr="00DB762A">
        <w:t>1.8.5.1</w:t>
      </w:r>
      <w:r w:rsidRPr="00DB762A">
        <w:tab/>
        <w:t xml:space="preserve">After </w:t>
      </w:r>
      <w:r w:rsidRPr="00DB762A">
        <w:rPr>
          <w:iCs/>
        </w:rPr>
        <w:t>"</w:t>
      </w:r>
      <w:r w:rsidRPr="00DB762A">
        <w:t>carrier</w:t>
      </w:r>
      <w:r w:rsidRPr="00DB762A">
        <w:rPr>
          <w:iCs/>
        </w:rPr>
        <w:t>"</w:t>
      </w:r>
      <w:r w:rsidRPr="00DB762A">
        <w:t xml:space="preserve"> add </w:t>
      </w:r>
      <w:r w:rsidRPr="00DB762A">
        <w:rPr>
          <w:iCs/>
        </w:rPr>
        <w:t>"</w:t>
      </w:r>
      <w:r w:rsidRPr="00DB762A">
        <w:t>, unloader</w:t>
      </w:r>
      <w:r w:rsidRPr="00DB762A">
        <w:rPr>
          <w:iCs/>
        </w:rPr>
        <w:t>"</w:t>
      </w:r>
      <w:r w:rsidRPr="00DB762A">
        <w:t>.</w:t>
      </w:r>
    </w:p>
    <w:p w:rsidR="005264BB" w:rsidRPr="00DB762A" w:rsidRDefault="005264BB" w:rsidP="005264BB">
      <w:pPr>
        <w:pStyle w:val="H1G"/>
      </w:pPr>
      <w:r w:rsidRPr="00DB762A">
        <w:tab/>
      </w:r>
      <w:r w:rsidRPr="00DB762A">
        <w:tab/>
        <w:t>Chapter 2.1</w:t>
      </w:r>
    </w:p>
    <w:p w:rsidR="005264BB" w:rsidRPr="00DB762A" w:rsidRDefault="005264BB" w:rsidP="005264BB">
      <w:pPr>
        <w:pStyle w:val="SingleTxtG"/>
        <w:keepNext/>
        <w:keepLines/>
      </w:pPr>
      <w:r>
        <w:t>2.1.3.4.3</w:t>
      </w:r>
      <w:r>
        <w:tab/>
      </w:r>
      <w:r w:rsidRPr="00DB762A">
        <w:t xml:space="preserve">Add the following new paragraph: </w:t>
      </w:r>
    </w:p>
    <w:p w:rsidR="005264BB" w:rsidRPr="00DB762A" w:rsidRDefault="005264BB" w:rsidP="005264BB">
      <w:pPr>
        <w:pStyle w:val="SingleTxtG"/>
      </w:pPr>
      <w:r w:rsidRPr="00DB762A">
        <w:rPr>
          <w:iCs/>
        </w:rPr>
        <w:t>"</w:t>
      </w:r>
      <w:r>
        <w:rPr>
          <w:iCs/>
        </w:rPr>
        <w:t>2.1.3.4.3</w:t>
      </w:r>
      <w:r>
        <w:rPr>
          <w:iCs/>
        </w:rPr>
        <w:tab/>
      </w:r>
      <w:r w:rsidRPr="00DB762A">
        <w:t>Used articles, e.g. transformers and condensers, containing a solution or mixture mentioned in 2.1.3.4.2 shall always be classified under the same entry of Class 9, provided:</w:t>
      </w:r>
    </w:p>
    <w:p w:rsidR="005264BB" w:rsidRPr="00DB762A" w:rsidRDefault="005264BB" w:rsidP="005264BB">
      <w:pPr>
        <w:pStyle w:val="SingleTxtG"/>
        <w:ind w:left="2694" w:hanging="426"/>
      </w:pPr>
      <w:r>
        <w:t>(a)</w:t>
      </w:r>
      <w:r>
        <w:tab/>
      </w:r>
      <w:r w:rsidRPr="00DB762A">
        <w:t xml:space="preserve">they do not contain any additional dangerous components, other than polyhalogenated </w:t>
      </w:r>
      <w:r w:rsidRPr="00DB762A">
        <w:rPr>
          <w:snapToGrid w:val="0"/>
        </w:rPr>
        <w:t>dibenzodioxins and dibenzofurans</w:t>
      </w:r>
      <w:r w:rsidRPr="00DB762A">
        <w:t xml:space="preserve"> of Class 6.1 or components of packing group III of classes 3, 4.1, 4.2, 4.3, 5.1, 6.1 or 8, and</w:t>
      </w:r>
    </w:p>
    <w:p w:rsidR="005264BB" w:rsidRPr="00DB762A" w:rsidRDefault="005264BB" w:rsidP="005264BB">
      <w:pPr>
        <w:pStyle w:val="SingleTxtG"/>
        <w:ind w:left="2694" w:hanging="426"/>
      </w:pPr>
      <w:r>
        <w:t>(b)</w:t>
      </w:r>
      <w:r>
        <w:tab/>
      </w:r>
      <w:r w:rsidRPr="00DB762A">
        <w:t>they do not have the hazard characteristics as indicated in 2.1.3.5.3 (a) to (g) and (</w:t>
      </w:r>
      <w:proofErr w:type="spellStart"/>
      <w:r w:rsidRPr="00DB762A">
        <w:t>i</w:t>
      </w:r>
      <w:proofErr w:type="spellEnd"/>
      <w:r w:rsidRPr="00DB762A">
        <w:t>)."</w:t>
      </w:r>
    </w:p>
    <w:p w:rsidR="005264BB" w:rsidRPr="00DB762A" w:rsidRDefault="005264BB" w:rsidP="005264BB">
      <w:pPr>
        <w:pStyle w:val="H1G"/>
      </w:pPr>
      <w:r w:rsidRPr="00DB762A">
        <w:tab/>
      </w:r>
      <w:r w:rsidRPr="00DB762A">
        <w:tab/>
        <w:t>Chapter 3.2</w:t>
      </w:r>
      <w:r>
        <w:t>, Table A</w:t>
      </w:r>
    </w:p>
    <w:p w:rsidR="005264BB" w:rsidRPr="00DB762A" w:rsidRDefault="005264BB" w:rsidP="005264BB">
      <w:pPr>
        <w:pStyle w:val="SingleTxtG"/>
        <w:rPr>
          <w:iCs/>
        </w:rPr>
      </w:pPr>
      <w:r>
        <w:rPr>
          <w:iCs/>
        </w:rPr>
        <w:t>F</w:t>
      </w:r>
      <w:r w:rsidRPr="00DB762A">
        <w:rPr>
          <w:iCs/>
        </w:rPr>
        <w:t>or UN Nos. 2211 and 3314, in column (6), insert "675".</w:t>
      </w:r>
    </w:p>
    <w:p w:rsidR="005264BB" w:rsidRPr="00DB762A" w:rsidRDefault="005264BB" w:rsidP="005264BB">
      <w:pPr>
        <w:pStyle w:val="SingleTxtG"/>
      </w:pPr>
      <w:r>
        <w:t>F</w:t>
      </w:r>
      <w:r w:rsidRPr="00DB762A">
        <w:t xml:space="preserve">or UN No.2683, in column (20), replace </w:t>
      </w:r>
      <w:r w:rsidRPr="00DB762A">
        <w:rPr>
          <w:iCs/>
        </w:rPr>
        <w:t>"</w:t>
      </w:r>
      <w:r w:rsidRPr="00DB762A">
        <w:t>86</w:t>
      </w:r>
      <w:r w:rsidRPr="00DB762A">
        <w:rPr>
          <w:iCs/>
        </w:rPr>
        <w:t>"</w:t>
      </w:r>
      <w:r w:rsidRPr="00DB762A">
        <w:t xml:space="preserve"> by </w:t>
      </w:r>
      <w:r w:rsidRPr="00DB762A">
        <w:rPr>
          <w:iCs/>
        </w:rPr>
        <w:t>"</w:t>
      </w:r>
      <w:r w:rsidRPr="00DB762A">
        <w:t>836</w:t>
      </w:r>
      <w:r w:rsidRPr="00DB762A">
        <w:rPr>
          <w:iCs/>
        </w:rPr>
        <w:t>"</w:t>
      </w:r>
      <w:r w:rsidRPr="00DB762A">
        <w:t xml:space="preserve">. </w:t>
      </w:r>
    </w:p>
    <w:p w:rsidR="005264BB" w:rsidRPr="00DB762A" w:rsidRDefault="005264BB" w:rsidP="005264BB">
      <w:pPr>
        <w:pStyle w:val="H1G"/>
      </w:pPr>
      <w:r w:rsidRPr="00DB762A">
        <w:lastRenderedPageBreak/>
        <w:tab/>
      </w:r>
      <w:r w:rsidRPr="00DB762A">
        <w:tab/>
        <w:t>Chapter 3.3</w:t>
      </w:r>
    </w:p>
    <w:p w:rsidR="005264BB" w:rsidRPr="00DB762A" w:rsidRDefault="005264BB" w:rsidP="005264BB">
      <w:pPr>
        <w:pStyle w:val="SingleTxtG"/>
      </w:pPr>
      <w:r w:rsidRPr="00DB762A">
        <w:t>Special provision 386</w:t>
      </w:r>
      <w:r w:rsidRPr="00DB762A">
        <w:tab/>
      </w:r>
      <w:r w:rsidR="00FD6B14">
        <w:t xml:space="preserve"> </w:t>
      </w:r>
      <w:r w:rsidR="00FD6B14">
        <w:tab/>
      </w:r>
      <w:r w:rsidRPr="00DB762A">
        <w:t xml:space="preserve">In the first sentence, replace </w:t>
      </w:r>
      <w:r w:rsidRPr="00DB762A">
        <w:rPr>
          <w:iCs/>
        </w:rPr>
        <w:t>"</w:t>
      </w:r>
      <w:r w:rsidRPr="00DB762A">
        <w:t xml:space="preserve">2.2.41.1.17” by </w:t>
      </w:r>
      <w:r w:rsidRPr="00DB762A">
        <w:rPr>
          <w:iCs/>
        </w:rPr>
        <w:t>"</w:t>
      </w:r>
      <w:r w:rsidRPr="00DB762A">
        <w:t>2.2.41.1.21</w:t>
      </w:r>
      <w:r w:rsidRPr="00DB762A">
        <w:rPr>
          <w:iCs/>
        </w:rPr>
        <w:t>"</w:t>
      </w:r>
      <w:r w:rsidRPr="00DB762A">
        <w:t xml:space="preserve">. </w:t>
      </w:r>
    </w:p>
    <w:p w:rsidR="005264BB" w:rsidRPr="00DB762A" w:rsidRDefault="005264BB" w:rsidP="005264BB">
      <w:pPr>
        <w:pStyle w:val="SingleTxtG"/>
      </w:pPr>
      <w:r w:rsidRPr="00DB762A">
        <w:t>Special provision 556</w:t>
      </w:r>
      <w:r>
        <w:tab/>
      </w:r>
      <w:r w:rsidR="00FD6B14">
        <w:tab/>
      </w:r>
      <w:r w:rsidRPr="00DB762A">
        <w:t xml:space="preserve">Delete and add </w:t>
      </w:r>
      <w:r w:rsidRPr="00DB762A">
        <w:rPr>
          <w:iCs/>
        </w:rPr>
        <w:t>"</w:t>
      </w:r>
      <w:r w:rsidRPr="00DB762A">
        <w:t>(Deleted)</w:t>
      </w:r>
      <w:r w:rsidRPr="00DB762A">
        <w:rPr>
          <w:iCs/>
        </w:rPr>
        <w:t>"</w:t>
      </w:r>
      <w:r w:rsidRPr="00DB762A">
        <w:t>.</w:t>
      </w:r>
    </w:p>
    <w:p w:rsidR="005264BB" w:rsidRPr="00DB762A" w:rsidRDefault="005264BB" w:rsidP="005264BB">
      <w:pPr>
        <w:pStyle w:val="SingleTxtG"/>
      </w:pPr>
      <w:r w:rsidRPr="00DB762A">
        <w:t>Special provision 675</w:t>
      </w:r>
      <w:r w:rsidRPr="00DB762A">
        <w:tab/>
      </w:r>
      <w:r w:rsidR="00FD6B14">
        <w:tab/>
      </w:r>
      <w:r w:rsidRPr="00DB762A">
        <w:t>Add the following new special provision:</w:t>
      </w:r>
    </w:p>
    <w:p w:rsidR="005264BB" w:rsidRPr="00DB762A" w:rsidRDefault="005264BB" w:rsidP="005264BB">
      <w:pPr>
        <w:pStyle w:val="SingleTxtG"/>
      </w:pPr>
      <w:r w:rsidRPr="00DB762A">
        <w:rPr>
          <w:iCs/>
        </w:rPr>
        <w:t>"</w:t>
      </w:r>
      <w:r w:rsidRPr="00DB762A">
        <w:t>675</w:t>
      </w:r>
      <w:r w:rsidRPr="00DB762A">
        <w:tab/>
      </w:r>
      <w:r w:rsidRPr="00DB762A">
        <w:rPr>
          <w:snapToGrid w:val="0"/>
        </w:rPr>
        <w:t xml:space="preserve">For packages containing these dangerous goods, mixed loading with substances and articles of Class 1, </w:t>
      </w:r>
      <w:proofErr w:type="gramStart"/>
      <w:r w:rsidRPr="00DB762A">
        <w:rPr>
          <w:snapToGrid w:val="0"/>
        </w:rPr>
        <w:t>with the exception of</w:t>
      </w:r>
      <w:proofErr w:type="gramEnd"/>
      <w:r w:rsidRPr="00DB762A">
        <w:rPr>
          <w:snapToGrid w:val="0"/>
        </w:rPr>
        <w:t xml:space="preserve"> 1.4S, shall be prohibited.</w:t>
      </w:r>
      <w:r w:rsidRPr="00DB762A">
        <w:rPr>
          <w:iCs/>
        </w:rPr>
        <w:t>"</w:t>
      </w:r>
      <w:r w:rsidRPr="00DB762A">
        <w:t>.</w:t>
      </w:r>
    </w:p>
    <w:p w:rsidR="005264BB" w:rsidRPr="00DB762A" w:rsidRDefault="005264BB" w:rsidP="005264BB">
      <w:pPr>
        <w:pStyle w:val="H1G"/>
      </w:pPr>
      <w:r w:rsidRPr="00DB762A">
        <w:tab/>
      </w:r>
      <w:r w:rsidRPr="00DB762A">
        <w:tab/>
        <w:t>Chapter 5.3</w:t>
      </w:r>
    </w:p>
    <w:p w:rsidR="005264BB" w:rsidRPr="00DB762A" w:rsidRDefault="005264BB" w:rsidP="005264BB">
      <w:pPr>
        <w:pStyle w:val="SingleTxtG"/>
      </w:pPr>
      <w:r w:rsidRPr="00DB762A">
        <w:t>5.3.2.3.2</w:t>
      </w:r>
      <w:r w:rsidRPr="00DB762A">
        <w:tab/>
        <w:t xml:space="preserve">After "X83", insert the </w:t>
      </w:r>
      <w:r>
        <w:t xml:space="preserve">following new </w:t>
      </w:r>
      <w:r w:rsidRPr="00DB762A">
        <w:t>hazard identification number 836:</w:t>
      </w:r>
    </w:p>
    <w:p w:rsidR="005264BB" w:rsidRPr="00DB762A" w:rsidRDefault="005264BB" w:rsidP="005264BB">
      <w:pPr>
        <w:pStyle w:val="SingleTxtG"/>
        <w:rPr>
          <w:bCs/>
        </w:rPr>
      </w:pPr>
      <w:r w:rsidRPr="00DB762A">
        <w:rPr>
          <w:iCs/>
        </w:rPr>
        <w:t>"</w:t>
      </w:r>
      <w:r w:rsidRPr="00DB762A">
        <w:rPr>
          <w:bCs/>
        </w:rPr>
        <w:t>836</w:t>
      </w:r>
      <w:r w:rsidRPr="00DB762A">
        <w:rPr>
          <w:bCs/>
        </w:rPr>
        <w:tab/>
        <w:t>Corrosive or slightly corrosive substance, flammable (flash-point between 23ºC and 60ºC inclusive) and toxic</w:t>
      </w:r>
      <w:r w:rsidRPr="00DB762A">
        <w:rPr>
          <w:iCs/>
        </w:rPr>
        <w:t>"</w:t>
      </w:r>
      <w:r w:rsidRPr="00DB762A">
        <w:rPr>
          <w:bCs/>
        </w:rPr>
        <w:t>.</w:t>
      </w:r>
    </w:p>
    <w:p w:rsidR="005264BB" w:rsidRPr="00DB762A" w:rsidRDefault="005264BB" w:rsidP="005264BB">
      <w:pPr>
        <w:pStyle w:val="H1G"/>
      </w:pPr>
      <w:r w:rsidRPr="00DB762A">
        <w:tab/>
      </w:r>
      <w:r w:rsidRPr="00DB762A">
        <w:tab/>
        <w:t>Chapter 6.2</w:t>
      </w:r>
    </w:p>
    <w:p w:rsidR="005264BB" w:rsidRPr="00DB762A" w:rsidRDefault="005264BB" w:rsidP="005264BB">
      <w:pPr>
        <w:pStyle w:val="SingleTxtG"/>
        <w:keepNext/>
        <w:keepLines/>
      </w:pPr>
      <w:r w:rsidRPr="00DB762A">
        <w:t>6.2.3.5.1</w:t>
      </w:r>
      <w:r w:rsidRPr="00DB762A">
        <w:tab/>
        <w:t xml:space="preserve">Replace NOTE 3 </w:t>
      </w:r>
      <w:r>
        <w:t>with the following text</w:t>
      </w:r>
      <w:r w:rsidRPr="00DB762A">
        <w:t>:</w:t>
      </w:r>
    </w:p>
    <w:p w:rsidR="005264BB" w:rsidRDefault="005264BB" w:rsidP="005264BB">
      <w:pPr>
        <w:pStyle w:val="SingleTxtG"/>
        <w:spacing w:before="120"/>
        <w:rPr>
          <w:i/>
        </w:rPr>
      </w:pPr>
      <w:r w:rsidRPr="00DB762A">
        <w:t>“</w:t>
      </w:r>
      <w:r w:rsidRPr="00DB762A">
        <w:rPr>
          <w:b/>
          <w:bCs/>
          <w:i/>
          <w:iCs/>
        </w:rPr>
        <w:t>NOTE 3</w:t>
      </w:r>
      <w:r w:rsidRPr="00DB762A">
        <w:rPr>
          <w:i/>
          <w:iCs/>
        </w:rPr>
        <w:t xml:space="preserve">: </w:t>
      </w:r>
      <w:r>
        <w:rPr>
          <w:i/>
          <w:iCs/>
        </w:rPr>
        <w:tab/>
      </w:r>
      <w:r w:rsidRPr="00DB762A">
        <w:rPr>
          <w:i/>
          <w:iCs/>
        </w:rPr>
        <w:t xml:space="preserve">The check of 6.2.1.6.1 (b) and the hydraulic pressure test of 6.2.1.6.1 (d) may be replaced by ultrasonic examination carried out in accordance with EN ISO </w:t>
      </w:r>
      <w:proofErr w:type="gramStart"/>
      <w:r w:rsidRPr="00DB762A">
        <w:rPr>
          <w:i/>
          <w:iCs/>
        </w:rPr>
        <w:t>18119:[</w:t>
      </w:r>
      <w:proofErr w:type="gramEnd"/>
      <w:r w:rsidRPr="00DB762A">
        <w:rPr>
          <w:i/>
          <w:iCs/>
        </w:rPr>
        <w:t>2018] for cylinders and tubes of seamless steel or seamless aluminium alloy. Notwithstanding clause B.1 of this standard, all cylinders and tubes whose wall thickness is less than the minimum design thickness shall be rejected.</w:t>
      </w:r>
      <w:r w:rsidRPr="00DB762A">
        <w:t>”</w:t>
      </w:r>
      <w:r w:rsidRPr="00DB762A">
        <w:rPr>
          <w:i/>
        </w:rPr>
        <w:t xml:space="preserve"> </w:t>
      </w:r>
    </w:p>
    <w:p w:rsidR="0062058A" w:rsidRPr="00DB762A" w:rsidRDefault="0062058A" w:rsidP="0062058A">
      <w:pPr>
        <w:pStyle w:val="SingleTxtG"/>
        <w:spacing w:before="240"/>
      </w:pPr>
      <w:r w:rsidRPr="00DB762A">
        <w:t>6.2.6.1.5</w:t>
      </w:r>
      <w:r w:rsidRPr="00DB762A">
        <w:tab/>
        <w:t xml:space="preserve">Amend the first sentence to read as follows: </w:t>
      </w:r>
    </w:p>
    <w:p w:rsidR="0062058A" w:rsidRDefault="0062058A" w:rsidP="0062058A">
      <w:pPr>
        <w:pStyle w:val="SingleTxtG"/>
      </w:pPr>
      <w:r w:rsidRPr="00DB762A">
        <w:rPr>
          <w:iCs/>
        </w:rPr>
        <w:t>"</w:t>
      </w:r>
      <w:r w:rsidRPr="00DB762A">
        <w:t xml:space="preserve">The internal pressure of aerosol dispensers at 50 °C shall exceed neither two-thirds of the test pressure nor 1.2 </w:t>
      </w:r>
      <w:proofErr w:type="spellStart"/>
      <w:r w:rsidRPr="00DB762A">
        <w:t>MPa</w:t>
      </w:r>
      <w:proofErr w:type="spellEnd"/>
      <w:r w:rsidRPr="00DB762A">
        <w:t xml:space="preserve"> (12 bar) when using flammable liquefied gases, 1.32</w:t>
      </w:r>
      <w:r>
        <w:t> </w:t>
      </w:r>
      <w:proofErr w:type="spellStart"/>
      <w:r w:rsidRPr="00DB762A">
        <w:t>MPa</w:t>
      </w:r>
      <w:proofErr w:type="spellEnd"/>
      <w:r w:rsidRPr="00DB762A">
        <w:t xml:space="preserve"> (13.2</w:t>
      </w:r>
      <w:r>
        <w:t> </w:t>
      </w:r>
      <w:r w:rsidRPr="00DB762A">
        <w:t>bar) when using non-flammable</w:t>
      </w:r>
      <w:r>
        <w:t xml:space="preserve"> liquefied gases, and 1.5 </w:t>
      </w:r>
      <w:proofErr w:type="spellStart"/>
      <w:r w:rsidRPr="00DB762A">
        <w:t>MPa</w:t>
      </w:r>
      <w:proofErr w:type="spellEnd"/>
      <w:r w:rsidRPr="00DB762A">
        <w:t xml:space="preserve"> (15 bar) when using non-flammable compressed or dissolved gases.</w:t>
      </w:r>
      <w:r w:rsidRPr="00DB762A">
        <w:rPr>
          <w:iCs/>
        </w:rPr>
        <w:t>"</w:t>
      </w:r>
      <w:r w:rsidRPr="00DB762A">
        <w:t>.</w:t>
      </w:r>
    </w:p>
    <w:p w:rsidR="00135526" w:rsidRDefault="00135526" w:rsidP="00135526">
      <w:pPr>
        <w:pStyle w:val="H1G"/>
      </w:pPr>
      <w:r>
        <w:tab/>
      </w:r>
      <w:r>
        <w:tab/>
        <w:t>Chapter 6.8</w:t>
      </w:r>
    </w:p>
    <w:p w:rsidR="00135526" w:rsidRPr="00DB762A" w:rsidRDefault="00135526" w:rsidP="00135526">
      <w:pPr>
        <w:pStyle w:val="SingleTxtG"/>
        <w:spacing w:before="120"/>
      </w:pPr>
      <w:r w:rsidRPr="00DB762A">
        <w:t>6.8.3.4.12</w:t>
      </w:r>
      <w:r w:rsidRPr="00DB762A">
        <w:tab/>
        <w:t>Replace “6.8.3.4.6” by “6.8.2.4.2 and 6.8.2.4.3”.</w:t>
      </w:r>
    </w:p>
    <w:p w:rsidR="005264BB" w:rsidRPr="00DB762A" w:rsidRDefault="005264BB" w:rsidP="005264BB">
      <w:pPr>
        <w:pStyle w:val="H1G"/>
      </w:pPr>
      <w:r>
        <w:tab/>
      </w:r>
      <w:r>
        <w:tab/>
      </w:r>
      <w:r w:rsidRPr="00DB762A">
        <w:t>Chapter 6.9</w:t>
      </w:r>
    </w:p>
    <w:p w:rsidR="005264BB" w:rsidRPr="00DB762A" w:rsidRDefault="005264BB" w:rsidP="005264BB">
      <w:pPr>
        <w:pStyle w:val="SingleTxtG"/>
      </w:pPr>
      <w:r w:rsidRPr="00DB762A">
        <w:t>6.9.6.1</w:t>
      </w:r>
      <w:r w:rsidRPr="00DB762A">
        <w:tab/>
      </w:r>
      <w:r>
        <w:tab/>
        <w:t xml:space="preserve">At the end of the second indent, replace “,” with “;” and add a new </w:t>
      </w:r>
      <w:r w:rsidRPr="00DB762A">
        <w:t>third indent</w:t>
      </w:r>
      <w:r>
        <w:t xml:space="preserve"> to read as follows</w:t>
      </w:r>
      <w:r w:rsidRPr="00DB762A">
        <w:t>:</w:t>
      </w:r>
    </w:p>
    <w:p w:rsidR="005264BB" w:rsidRDefault="005264BB" w:rsidP="00CD7149">
      <w:pPr>
        <w:pStyle w:val="SingleTxtG"/>
        <w:ind w:left="2444" w:hanging="284"/>
      </w:pPr>
      <w:r w:rsidRPr="00DB762A">
        <w:t>“</w:t>
      </w:r>
      <w:r>
        <w:t xml:space="preserve">- </w:t>
      </w:r>
      <w:r>
        <w:tab/>
      </w:r>
      <w:r w:rsidRPr="00DB762A">
        <w:t>where a tank code is required in accordance with 6.8.2.5.2, the second part of the tank code shall indicate the highest value of the calculation pressure for the substance(s) permitted for carriage according to the type approval certificate.”</w:t>
      </w:r>
      <w:r>
        <w:t>.</w:t>
      </w:r>
    </w:p>
    <w:p w:rsidR="00CD7149" w:rsidRPr="00BD4799" w:rsidRDefault="00CD7149" w:rsidP="00CD7149">
      <w:pPr>
        <w:pStyle w:val="SingleTxtG"/>
        <w:ind w:left="2444" w:hanging="284"/>
      </w:pPr>
    </w:p>
    <w:p w:rsidR="005264BB" w:rsidRPr="00FA16BB" w:rsidRDefault="005264BB" w:rsidP="005264BB">
      <w:pPr>
        <w:pStyle w:val="SingleTxtG"/>
        <w:ind w:left="1689"/>
        <w:jc w:val="center"/>
        <w:rPr>
          <w:u w:val="single"/>
        </w:rPr>
      </w:pPr>
      <w:r>
        <w:t>_____________</w:t>
      </w:r>
    </w:p>
    <w:p w:rsidR="00DD396E" w:rsidRDefault="00DD396E"/>
    <w:sectPr w:rsidR="00DD396E" w:rsidSect="005264BB">
      <w:headerReference w:type="even" r:id="rId8"/>
      <w:headerReference w:type="default" r:id="rId9"/>
      <w:footerReference w:type="even" r:id="rId10"/>
      <w:footerReference w:type="default" r:id="rId11"/>
      <w:footnotePr>
        <w:numStart w:val="2"/>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00" w:rsidRDefault="00F35F31">
      <w:pPr>
        <w:spacing w:line="240" w:lineRule="auto"/>
      </w:pPr>
      <w:r>
        <w:separator/>
      </w:r>
    </w:p>
  </w:endnote>
  <w:endnote w:type="continuationSeparator" w:id="0">
    <w:p w:rsidR="00350D00" w:rsidRDefault="00F35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5264BB"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5264BB"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00" w:rsidRDefault="00F35F31">
      <w:pPr>
        <w:spacing w:line="240" w:lineRule="auto"/>
      </w:pPr>
      <w:r>
        <w:separator/>
      </w:r>
    </w:p>
  </w:footnote>
  <w:footnote w:type="continuationSeparator" w:id="0">
    <w:p w:rsidR="00350D00" w:rsidRDefault="00F35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5264BB" w:rsidP="009D2A5B">
    <w:pPr>
      <w:pStyle w:val="Header"/>
      <w:rPr>
        <w:szCs w:val="18"/>
        <w:lang w:val="fr-CH"/>
      </w:rPr>
    </w:pPr>
    <w:r w:rsidRPr="00FA7F6B">
      <w:rPr>
        <w:szCs w:val="18"/>
        <w:lang w:val="fr-CH"/>
      </w:rPr>
      <w:t>INF.</w:t>
    </w:r>
    <w:r>
      <w:rPr>
        <w:szCs w:val="18"/>
        <w:lang w:val="fr-CH"/>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5264BB" w:rsidP="009D2A5B">
    <w:pPr>
      <w:pStyle w:val="Header"/>
      <w:jc w:val="right"/>
      <w:rPr>
        <w:lang w:val="fr-CH"/>
      </w:rPr>
    </w:pPr>
    <w:r>
      <w:rPr>
        <w:lang w:val="fr-CH"/>
      </w:rPr>
      <w:t>INF.2</w:t>
    </w:r>
    <w:r w:rsidR="00CD7149">
      <w:rPr>
        <w:lang w:val="fr-CH"/>
      </w:rPr>
      <w:t>1/Add.1E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85B4B"/>
    <w:multiLevelType w:val="hybridMultilevel"/>
    <w:tmpl w:val="E6E0A216"/>
    <w:lvl w:ilvl="0" w:tplc="6766323E">
      <w:start w:val="1"/>
      <w:numFmt w:val="decimal"/>
      <w:lvlText w:val="%1."/>
      <w:lvlJc w:val="left"/>
      <w:pPr>
        <w:ind w:left="2244" w:hanging="555"/>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numStart w:val="2"/>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BB"/>
    <w:rsid w:val="00021CDD"/>
    <w:rsid w:val="00054D87"/>
    <w:rsid w:val="00135526"/>
    <w:rsid w:val="00350D00"/>
    <w:rsid w:val="003C10B9"/>
    <w:rsid w:val="00472FC4"/>
    <w:rsid w:val="004B5A77"/>
    <w:rsid w:val="004F4419"/>
    <w:rsid w:val="005264BB"/>
    <w:rsid w:val="0062058A"/>
    <w:rsid w:val="0081309C"/>
    <w:rsid w:val="00930F93"/>
    <w:rsid w:val="00BC1C46"/>
    <w:rsid w:val="00C65283"/>
    <w:rsid w:val="00CD4553"/>
    <w:rsid w:val="00CD7149"/>
    <w:rsid w:val="00D063CE"/>
    <w:rsid w:val="00DD396E"/>
    <w:rsid w:val="00E862C9"/>
    <w:rsid w:val="00F35F31"/>
    <w:rsid w:val="00F730BB"/>
    <w:rsid w:val="00FD6B14"/>
    <w:rsid w:val="00FE3C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67EC6"/>
  <w15:chartTrackingRefBased/>
  <w15:docId w15:val="{7D742A48-A341-4DBC-B8DA-EEE02421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4BB"/>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styleId="Hyperlink">
    <w:name w:val="Hyperlink"/>
    <w:semiHidden/>
    <w:rsid w:val="005264BB"/>
    <w:rPr>
      <w:color w:val="0000FF"/>
      <w:u w:val="single"/>
    </w:rPr>
  </w:style>
  <w:style w:type="character" w:customStyle="1" w:styleId="H1GChar">
    <w:name w:val="_ H_1_G Char"/>
    <w:link w:val="H1G"/>
    <w:rsid w:val="005264BB"/>
    <w:rPr>
      <w:rFonts w:eastAsia="Times New Roman"/>
      <w:b/>
      <w:sz w:val="24"/>
      <w:lang w:eastAsia="en-US"/>
    </w:rPr>
  </w:style>
  <w:style w:type="character" w:customStyle="1" w:styleId="SingleTxtGChar">
    <w:name w:val="_ Single Txt_G Char"/>
    <w:link w:val="SingleTxtG"/>
    <w:qFormat/>
    <w:rsid w:val="005264BB"/>
  </w:style>
  <w:style w:type="character" w:customStyle="1" w:styleId="HChGChar">
    <w:name w:val="_ H _Ch_G Char"/>
    <w:link w:val="HChG"/>
    <w:rsid w:val="005264BB"/>
    <w:rPr>
      <w:rFonts w:eastAsia="Times New Roman"/>
      <w:b/>
      <w:sz w:val="28"/>
      <w:lang w:eastAsia="en-US"/>
    </w:rPr>
  </w:style>
  <w:style w:type="character" w:customStyle="1" w:styleId="H23GChar">
    <w:name w:val="_ H_2/3_G Char"/>
    <w:link w:val="H23G"/>
    <w:rsid w:val="005264B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oj/direct-acce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1345</Words>
  <Characters>8574</Characters>
  <Application>Microsoft Office Word</Application>
  <DocSecurity>0</DocSecurity>
  <Lines>295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Christine Barrio-Champeau</cp:lastModifiedBy>
  <cp:revision>15</cp:revision>
  <dcterms:created xsi:type="dcterms:W3CDTF">2018-10-31T10:17:00Z</dcterms:created>
  <dcterms:modified xsi:type="dcterms:W3CDTF">2018-11-01T08:46:00Z</dcterms:modified>
</cp:coreProperties>
</file>