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14:paraId="0D713E0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17E64C" w14:textId="77777777"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EAB38C" w14:textId="77777777"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F6D5B3" w14:textId="005647CB" w:rsidR="00B56E9C" w:rsidRPr="008268C5" w:rsidRDefault="00CD57D2" w:rsidP="00F11976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1E226B">
              <w:rPr>
                <w:b/>
                <w:sz w:val="28"/>
                <w:szCs w:val="28"/>
              </w:rPr>
              <w:t>12</w:t>
            </w:r>
          </w:p>
        </w:tc>
      </w:tr>
    </w:tbl>
    <w:p w14:paraId="4C661C50" w14:textId="77777777"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14:paraId="04590D9F" w14:textId="77777777"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14:paraId="676C3718" w14:textId="77777777"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14:paraId="3D8A859C" w14:textId="0CAA23A1"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B240FC">
        <w:rPr>
          <w:b/>
        </w:rPr>
        <w:t>5</w:t>
      </w:r>
      <w:r w:rsidR="00963ABB" w:rsidRPr="00963ABB">
        <w:rPr>
          <w:b/>
          <w:vertAlign w:val="superscript"/>
        </w:rPr>
        <w:t>th</w:t>
      </w:r>
      <w:r w:rsidR="00963ABB">
        <w:rPr>
          <w:b/>
        </w:rPr>
        <w:t xml:space="preserve"> </w:t>
      </w:r>
      <w:r w:rsidR="00AB32F7" w:rsidRPr="008268C5">
        <w:rPr>
          <w:b/>
        </w:rPr>
        <w:t>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1E226B">
        <w:rPr>
          <w:b/>
        </w:rPr>
        <w:t xml:space="preserve">19 </w:t>
      </w:r>
      <w:r w:rsidR="00B240FC">
        <w:rPr>
          <w:b/>
        </w:rPr>
        <w:t>October</w:t>
      </w:r>
      <w:r>
        <w:rPr>
          <w:b/>
        </w:rPr>
        <w:t xml:space="preserve"> 201</w:t>
      </w:r>
      <w:r w:rsidR="004F0CCB">
        <w:rPr>
          <w:b/>
        </w:rPr>
        <w:t>8</w:t>
      </w:r>
    </w:p>
    <w:p w14:paraId="06348F1C" w14:textId="77777777" w:rsidR="00AB32F7" w:rsidRPr="008268C5" w:rsidRDefault="00AB32F7" w:rsidP="00AB32F7">
      <w:r w:rsidRPr="008268C5">
        <w:t xml:space="preserve">Geneva, </w:t>
      </w:r>
      <w:r w:rsidR="00B240FC">
        <w:t>6</w:t>
      </w:r>
      <w:r w:rsidR="00875C74">
        <w:t>-</w:t>
      </w:r>
      <w:r w:rsidR="00B240FC">
        <w:t>9</w:t>
      </w:r>
      <w:r w:rsidR="00963ABB">
        <w:t xml:space="preserve"> </w:t>
      </w:r>
      <w:r w:rsidR="00B240FC">
        <w:t>November</w:t>
      </w:r>
      <w:r w:rsidRPr="008268C5">
        <w:t xml:space="preserve"> </w:t>
      </w:r>
      <w:r w:rsidR="00B25EB2" w:rsidRPr="008268C5">
        <w:t>201</w:t>
      </w:r>
      <w:r w:rsidR="00963ABB">
        <w:t>8</w:t>
      </w:r>
    </w:p>
    <w:p w14:paraId="2962EC0E" w14:textId="76259527" w:rsidR="002F3C64" w:rsidRDefault="002F3C64" w:rsidP="002F3C64">
      <w:r w:rsidRPr="00566B2D">
        <w:t xml:space="preserve">Item </w:t>
      </w:r>
      <w:r w:rsidR="00B240FC">
        <w:t>5</w:t>
      </w:r>
      <w:r w:rsidR="001E226B">
        <w:t xml:space="preserve"> </w:t>
      </w:r>
      <w:r w:rsidR="00B240FC">
        <w:t>(b)</w:t>
      </w:r>
      <w:r w:rsidRPr="00566B2D">
        <w:t xml:space="preserve"> of the provisional agenda</w:t>
      </w:r>
      <w:r w:rsidR="00566B2D">
        <w:t>:</w:t>
      </w:r>
    </w:p>
    <w:p w14:paraId="5306A87B" w14:textId="77777777" w:rsidR="00B240FC" w:rsidRPr="007D52F1" w:rsidRDefault="00B240FC" w:rsidP="00B240FC">
      <w:pPr>
        <w:rPr>
          <w:b/>
        </w:rPr>
      </w:pPr>
      <w:r w:rsidRPr="007D52F1">
        <w:rPr>
          <w:b/>
        </w:rPr>
        <w:t>Proposals for amendments to annexes A and B of ADR:</w:t>
      </w:r>
    </w:p>
    <w:p w14:paraId="417A56E4" w14:textId="77777777" w:rsidR="00B240FC" w:rsidRPr="007D52F1" w:rsidRDefault="00B240FC" w:rsidP="00B240FC">
      <w:pPr>
        <w:rPr>
          <w:b/>
        </w:rPr>
      </w:pPr>
      <w:r>
        <w:rPr>
          <w:b/>
        </w:rPr>
        <w:t>m</w:t>
      </w:r>
      <w:r w:rsidRPr="007D52F1">
        <w:rPr>
          <w:b/>
        </w:rPr>
        <w:t>iscellaneous proposals</w:t>
      </w:r>
    </w:p>
    <w:p w14:paraId="0D644B5D" w14:textId="15B2CA65" w:rsidR="00B240FC" w:rsidRPr="00890ED4" w:rsidRDefault="00B240FC" w:rsidP="00B240FC">
      <w:pPr>
        <w:pStyle w:val="HChG"/>
      </w:pPr>
      <w:r>
        <w:tab/>
      </w:r>
      <w:r>
        <w:tab/>
      </w:r>
      <w:r w:rsidR="007C0F3F">
        <w:t>More than one trailer (or semi-trailer) in a transport unit (8.1.1)</w:t>
      </w:r>
    </w:p>
    <w:p w14:paraId="5BABDCCA" w14:textId="77777777" w:rsidR="00B240FC" w:rsidRPr="00890ED4" w:rsidRDefault="00B240FC" w:rsidP="00B240FC">
      <w:pPr>
        <w:pStyle w:val="H1G"/>
      </w:pPr>
      <w:r>
        <w:tab/>
      </w:r>
      <w:r>
        <w:tab/>
      </w:r>
      <w:r w:rsidRPr="00890ED4">
        <w:t>Transmitted by the Government</w:t>
      </w:r>
      <w:r w:rsidR="00F11976">
        <w:t>s</w:t>
      </w:r>
      <w:r w:rsidRPr="00890ED4">
        <w:t xml:space="preserve"> of </w:t>
      </w:r>
      <w:r w:rsidR="00F11976">
        <w:t>Finland and Sweden</w:t>
      </w:r>
    </w:p>
    <w:p w14:paraId="368E2168" w14:textId="77777777" w:rsidR="00B240FC" w:rsidRPr="00890ED4" w:rsidRDefault="00B240FC" w:rsidP="00B240FC">
      <w:pPr>
        <w:pStyle w:val="HChG"/>
      </w:pPr>
      <w:r>
        <w:tab/>
      </w:r>
      <w:r>
        <w:tab/>
      </w:r>
      <w:r w:rsidRPr="00890ED4">
        <w:t>Introduction</w:t>
      </w:r>
    </w:p>
    <w:p w14:paraId="17D7D9F7" w14:textId="765EE416" w:rsidR="00220B09" w:rsidRPr="00890ED4" w:rsidRDefault="00B240FC" w:rsidP="00BB63BE">
      <w:pPr>
        <w:pStyle w:val="SingleTxtG"/>
      </w:pPr>
      <w:r w:rsidRPr="00890ED4">
        <w:t>1.</w:t>
      </w:r>
      <w:r w:rsidRPr="00890ED4">
        <w:tab/>
      </w:r>
      <w:r w:rsidR="00BB63BE">
        <w:t>ADR “</w:t>
      </w:r>
      <w:r w:rsidR="000E3D37">
        <w:t>Section</w:t>
      </w:r>
      <w:r w:rsidR="00220B09">
        <w:t xml:space="preserve"> </w:t>
      </w:r>
      <w:r w:rsidR="00220B09">
        <w:rPr>
          <w:rStyle w:val="ttext"/>
          <w:color w:val="333333"/>
        </w:rPr>
        <w:t>8.1.1 reads:</w:t>
      </w:r>
      <w:r w:rsidR="00BB63BE">
        <w:rPr>
          <w:rStyle w:val="ttext"/>
          <w:color w:val="333333"/>
        </w:rPr>
        <w:t xml:space="preserve">” </w:t>
      </w:r>
      <w:r w:rsidR="00220B09">
        <w:t>“A transport unit loaded with dangerous goods may in no case include more than one trailer (or semi-trailer).”</w:t>
      </w:r>
    </w:p>
    <w:p w14:paraId="0F5B07C6" w14:textId="1F242FC9" w:rsidR="00B240FC" w:rsidRPr="00D7606A" w:rsidRDefault="00B240FC" w:rsidP="00B240FC">
      <w:pPr>
        <w:pStyle w:val="SingleTxtG"/>
      </w:pPr>
      <w:r w:rsidRPr="00890ED4">
        <w:t>2.</w:t>
      </w:r>
      <w:r w:rsidRPr="00890ED4">
        <w:tab/>
      </w:r>
      <w:r w:rsidRPr="00D7606A">
        <w:rPr>
          <w:rStyle w:val="ttext"/>
          <w:color w:val="333333"/>
        </w:rPr>
        <w:t>The</w:t>
      </w:r>
      <w:r w:rsidR="0091141B">
        <w:rPr>
          <w:rStyle w:val="ttext"/>
          <w:color w:val="333333"/>
        </w:rPr>
        <w:t xml:space="preserve">re </w:t>
      </w:r>
      <w:proofErr w:type="gramStart"/>
      <w:r w:rsidR="0091141B">
        <w:rPr>
          <w:rStyle w:val="ttext"/>
          <w:color w:val="333333"/>
        </w:rPr>
        <w:t>has</w:t>
      </w:r>
      <w:proofErr w:type="gramEnd"/>
      <w:r w:rsidR="0091141B">
        <w:rPr>
          <w:rStyle w:val="ttext"/>
          <w:color w:val="333333"/>
        </w:rPr>
        <w:t xml:space="preserve"> been several multilateral agreements c</w:t>
      </w:r>
      <w:r w:rsidR="0091141B" w:rsidRPr="0091141B">
        <w:rPr>
          <w:rStyle w:val="ttext"/>
          <w:color w:val="333333"/>
        </w:rPr>
        <w:t>oncerning the number of trailers in a transport unit</w:t>
      </w:r>
      <w:r w:rsidR="0091141B">
        <w:rPr>
          <w:rStyle w:val="ttext"/>
          <w:color w:val="333333"/>
        </w:rPr>
        <w:t xml:space="preserve">. The current </w:t>
      </w:r>
      <w:r w:rsidR="0091141B" w:rsidRPr="002E3A10">
        <w:t>agreement</w:t>
      </w:r>
      <w:r w:rsidR="0091141B">
        <w:rPr>
          <w:rStyle w:val="ttext"/>
          <w:color w:val="333333"/>
        </w:rPr>
        <w:t xml:space="preserve"> </w:t>
      </w:r>
      <w:hyperlink r:id="rId8" w:history="1">
        <w:r w:rsidR="0091141B" w:rsidRPr="001E226B">
          <w:rPr>
            <w:rStyle w:val="Hyperlink"/>
            <w:color w:val="auto"/>
          </w:rPr>
          <w:t>M304</w:t>
        </w:r>
      </w:hyperlink>
      <w:r w:rsidR="0091141B">
        <w:rPr>
          <w:rStyle w:val="ttext"/>
          <w:color w:val="333333"/>
        </w:rPr>
        <w:t xml:space="preserve"> </w:t>
      </w:r>
      <w:r w:rsidR="001A7F08">
        <w:rPr>
          <w:rStyle w:val="ttext"/>
          <w:color w:val="333333"/>
        </w:rPr>
        <w:t xml:space="preserve">is </w:t>
      </w:r>
      <w:r w:rsidR="002C211E">
        <w:rPr>
          <w:rStyle w:val="ttext"/>
          <w:color w:val="333333"/>
        </w:rPr>
        <w:t xml:space="preserve">countersigned </w:t>
      </w:r>
      <w:r w:rsidR="0091141B">
        <w:rPr>
          <w:rStyle w:val="ttext"/>
          <w:color w:val="333333"/>
        </w:rPr>
        <w:t xml:space="preserve">by Sweden, Spain, Finland and Denmark. </w:t>
      </w:r>
    </w:p>
    <w:p w14:paraId="3AC0868B" w14:textId="6068F03E" w:rsidR="00CF7501" w:rsidRDefault="00B240FC" w:rsidP="00B240FC">
      <w:pPr>
        <w:pStyle w:val="SingleTxtG"/>
        <w:rPr>
          <w:lang w:val="en-US"/>
        </w:rPr>
      </w:pPr>
      <w:r>
        <w:t>3</w:t>
      </w:r>
      <w:r w:rsidRPr="00890ED4">
        <w:t>.</w:t>
      </w:r>
      <w:r w:rsidRPr="00890ED4">
        <w:tab/>
      </w:r>
      <w:r w:rsidR="00CF7501">
        <w:rPr>
          <w:lang w:val="en-US"/>
        </w:rPr>
        <w:t>According to M304, b</w:t>
      </w:r>
      <w:r w:rsidR="000E3D37" w:rsidRPr="000E3D37">
        <w:rPr>
          <w:lang w:val="en-US"/>
        </w:rPr>
        <w:t xml:space="preserve">y derogation from the provisions of </w:t>
      </w:r>
      <w:r w:rsidR="00CF7501">
        <w:rPr>
          <w:lang w:val="en-US"/>
        </w:rPr>
        <w:t>section 8.1.1</w:t>
      </w:r>
      <w:r w:rsidR="000E3D37" w:rsidRPr="000E3D37">
        <w:rPr>
          <w:lang w:val="en-US"/>
        </w:rPr>
        <w:t xml:space="preserve"> a transport unit may include more than one trailer (or semi-trailer)</w:t>
      </w:r>
      <w:r w:rsidR="000E3D37">
        <w:rPr>
          <w:lang w:val="en-US"/>
        </w:rPr>
        <w:t xml:space="preserve">. </w:t>
      </w:r>
      <w:r w:rsidR="00DF478C" w:rsidRPr="002D1C9C">
        <w:t xml:space="preserve">One common vehicle combination consists of a lorry, a dolly axle and a semi-trailer, i.e. three </w:t>
      </w:r>
      <w:r w:rsidR="00DF478C" w:rsidRPr="00DF478C">
        <w:t>registered</w:t>
      </w:r>
      <w:r w:rsidR="00DF478C" w:rsidRPr="002D1C9C">
        <w:t xml:space="preserve"> vehicles. This is a combination which is not permitted according to section 8.1.1 of the ADR, since the dolly axle is defined as a centre axle </w:t>
      </w:r>
      <w:r w:rsidR="00DF478C" w:rsidRPr="00DF478C">
        <w:t>trailer</w:t>
      </w:r>
      <w:r w:rsidR="00DF478C" w:rsidRPr="002D1C9C">
        <w:t>, intended as a steering axle for a semi-trailer and registered as a separate trailer.</w:t>
      </w:r>
    </w:p>
    <w:p w14:paraId="63E39DFC" w14:textId="2F163D4E" w:rsidR="002C211E" w:rsidRDefault="00640636" w:rsidP="00B240FC">
      <w:pPr>
        <w:pStyle w:val="SingleTxtG"/>
        <w:rPr>
          <w:lang w:val="en-US"/>
        </w:rPr>
      </w:pPr>
      <w:r>
        <w:t>4</w:t>
      </w:r>
      <w:r w:rsidR="00B240FC" w:rsidRPr="00890ED4">
        <w:t>.</w:t>
      </w:r>
      <w:r w:rsidR="00B240FC" w:rsidRPr="00890ED4">
        <w:tab/>
      </w:r>
      <w:r w:rsidR="008B13FA">
        <w:rPr>
          <w:lang w:val="en-US"/>
        </w:rPr>
        <w:t>T</w:t>
      </w:r>
      <w:r w:rsidR="00CF7501">
        <w:rPr>
          <w:lang w:val="en-US"/>
        </w:rPr>
        <w:t xml:space="preserve">he </w:t>
      </w:r>
      <w:r w:rsidR="00693578">
        <w:rPr>
          <w:lang w:val="en-US"/>
        </w:rPr>
        <w:t xml:space="preserve">agreement </w:t>
      </w:r>
      <w:r w:rsidR="00DF478C">
        <w:rPr>
          <w:lang w:val="en-US"/>
        </w:rPr>
        <w:t>enables</w:t>
      </w:r>
      <w:r w:rsidR="00693578">
        <w:rPr>
          <w:lang w:val="en-US"/>
        </w:rPr>
        <w:t xml:space="preserve"> the </w:t>
      </w:r>
      <w:r w:rsidR="00CF7501">
        <w:rPr>
          <w:lang w:val="en-US"/>
        </w:rPr>
        <w:t xml:space="preserve">competent authority </w:t>
      </w:r>
      <w:r w:rsidR="00693578">
        <w:rPr>
          <w:lang w:val="en-US"/>
        </w:rPr>
        <w:t xml:space="preserve">to </w:t>
      </w:r>
      <w:r w:rsidR="008B13FA">
        <w:rPr>
          <w:lang w:val="en-US"/>
        </w:rPr>
        <w:t>allow</w:t>
      </w:r>
      <w:r w:rsidR="00CF7501">
        <w:rPr>
          <w:lang w:val="en-US"/>
        </w:rPr>
        <w:t xml:space="preserve"> more than one </w:t>
      </w:r>
      <w:r w:rsidR="00CF7501" w:rsidRPr="000E3D37">
        <w:rPr>
          <w:lang w:val="en-US"/>
        </w:rPr>
        <w:t>trailer (or semi-trailer)</w:t>
      </w:r>
      <w:r w:rsidR="00CF7501">
        <w:rPr>
          <w:lang w:val="en-US"/>
        </w:rPr>
        <w:t xml:space="preserve"> on its territory. </w:t>
      </w:r>
      <w:r w:rsidR="002C211E">
        <w:rPr>
          <w:lang w:val="en-US"/>
        </w:rPr>
        <w:t>Altogether, t</w:t>
      </w:r>
      <w:r w:rsidR="00693578">
        <w:rPr>
          <w:lang w:val="en-US"/>
        </w:rPr>
        <w:t xml:space="preserve">he agreements have been in force for a period exceeding </w:t>
      </w:r>
      <w:r w:rsidR="002C211E">
        <w:rPr>
          <w:lang w:val="en-US"/>
        </w:rPr>
        <w:t xml:space="preserve">10 years without any reported safety related incidents or accidents within Finland or Sweden. </w:t>
      </w:r>
    </w:p>
    <w:p w14:paraId="3D0568E0" w14:textId="37D38A74" w:rsidR="008B13FA" w:rsidRDefault="00BB63BE" w:rsidP="00B240FC">
      <w:pPr>
        <w:pStyle w:val="SingleTxtG"/>
        <w:rPr>
          <w:rStyle w:val="ttext"/>
          <w:color w:val="333333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CF7501">
        <w:rPr>
          <w:lang w:val="en-US"/>
        </w:rPr>
        <w:t xml:space="preserve">Finland and Sweden would like to propose an amendment </w:t>
      </w:r>
      <w:proofErr w:type="gramStart"/>
      <w:r w:rsidR="00CF7501">
        <w:rPr>
          <w:lang w:val="en-US"/>
        </w:rPr>
        <w:t>in order to</w:t>
      </w:r>
      <w:proofErr w:type="gramEnd"/>
      <w:r w:rsidR="00CF7501">
        <w:rPr>
          <w:lang w:val="en-US"/>
        </w:rPr>
        <w:t xml:space="preserve"> allow the same in ADR regulations</w:t>
      </w:r>
      <w:r w:rsidR="00B240FC" w:rsidRPr="006C5FC9">
        <w:rPr>
          <w:rStyle w:val="ttext"/>
          <w:color w:val="333333"/>
        </w:rPr>
        <w:t xml:space="preserve">. </w:t>
      </w:r>
      <w:r w:rsidR="008B13FA">
        <w:rPr>
          <w:rStyle w:val="ttext"/>
          <w:rFonts w:cs="Calibri"/>
          <w:color w:val="333333"/>
        </w:rPr>
        <w:t xml:space="preserve">The idea is that the competent authority of the country of use (country where the transport operation is carried out) may authorize </w:t>
      </w:r>
      <w:r w:rsidR="00DE79A0">
        <w:rPr>
          <w:lang w:val="en-US"/>
        </w:rPr>
        <w:t>more than one trailer or semi-trailer</w:t>
      </w:r>
      <w:r w:rsidR="008B13FA" w:rsidRPr="00140773">
        <w:t xml:space="preserve"> </w:t>
      </w:r>
      <w:r w:rsidR="008B13FA">
        <w:t>in a transport unit</w:t>
      </w:r>
      <w:r w:rsidR="00DE79A0" w:rsidRPr="00DE79A0">
        <w:t xml:space="preserve"> </w:t>
      </w:r>
      <w:r w:rsidR="00DE79A0">
        <w:t>on its national territory</w:t>
      </w:r>
      <w:r w:rsidR="008B13FA">
        <w:t xml:space="preserve">. This could be done by </w:t>
      </w:r>
      <w:r w:rsidR="002C211E">
        <w:t xml:space="preserve">a </w:t>
      </w:r>
      <w:r w:rsidR="008B13FA">
        <w:t xml:space="preserve">separate authorization or </w:t>
      </w:r>
      <w:r w:rsidR="008B13FA" w:rsidRPr="00140773">
        <w:t xml:space="preserve">through </w:t>
      </w:r>
      <w:r w:rsidR="008B13FA">
        <w:t>national legislation.</w:t>
      </w:r>
    </w:p>
    <w:p w14:paraId="64C50C34" w14:textId="5EDA1110" w:rsidR="00B240FC" w:rsidRDefault="00BB63BE" w:rsidP="00B240FC">
      <w:pPr>
        <w:pStyle w:val="SingleTxtG"/>
        <w:rPr>
          <w:rStyle w:val="ttext"/>
          <w:color w:val="333333"/>
        </w:rPr>
      </w:pPr>
      <w:r>
        <w:t>6</w:t>
      </w:r>
      <w:r w:rsidR="008B13FA" w:rsidRPr="00890ED4">
        <w:t>.</w:t>
      </w:r>
      <w:r w:rsidR="008B13FA" w:rsidRPr="00890ED4">
        <w:tab/>
      </w:r>
      <w:r w:rsidR="00DE79A0">
        <w:t>In any case</w:t>
      </w:r>
      <w:r w:rsidR="008B13FA">
        <w:t xml:space="preserve">, </w:t>
      </w:r>
      <w:r w:rsidR="00DE79A0">
        <w:t>for</w:t>
      </w:r>
      <w:r w:rsidR="002C211E">
        <w:t xml:space="preserve"> a</w:t>
      </w:r>
      <w:r w:rsidR="00DE79A0">
        <w:t xml:space="preserve"> </w:t>
      </w:r>
      <w:r w:rsidR="00140773">
        <w:rPr>
          <w:rStyle w:val="ttext"/>
          <w:color w:val="333333"/>
        </w:rPr>
        <w:t>transport unit</w:t>
      </w:r>
      <w:r w:rsidR="00DE79A0">
        <w:rPr>
          <w:rStyle w:val="ttext"/>
          <w:color w:val="333333"/>
        </w:rPr>
        <w:t>,</w:t>
      </w:r>
      <w:r w:rsidR="00140773">
        <w:rPr>
          <w:rStyle w:val="ttext"/>
          <w:color w:val="333333"/>
        </w:rPr>
        <w:t xml:space="preserve"> regulations</w:t>
      </w:r>
      <w:r w:rsidR="008B13FA">
        <w:rPr>
          <w:rStyle w:val="ttext"/>
          <w:color w:val="333333"/>
        </w:rPr>
        <w:t xml:space="preserve"> concerning the use of vehicle combinations in the country where the transport operation is carried out</w:t>
      </w:r>
      <w:r w:rsidR="00DE79A0">
        <w:rPr>
          <w:rStyle w:val="ttext"/>
          <w:color w:val="333333"/>
        </w:rPr>
        <w:t xml:space="preserve"> shall apply</w:t>
      </w:r>
      <w:r w:rsidR="008B13FA">
        <w:rPr>
          <w:rStyle w:val="ttext"/>
          <w:color w:val="333333"/>
        </w:rPr>
        <w:t>.</w:t>
      </w:r>
      <w:r w:rsidR="00746BBF">
        <w:rPr>
          <w:rStyle w:val="ttext"/>
          <w:color w:val="333333"/>
        </w:rPr>
        <w:t xml:space="preserve"> </w:t>
      </w:r>
      <w:r w:rsidR="002C211E">
        <w:rPr>
          <w:rStyle w:val="ttext"/>
          <w:color w:val="333333"/>
        </w:rPr>
        <w:t xml:space="preserve">Consequently, introducing this possibility in ADR would </w:t>
      </w:r>
      <w:r w:rsidR="009F3AE6">
        <w:rPr>
          <w:rStyle w:val="ttext"/>
          <w:color w:val="333333"/>
        </w:rPr>
        <w:t>neither pose a problem in relation to a country’s infrastructure, nor be in contradiction to</w:t>
      </w:r>
      <w:r w:rsidR="002C211E">
        <w:rPr>
          <w:rStyle w:val="ttext"/>
          <w:color w:val="333333"/>
        </w:rPr>
        <w:t xml:space="preserve"> national</w:t>
      </w:r>
      <w:r w:rsidR="009F3AE6">
        <w:rPr>
          <w:rStyle w:val="ttext"/>
          <w:color w:val="333333"/>
        </w:rPr>
        <w:t xml:space="preserve"> provisions concerning the use of vehicles.</w:t>
      </w:r>
    </w:p>
    <w:p w14:paraId="385F6085" w14:textId="0EB779A8" w:rsidR="00746BBF" w:rsidRDefault="00BB63BE" w:rsidP="002F4752">
      <w:pPr>
        <w:pStyle w:val="SingleTxtG"/>
        <w:rPr>
          <w:lang w:val="en-US"/>
        </w:rPr>
      </w:pPr>
      <w:r>
        <w:t>7</w:t>
      </w:r>
      <w:r w:rsidR="00746BBF" w:rsidRPr="00890ED4">
        <w:t>.</w:t>
      </w:r>
      <w:r w:rsidR="00746BBF" w:rsidRPr="00890ED4">
        <w:tab/>
      </w:r>
      <w:r w:rsidR="00746BBF">
        <w:t xml:space="preserve">The similar idea of authorization in a territory of a Contacting Party is used for example for carriage of explosives on MEMUs. See 7.5.5.2.3 (a) (conditions for carriage of explosives on MEMUs): “The competent authority shall authorize the transport operation within its territory”. </w:t>
      </w:r>
    </w:p>
    <w:p w14:paraId="76720E37" w14:textId="7175599E" w:rsidR="00B240FC" w:rsidRDefault="00BB63BE" w:rsidP="00B240FC">
      <w:pPr>
        <w:pStyle w:val="SingleTxtG"/>
      </w:pPr>
      <w:r>
        <w:rPr>
          <w:lang w:val="en-US"/>
        </w:rPr>
        <w:lastRenderedPageBreak/>
        <w:t>8</w:t>
      </w:r>
      <w:r w:rsidR="00B240FC" w:rsidRPr="00606675">
        <w:rPr>
          <w:lang w:val="en-US"/>
        </w:rPr>
        <w:t>.</w:t>
      </w:r>
      <w:r w:rsidR="00B240FC" w:rsidRPr="00606675">
        <w:rPr>
          <w:lang w:val="en-US"/>
        </w:rPr>
        <w:tab/>
      </w:r>
      <w:r w:rsidR="00CF7501">
        <w:rPr>
          <w:rStyle w:val="ttext"/>
          <w:rFonts w:cs="Calibri"/>
          <w:color w:val="333333"/>
        </w:rPr>
        <w:t xml:space="preserve">Finland and Sweden would like to hear the opinion of the Working Party on the </w:t>
      </w:r>
      <w:r w:rsidR="008F0834">
        <w:rPr>
          <w:rStyle w:val="ttext"/>
          <w:rFonts w:cs="Calibri"/>
          <w:color w:val="333333"/>
        </w:rPr>
        <w:t xml:space="preserve">draft </w:t>
      </w:r>
      <w:r w:rsidR="00CF7501">
        <w:rPr>
          <w:rStyle w:val="ttext"/>
          <w:rFonts w:cs="Calibri"/>
          <w:color w:val="333333"/>
        </w:rPr>
        <w:t>proposal</w:t>
      </w:r>
      <w:r w:rsidR="008F0834">
        <w:rPr>
          <w:rStyle w:val="ttext"/>
          <w:rFonts w:cs="Calibri"/>
          <w:color w:val="333333"/>
        </w:rPr>
        <w:t xml:space="preserve"> below</w:t>
      </w:r>
      <w:r w:rsidR="00CF7501">
        <w:rPr>
          <w:rStyle w:val="ttext"/>
          <w:rFonts w:cs="Calibri"/>
          <w:color w:val="333333"/>
        </w:rPr>
        <w:t xml:space="preserve">. </w:t>
      </w:r>
      <w:r w:rsidR="00746BBF">
        <w:rPr>
          <w:rStyle w:val="ttext"/>
          <w:rFonts w:cs="Calibri"/>
          <w:color w:val="333333"/>
        </w:rPr>
        <w:t xml:space="preserve">They are willing to submit an official </w:t>
      </w:r>
      <w:r w:rsidR="009C3D71">
        <w:rPr>
          <w:rStyle w:val="ttext"/>
          <w:rFonts w:cs="Calibri"/>
          <w:color w:val="333333"/>
        </w:rPr>
        <w:t>proposal</w:t>
      </w:r>
      <w:r w:rsidR="00746BBF">
        <w:rPr>
          <w:rStyle w:val="ttext"/>
          <w:rFonts w:cs="Calibri"/>
          <w:color w:val="333333"/>
        </w:rPr>
        <w:t xml:space="preserve"> in one of the future sessions of the Working Party.</w:t>
      </w:r>
    </w:p>
    <w:p w14:paraId="5A8CD50C" w14:textId="77777777" w:rsidR="00B240FC" w:rsidRPr="000005F1" w:rsidRDefault="00B240FC" w:rsidP="00B240FC">
      <w:pPr>
        <w:pStyle w:val="HChG"/>
      </w:pPr>
      <w:r>
        <w:tab/>
      </w:r>
      <w:r w:rsidRPr="000005F1">
        <w:tab/>
        <w:t>Proposal</w:t>
      </w:r>
    </w:p>
    <w:p w14:paraId="67D60DB7" w14:textId="563A32F8" w:rsidR="00B240FC" w:rsidRPr="00890ED4" w:rsidRDefault="00BB63BE" w:rsidP="00B240FC">
      <w:pPr>
        <w:pStyle w:val="SingleTxtG"/>
      </w:pPr>
      <w:r>
        <w:t>9</w:t>
      </w:r>
      <w:bookmarkStart w:id="0" w:name="_GoBack"/>
      <w:bookmarkEnd w:id="0"/>
      <w:r w:rsidR="00B240FC" w:rsidRPr="000005F1">
        <w:t>.</w:t>
      </w:r>
      <w:r w:rsidR="00B240FC" w:rsidRPr="000005F1">
        <w:tab/>
      </w:r>
      <w:r w:rsidR="00140773" w:rsidRPr="000005F1">
        <w:t xml:space="preserve">Add </w:t>
      </w:r>
      <w:r w:rsidR="00140773">
        <w:t>note to 8.1.1</w:t>
      </w:r>
      <w:r w:rsidR="00B240FC" w:rsidRPr="00890ED4">
        <w:t>, as follows:</w:t>
      </w:r>
    </w:p>
    <w:p w14:paraId="197586D2" w14:textId="1E0EF55A" w:rsidR="007C0F3F" w:rsidRDefault="00B240FC" w:rsidP="007C0F3F">
      <w:pPr>
        <w:pStyle w:val="SingleTxtG"/>
        <w:spacing w:after="0"/>
        <w:rPr>
          <w:i/>
        </w:rPr>
      </w:pPr>
      <w:r>
        <w:t>“</w:t>
      </w:r>
      <w:r w:rsidR="00140773" w:rsidRPr="007C0F3F">
        <w:rPr>
          <w:b/>
          <w:i/>
        </w:rPr>
        <w:t>NOTE:</w:t>
      </w:r>
      <w:r w:rsidR="00140773" w:rsidRPr="007C0F3F">
        <w:rPr>
          <w:i/>
        </w:rPr>
        <w:t xml:space="preserve"> </w:t>
      </w:r>
      <w:r w:rsidR="008B13FA" w:rsidRPr="007C0F3F">
        <w:rPr>
          <w:i/>
        </w:rPr>
        <w:t xml:space="preserve">The competent authority of </w:t>
      </w:r>
      <w:r w:rsidR="008B13FA" w:rsidRPr="007C0F3F">
        <w:rPr>
          <w:rStyle w:val="ttext"/>
          <w:i/>
          <w:color w:val="333333"/>
        </w:rPr>
        <w:t>the country where the transport operation is carried out</w:t>
      </w:r>
      <w:r w:rsidR="008B13FA" w:rsidRPr="007C0F3F">
        <w:rPr>
          <w:i/>
        </w:rPr>
        <w:t xml:space="preserve"> may authorize more than one trailer (or semi-trailer) in a transport unit</w:t>
      </w:r>
      <w:r w:rsidR="00DE79A0" w:rsidRPr="007C0F3F">
        <w:rPr>
          <w:i/>
        </w:rPr>
        <w:t xml:space="preserve"> subject to the following condition</w:t>
      </w:r>
      <w:r w:rsidR="007C0F3F" w:rsidRPr="007C0F3F">
        <w:rPr>
          <w:i/>
        </w:rPr>
        <w:t>s</w:t>
      </w:r>
      <w:r w:rsidR="00DE79A0" w:rsidRPr="007C0F3F">
        <w:rPr>
          <w:i/>
        </w:rPr>
        <w:t xml:space="preserve">: </w:t>
      </w:r>
    </w:p>
    <w:p w14:paraId="3EE74361" w14:textId="77777777" w:rsidR="00B6036F" w:rsidRPr="007C0F3F" w:rsidRDefault="00B6036F" w:rsidP="007C0F3F">
      <w:pPr>
        <w:pStyle w:val="SingleTxtG"/>
        <w:spacing w:after="0"/>
        <w:rPr>
          <w:i/>
        </w:rPr>
      </w:pPr>
    </w:p>
    <w:p w14:paraId="373010C0" w14:textId="3AFE0FBD" w:rsidR="007C0F3F" w:rsidRPr="007C0F3F" w:rsidRDefault="00DE79A0" w:rsidP="00B6036F">
      <w:pPr>
        <w:pStyle w:val="SingleTxtG"/>
        <w:numPr>
          <w:ilvl w:val="0"/>
          <w:numId w:val="35"/>
        </w:numPr>
        <w:spacing w:after="0"/>
        <w:rPr>
          <w:rStyle w:val="ttext"/>
          <w:i/>
        </w:rPr>
      </w:pPr>
      <w:r w:rsidRPr="007C0F3F">
        <w:rPr>
          <w:rStyle w:val="ttext"/>
          <w:i/>
          <w:color w:val="333333"/>
        </w:rPr>
        <w:t>When special provision V2 (2) in section 7.2.4 is applicable and where the explosives are carried on a semi-trailer</w:t>
      </w:r>
      <w:r w:rsidR="008F0834">
        <w:rPr>
          <w:rStyle w:val="ttext"/>
          <w:i/>
          <w:color w:val="333333"/>
        </w:rPr>
        <w:t>,</w:t>
      </w:r>
      <w:r w:rsidRPr="007C0F3F">
        <w:rPr>
          <w:rStyle w:val="ttext"/>
          <w:i/>
          <w:color w:val="333333"/>
        </w:rPr>
        <w:t xml:space="preserve"> </w:t>
      </w:r>
      <w:r w:rsidR="008F0834">
        <w:rPr>
          <w:rStyle w:val="ttext"/>
          <w:i/>
          <w:color w:val="333333"/>
        </w:rPr>
        <w:t>a</w:t>
      </w:r>
      <w:r w:rsidR="008F0834" w:rsidRPr="007C0F3F">
        <w:rPr>
          <w:rStyle w:val="ttext"/>
          <w:i/>
          <w:color w:val="333333"/>
        </w:rPr>
        <w:t xml:space="preserve"> </w:t>
      </w:r>
      <w:r w:rsidRPr="007C0F3F">
        <w:rPr>
          <w:rStyle w:val="ttext"/>
          <w:i/>
          <w:color w:val="333333"/>
        </w:rPr>
        <w:t xml:space="preserve">towing vehicle </w:t>
      </w:r>
      <w:r w:rsidR="008F0834">
        <w:rPr>
          <w:rStyle w:val="ttext"/>
          <w:i/>
          <w:color w:val="333333"/>
        </w:rPr>
        <w:t>connected to</w:t>
      </w:r>
      <w:r w:rsidR="008F0834" w:rsidRPr="007C0F3F">
        <w:rPr>
          <w:rStyle w:val="ttext"/>
          <w:i/>
          <w:color w:val="333333"/>
        </w:rPr>
        <w:t xml:space="preserve"> </w:t>
      </w:r>
      <w:r w:rsidRPr="007C0F3F">
        <w:rPr>
          <w:rStyle w:val="ttext"/>
          <w:i/>
          <w:color w:val="333333"/>
        </w:rPr>
        <w:t xml:space="preserve">that semi-trailer shall satisfy the </w:t>
      </w:r>
      <w:r w:rsidR="008F0834">
        <w:rPr>
          <w:rStyle w:val="ttext"/>
          <w:i/>
          <w:color w:val="333333"/>
        </w:rPr>
        <w:t xml:space="preserve">same </w:t>
      </w:r>
      <w:r w:rsidRPr="007C0F3F">
        <w:rPr>
          <w:rStyle w:val="ttext"/>
          <w:i/>
          <w:color w:val="333333"/>
        </w:rPr>
        <w:t>requirement</w:t>
      </w:r>
      <w:r w:rsidR="008F0834">
        <w:rPr>
          <w:rStyle w:val="ttext"/>
          <w:i/>
          <w:color w:val="333333"/>
        </w:rPr>
        <w:t>s as that semi-trailer</w:t>
      </w:r>
      <w:r w:rsidRPr="007C0F3F">
        <w:rPr>
          <w:rStyle w:val="ttext"/>
          <w:i/>
          <w:color w:val="333333"/>
        </w:rPr>
        <w:t xml:space="preserve"> for EX/II or EX/III vehicles, as applica</w:t>
      </w:r>
      <w:r w:rsidR="007C0F3F">
        <w:rPr>
          <w:rStyle w:val="ttext"/>
          <w:i/>
          <w:color w:val="333333"/>
        </w:rPr>
        <w:t>b</w:t>
      </w:r>
      <w:r w:rsidRPr="007C0F3F">
        <w:rPr>
          <w:rStyle w:val="ttext"/>
          <w:i/>
          <w:color w:val="333333"/>
        </w:rPr>
        <w:t>le</w:t>
      </w:r>
      <w:r w:rsidR="007C0F3F">
        <w:rPr>
          <w:rStyle w:val="ttext"/>
          <w:i/>
          <w:color w:val="333333"/>
        </w:rPr>
        <w:t>.</w:t>
      </w:r>
      <w:r w:rsidRPr="007C0F3F">
        <w:rPr>
          <w:rStyle w:val="ttext"/>
          <w:i/>
          <w:color w:val="333333"/>
        </w:rPr>
        <w:t xml:space="preserve"> </w:t>
      </w:r>
    </w:p>
    <w:p w14:paraId="55CD1453" w14:textId="30028F01" w:rsidR="007C0F3F" w:rsidRPr="007C0F3F" w:rsidRDefault="00DE79A0" w:rsidP="00B6036F">
      <w:pPr>
        <w:pStyle w:val="SingleTxtG"/>
        <w:numPr>
          <w:ilvl w:val="0"/>
          <w:numId w:val="35"/>
        </w:numPr>
        <w:spacing w:after="0"/>
        <w:rPr>
          <w:rStyle w:val="ttext"/>
          <w:i/>
        </w:rPr>
      </w:pPr>
      <w:r w:rsidRPr="007C0F3F">
        <w:rPr>
          <w:rStyle w:val="ttext"/>
          <w:i/>
          <w:color w:val="333333"/>
        </w:rPr>
        <w:t xml:space="preserve">A transport unit may not include </w:t>
      </w:r>
      <w:r w:rsidR="008F0834">
        <w:rPr>
          <w:rStyle w:val="ttext"/>
          <w:i/>
          <w:color w:val="333333"/>
        </w:rPr>
        <w:t>more than one</w:t>
      </w:r>
      <w:r w:rsidRPr="007C0F3F">
        <w:rPr>
          <w:rStyle w:val="ttext"/>
          <w:i/>
          <w:color w:val="333333"/>
        </w:rPr>
        <w:t xml:space="preserve"> </w:t>
      </w:r>
      <w:proofErr w:type="spellStart"/>
      <w:r w:rsidRPr="007C0F3F">
        <w:rPr>
          <w:rStyle w:val="ttext"/>
          <w:i/>
          <w:color w:val="333333"/>
        </w:rPr>
        <w:t>center</w:t>
      </w:r>
      <w:proofErr w:type="spellEnd"/>
      <w:r w:rsidRPr="007C0F3F">
        <w:rPr>
          <w:rStyle w:val="ttext"/>
          <w:i/>
          <w:color w:val="333333"/>
        </w:rPr>
        <w:t>-axle trailer.</w:t>
      </w:r>
    </w:p>
    <w:p w14:paraId="19D915F3" w14:textId="346D0AAB" w:rsidR="00B240FC" w:rsidRDefault="007C0F3F" w:rsidP="00B6036F">
      <w:pPr>
        <w:pStyle w:val="SingleTxtG"/>
        <w:numPr>
          <w:ilvl w:val="0"/>
          <w:numId w:val="35"/>
        </w:numPr>
        <w:spacing w:after="0"/>
      </w:pPr>
      <w:r w:rsidRPr="007C0F3F">
        <w:rPr>
          <w:i/>
        </w:rPr>
        <w:t xml:space="preserve">(The </w:t>
      </w:r>
      <w:r w:rsidRPr="007C0F3F">
        <w:rPr>
          <w:rStyle w:val="ttext"/>
          <w:i/>
          <w:color w:val="333333"/>
        </w:rPr>
        <w:t>transport unit shall fulfil the regulations concerning the use of vehicle combinations in the country where the transport operation is carried out.</w:t>
      </w:r>
      <w:r>
        <w:rPr>
          <w:rStyle w:val="ttext"/>
          <w:i/>
          <w:color w:val="333333"/>
        </w:rPr>
        <w:t>)</w:t>
      </w:r>
      <w:r w:rsidR="000C3EF8">
        <w:rPr>
          <w:rStyle w:val="ttext"/>
          <w:i/>
          <w:color w:val="333333"/>
        </w:rPr>
        <w:t>.</w:t>
      </w:r>
      <w:r w:rsidR="00B240FC">
        <w:t>”</w:t>
      </w:r>
      <w:r w:rsidR="005470FC">
        <w:t xml:space="preserve"> </w:t>
      </w:r>
    </w:p>
    <w:p w14:paraId="382BD768" w14:textId="77777777" w:rsidR="00C466C7" w:rsidRPr="00FA16BB" w:rsidRDefault="00C466C7" w:rsidP="00C466C7">
      <w:pPr>
        <w:spacing w:before="240"/>
        <w:ind w:left="1134" w:right="992"/>
        <w:jc w:val="center"/>
        <w:rPr>
          <w:u w:val="single"/>
        </w:rPr>
      </w:pPr>
      <w:r>
        <w:t>_____________</w:t>
      </w:r>
    </w:p>
    <w:sectPr w:rsidR="00C466C7" w:rsidRPr="00FA16BB" w:rsidSect="009C2166">
      <w:headerReference w:type="even" r:id="rId9"/>
      <w:headerReference w:type="default" r:id="rId10"/>
      <w:footerReference w:type="even" r:id="rId11"/>
      <w:footerReference w:type="default" r:id="rId12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C7E2" w14:textId="77777777" w:rsidR="00FF280A" w:rsidRDefault="00FF280A"/>
  </w:endnote>
  <w:endnote w:type="continuationSeparator" w:id="0">
    <w:p w14:paraId="4202C411" w14:textId="77777777" w:rsidR="00FF280A" w:rsidRDefault="00FF280A"/>
  </w:endnote>
  <w:endnote w:type="continuationNotice" w:id="1">
    <w:p w14:paraId="52E3060C" w14:textId="77777777" w:rsidR="00FF280A" w:rsidRDefault="00FF2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B2F3" w14:textId="45238BC8" w:rsidR="008C7AFF" w:rsidRPr="009D2A5B" w:rsidRDefault="000C2DEF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03247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78C1" w14:textId="77777777"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0C2DEF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0C2DEF" w:rsidRPr="009D2A5B">
      <w:rPr>
        <w:b/>
        <w:sz w:val="18"/>
      </w:rPr>
      <w:fldChar w:fldCharType="separate"/>
    </w:r>
    <w:r w:rsidR="00C466C7">
      <w:rPr>
        <w:b/>
        <w:noProof/>
        <w:sz w:val="18"/>
      </w:rPr>
      <w:t>3</w:t>
    </w:r>
    <w:r w:rsidR="000C2DEF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6BFC" w14:textId="77777777" w:rsidR="00FF280A" w:rsidRPr="000B175B" w:rsidRDefault="00FF280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43512F" w14:textId="77777777" w:rsidR="00FF280A" w:rsidRPr="00FC68B7" w:rsidRDefault="00FF280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DBF564" w14:textId="77777777" w:rsidR="00FF280A" w:rsidRDefault="00FF2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9F8F" w14:textId="5CED9945"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1E226B">
      <w:rPr>
        <w:szCs w:val="18"/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C25E" w14:textId="77777777"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3C4E57">
      <w:rPr>
        <w:lang w:val="fr-CH"/>
      </w:rPr>
      <w:t>2</w:t>
    </w:r>
    <w:r w:rsidR="00C466C7">
      <w:rPr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662E18"/>
    <w:multiLevelType w:val="hybridMultilevel"/>
    <w:tmpl w:val="25882728"/>
    <w:lvl w:ilvl="0" w:tplc="7B26FC8C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2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57C69A9"/>
    <w:multiLevelType w:val="hybridMultilevel"/>
    <w:tmpl w:val="6F9E5C32"/>
    <w:lvl w:ilvl="0" w:tplc="0E5C5F32">
      <w:start w:val="1"/>
      <w:numFmt w:val="bullet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8011DD7"/>
    <w:multiLevelType w:val="multilevel"/>
    <w:tmpl w:val="0409001D"/>
    <w:numStyleLink w:val="1ai"/>
  </w:abstractNum>
  <w:abstractNum w:abstractNumId="26" w15:restartNumberingAfterBreak="0">
    <w:nsid w:val="49102151"/>
    <w:multiLevelType w:val="hybridMultilevel"/>
    <w:tmpl w:val="CF9C4C1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93A87"/>
    <w:multiLevelType w:val="hybridMultilevel"/>
    <w:tmpl w:val="088C5BEA"/>
    <w:lvl w:ilvl="0" w:tplc="FDAEA28A">
      <w:start w:val="1"/>
      <w:numFmt w:val="bullet"/>
      <w:lvlText w:val="⁃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78B33ECA"/>
    <w:multiLevelType w:val="hybridMultilevel"/>
    <w:tmpl w:val="FDF2BA0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13241"/>
    <w:multiLevelType w:val="hybridMultilevel"/>
    <w:tmpl w:val="DB783D1E"/>
    <w:lvl w:ilvl="0" w:tplc="6B1C7B0C">
      <w:start w:val="7"/>
      <w:numFmt w:val="bullet"/>
      <w:lvlText w:val="-"/>
      <w:lvlJc w:val="left"/>
      <w:pPr>
        <w:ind w:left="327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28"/>
  </w:num>
  <w:num w:numId="15">
    <w:abstractNumId w:val="16"/>
  </w:num>
  <w:num w:numId="16">
    <w:abstractNumId w:val="13"/>
  </w:num>
  <w:num w:numId="17">
    <w:abstractNumId w:val="33"/>
  </w:num>
  <w:num w:numId="18">
    <w:abstractNumId w:val="29"/>
  </w:num>
  <w:num w:numId="19">
    <w:abstractNumId w:val="24"/>
  </w:num>
  <w:num w:numId="20">
    <w:abstractNumId w:val="27"/>
  </w:num>
  <w:num w:numId="21">
    <w:abstractNumId w:val="31"/>
  </w:num>
  <w:num w:numId="22">
    <w:abstractNumId w:val="25"/>
  </w:num>
  <w:num w:numId="23">
    <w:abstractNumId w:val="14"/>
  </w:num>
  <w:num w:numId="24">
    <w:abstractNumId w:val="10"/>
  </w:num>
  <w:num w:numId="25">
    <w:abstractNumId w:val="22"/>
  </w:num>
  <w:num w:numId="26">
    <w:abstractNumId w:val="12"/>
  </w:num>
  <w:num w:numId="27">
    <w:abstractNumId w:val="21"/>
  </w:num>
  <w:num w:numId="28">
    <w:abstractNumId w:val="17"/>
  </w:num>
  <w:num w:numId="29">
    <w:abstractNumId w:val="19"/>
  </w:num>
  <w:num w:numId="30">
    <w:abstractNumId w:val="32"/>
  </w:num>
  <w:num w:numId="31">
    <w:abstractNumId w:val="15"/>
  </w:num>
  <w:num w:numId="32">
    <w:abstractNumId w:val="23"/>
  </w:num>
  <w:num w:numId="33">
    <w:abstractNumId w:val="34"/>
  </w:num>
  <w:num w:numId="34">
    <w:abstractNumId w:val="26"/>
  </w:num>
  <w:num w:numId="3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05F1"/>
    <w:rsid w:val="00000D25"/>
    <w:rsid w:val="000020A2"/>
    <w:rsid w:val="000035B8"/>
    <w:rsid w:val="00013E97"/>
    <w:rsid w:val="000148E9"/>
    <w:rsid w:val="000149A1"/>
    <w:rsid w:val="00020AD1"/>
    <w:rsid w:val="000218B5"/>
    <w:rsid w:val="000260EE"/>
    <w:rsid w:val="000375AD"/>
    <w:rsid w:val="00037F90"/>
    <w:rsid w:val="00042C00"/>
    <w:rsid w:val="00046B0A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6262"/>
    <w:rsid w:val="0009761A"/>
    <w:rsid w:val="00097B02"/>
    <w:rsid w:val="000A0FD0"/>
    <w:rsid w:val="000A1785"/>
    <w:rsid w:val="000A3752"/>
    <w:rsid w:val="000A58D8"/>
    <w:rsid w:val="000A5CF8"/>
    <w:rsid w:val="000A77BB"/>
    <w:rsid w:val="000B0595"/>
    <w:rsid w:val="000B175B"/>
    <w:rsid w:val="000B363D"/>
    <w:rsid w:val="000B3A0F"/>
    <w:rsid w:val="000B4EF7"/>
    <w:rsid w:val="000B633F"/>
    <w:rsid w:val="000B7AA1"/>
    <w:rsid w:val="000B7EDC"/>
    <w:rsid w:val="000C125A"/>
    <w:rsid w:val="000C2C03"/>
    <w:rsid w:val="000C2D2E"/>
    <w:rsid w:val="000C2DEF"/>
    <w:rsid w:val="000C2F83"/>
    <w:rsid w:val="000C3305"/>
    <w:rsid w:val="000C3328"/>
    <w:rsid w:val="000C3EF8"/>
    <w:rsid w:val="000C4D51"/>
    <w:rsid w:val="000C7F79"/>
    <w:rsid w:val="000D080C"/>
    <w:rsid w:val="000D1E89"/>
    <w:rsid w:val="000D3D97"/>
    <w:rsid w:val="000D7449"/>
    <w:rsid w:val="000D7C1A"/>
    <w:rsid w:val="000D7EE5"/>
    <w:rsid w:val="000E0415"/>
    <w:rsid w:val="000E300C"/>
    <w:rsid w:val="000E3D37"/>
    <w:rsid w:val="000E5C70"/>
    <w:rsid w:val="000E6237"/>
    <w:rsid w:val="000F0284"/>
    <w:rsid w:val="00101DB8"/>
    <w:rsid w:val="00102AA6"/>
    <w:rsid w:val="00103CC1"/>
    <w:rsid w:val="00104CDA"/>
    <w:rsid w:val="001103AA"/>
    <w:rsid w:val="0011119B"/>
    <w:rsid w:val="0011666B"/>
    <w:rsid w:val="0012118B"/>
    <w:rsid w:val="001211F5"/>
    <w:rsid w:val="001362A8"/>
    <w:rsid w:val="00140773"/>
    <w:rsid w:val="00141383"/>
    <w:rsid w:val="00142AB2"/>
    <w:rsid w:val="00154657"/>
    <w:rsid w:val="00155068"/>
    <w:rsid w:val="00162D38"/>
    <w:rsid w:val="001644E3"/>
    <w:rsid w:val="00165F3A"/>
    <w:rsid w:val="00172E32"/>
    <w:rsid w:val="00177CE8"/>
    <w:rsid w:val="0018210E"/>
    <w:rsid w:val="00186D7B"/>
    <w:rsid w:val="00193CA7"/>
    <w:rsid w:val="0019451E"/>
    <w:rsid w:val="0019698C"/>
    <w:rsid w:val="001A1DCF"/>
    <w:rsid w:val="001A6E55"/>
    <w:rsid w:val="001A7F08"/>
    <w:rsid w:val="001B08A2"/>
    <w:rsid w:val="001B13A5"/>
    <w:rsid w:val="001B4B04"/>
    <w:rsid w:val="001B5C50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0E72"/>
    <w:rsid w:val="001E226B"/>
    <w:rsid w:val="001E29E7"/>
    <w:rsid w:val="001E36B4"/>
    <w:rsid w:val="001E5415"/>
    <w:rsid w:val="001E7451"/>
    <w:rsid w:val="001E7B67"/>
    <w:rsid w:val="001F1377"/>
    <w:rsid w:val="001F679D"/>
    <w:rsid w:val="001F7435"/>
    <w:rsid w:val="002027A3"/>
    <w:rsid w:val="00202DA8"/>
    <w:rsid w:val="0021157B"/>
    <w:rsid w:val="00211E0B"/>
    <w:rsid w:val="00220B09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6079"/>
    <w:rsid w:val="00246DAC"/>
    <w:rsid w:val="00247BDC"/>
    <w:rsid w:val="00250A58"/>
    <w:rsid w:val="00252290"/>
    <w:rsid w:val="00252EEE"/>
    <w:rsid w:val="00267F5F"/>
    <w:rsid w:val="00280A1D"/>
    <w:rsid w:val="002820E6"/>
    <w:rsid w:val="002834C5"/>
    <w:rsid w:val="00284DBC"/>
    <w:rsid w:val="00286343"/>
    <w:rsid w:val="00286B4D"/>
    <w:rsid w:val="00287DCC"/>
    <w:rsid w:val="00291E09"/>
    <w:rsid w:val="00292ACF"/>
    <w:rsid w:val="002A0CC5"/>
    <w:rsid w:val="002A3C85"/>
    <w:rsid w:val="002A603B"/>
    <w:rsid w:val="002A6EFA"/>
    <w:rsid w:val="002B46EB"/>
    <w:rsid w:val="002B65D8"/>
    <w:rsid w:val="002B742C"/>
    <w:rsid w:val="002C211E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E3A10"/>
    <w:rsid w:val="002F175C"/>
    <w:rsid w:val="002F3C64"/>
    <w:rsid w:val="002F4752"/>
    <w:rsid w:val="00301D76"/>
    <w:rsid w:val="00302E18"/>
    <w:rsid w:val="0030606F"/>
    <w:rsid w:val="00312976"/>
    <w:rsid w:val="003173A5"/>
    <w:rsid w:val="003229D8"/>
    <w:rsid w:val="00324058"/>
    <w:rsid w:val="003255CD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5D3"/>
    <w:rsid w:val="00393A3C"/>
    <w:rsid w:val="003A10AC"/>
    <w:rsid w:val="003A30E1"/>
    <w:rsid w:val="003A6498"/>
    <w:rsid w:val="003A6728"/>
    <w:rsid w:val="003A6810"/>
    <w:rsid w:val="003A7C69"/>
    <w:rsid w:val="003B36D1"/>
    <w:rsid w:val="003B7418"/>
    <w:rsid w:val="003C2CC4"/>
    <w:rsid w:val="003C4E57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06DC"/>
    <w:rsid w:val="004325CB"/>
    <w:rsid w:val="004356D2"/>
    <w:rsid w:val="004428E6"/>
    <w:rsid w:val="00442A83"/>
    <w:rsid w:val="0044530F"/>
    <w:rsid w:val="00446D76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57DA"/>
    <w:rsid w:val="004760B7"/>
    <w:rsid w:val="0048014F"/>
    <w:rsid w:val="00482DA4"/>
    <w:rsid w:val="0048397A"/>
    <w:rsid w:val="00485C67"/>
    <w:rsid w:val="004A12F2"/>
    <w:rsid w:val="004C1788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55C6"/>
    <w:rsid w:val="004E77B2"/>
    <w:rsid w:val="004F0CCB"/>
    <w:rsid w:val="004F5695"/>
    <w:rsid w:val="004F5C30"/>
    <w:rsid w:val="004F68B6"/>
    <w:rsid w:val="004F7A1B"/>
    <w:rsid w:val="00503DEB"/>
    <w:rsid w:val="00504B2D"/>
    <w:rsid w:val="00507CE8"/>
    <w:rsid w:val="0052013D"/>
    <w:rsid w:val="0052136D"/>
    <w:rsid w:val="00522B58"/>
    <w:rsid w:val="0052389F"/>
    <w:rsid w:val="00523CD7"/>
    <w:rsid w:val="00526FF7"/>
    <w:rsid w:val="0052775E"/>
    <w:rsid w:val="00533685"/>
    <w:rsid w:val="005420F2"/>
    <w:rsid w:val="00545721"/>
    <w:rsid w:val="00546993"/>
    <w:rsid w:val="005470FC"/>
    <w:rsid w:val="005523E5"/>
    <w:rsid w:val="00553B62"/>
    <w:rsid w:val="005628B6"/>
    <w:rsid w:val="005651EF"/>
    <w:rsid w:val="005659C3"/>
    <w:rsid w:val="00566B2D"/>
    <w:rsid w:val="0057049C"/>
    <w:rsid w:val="005706BC"/>
    <w:rsid w:val="00584FAE"/>
    <w:rsid w:val="00586DB8"/>
    <w:rsid w:val="00590F4A"/>
    <w:rsid w:val="005933E3"/>
    <w:rsid w:val="0059363D"/>
    <w:rsid w:val="00596193"/>
    <w:rsid w:val="005A1668"/>
    <w:rsid w:val="005A280E"/>
    <w:rsid w:val="005A6437"/>
    <w:rsid w:val="005B0A84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3A22"/>
    <w:rsid w:val="00605042"/>
    <w:rsid w:val="00611FC4"/>
    <w:rsid w:val="006162FB"/>
    <w:rsid w:val="006167E8"/>
    <w:rsid w:val="00616EEB"/>
    <w:rsid w:val="006176FB"/>
    <w:rsid w:val="0062213C"/>
    <w:rsid w:val="006309EF"/>
    <w:rsid w:val="00633CDB"/>
    <w:rsid w:val="00640636"/>
    <w:rsid w:val="00640B26"/>
    <w:rsid w:val="00642081"/>
    <w:rsid w:val="00644CD3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93578"/>
    <w:rsid w:val="006A2530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D75CD"/>
    <w:rsid w:val="006E3B48"/>
    <w:rsid w:val="006E4935"/>
    <w:rsid w:val="006E564B"/>
    <w:rsid w:val="006E7191"/>
    <w:rsid w:val="006E73A7"/>
    <w:rsid w:val="006F303E"/>
    <w:rsid w:val="006F3CCF"/>
    <w:rsid w:val="00701773"/>
    <w:rsid w:val="00702574"/>
    <w:rsid w:val="00703577"/>
    <w:rsid w:val="00705894"/>
    <w:rsid w:val="007112CD"/>
    <w:rsid w:val="0071793F"/>
    <w:rsid w:val="0072632A"/>
    <w:rsid w:val="007327D5"/>
    <w:rsid w:val="00741721"/>
    <w:rsid w:val="007418F1"/>
    <w:rsid w:val="00743E81"/>
    <w:rsid w:val="00746BBF"/>
    <w:rsid w:val="00753674"/>
    <w:rsid w:val="007543E1"/>
    <w:rsid w:val="00754592"/>
    <w:rsid w:val="007611CF"/>
    <w:rsid w:val="007612FF"/>
    <w:rsid w:val="007629C8"/>
    <w:rsid w:val="00765EC1"/>
    <w:rsid w:val="0077047D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6BA5"/>
    <w:rsid w:val="007B6C1C"/>
    <w:rsid w:val="007C0F3F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157"/>
    <w:rsid w:val="00804222"/>
    <w:rsid w:val="008116D7"/>
    <w:rsid w:val="00811920"/>
    <w:rsid w:val="00815AD0"/>
    <w:rsid w:val="00815E91"/>
    <w:rsid w:val="00817577"/>
    <w:rsid w:val="008212E9"/>
    <w:rsid w:val="008242D7"/>
    <w:rsid w:val="00824EA3"/>
    <w:rsid w:val="008257B1"/>
    <w:rsid w:val="008268C5"/>
    <w:rsid w:val="00835C5B"/>
    <w:rsid w:val="00836F65"/>
    <w:rsid w:val="00840043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5251"/>
    <w:rsid w:val="008979B1"/>
    <w:rsid w:val="008A3058"/>
    <w:rsid w:val="008A6B25"/>
    <w:rsid w:val="008A6C4F"/>
    <w:rsid w:val="008A7F90"/>
    <w:rsid w:val="008B13FA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7341"/>
    <w:rsid w:val="008E0678"/>
    <w:rsid w:val="008E2331"/>
    <w:rsid w:val="008E33CD"/>
    <w:rsid w:val="008E6480"/>
    <w:rsid w:val="008F03A8"/>
    <w:rsid w:val="008F0834"/>
    <w:rsid w:val="008F45E3"/>
    <w:rsid w:val="008F5ACB"/>
    <w:rsid w:val="008F6CE6"/>
    <w:rsid w:val="00905E18"/>
    <w:rsid w:val="00907BA5"/>
    <w:rsid w:val="0091141B"/>
    <w:rsid w:val="0091190D"/>
    <w:rsid w:val="009223CA"/>
    <w:rsid w:val="00927829"/>
    <w:rsid w:val="00933E40"/>
    <w:rsid w:val="00934137"/>
    <w:rsid w:val="009408BB"/>
    <w:rsid w:val="00940F93"/>
    <w:rsid w:val="00943E66"/>
    <w:rsid w:val="0094558F"/>
    <w:rsid w:val="00946884"/>
    <w:rsid w:val="009536F9"/>
    <w:rsid w:val="00956168"/>
    <w:rsid w:val="00961690"/>
    <w:rsid w:val="009636BB"/>
    <w:rsid w:val="00963ABB"/>
    <w:rsid w:val="0097110C"/>
    <w:rsid w:val="009760F3"/>
    <w:rsid w:val="00977203"/>
    <w:rsid w:val="00995AB4"/>
    <w:rsid w:val="00997363"/>
    <w:rsid w:val="0099754E"/>
    <w:rsid w:val="009A0E8D"/>
    <w:rsid w:val="009A3C75"/>
    <w:rsid w:val="009B0F25"/>
    <w:rsid w:val="009B1518"/>
    <w:rsid w:val="009B15AA"/>
    <w:rsid w:val="009B26E7"/>
    <w:rsid w:val="009B350F"/>
    <w:rsid w:val="009C2166"/>
    <w:rsid w:val="009C3D71"/>
    <w:rsid w:val="009C454F"/>
    <w:rsid w:val="009C565B"/>
    <w:rsid w:val="009C58EF"/>
    <w:rsid w:val="009D2486"/>
    <w:rsid w:val="009D2A5B"/>
    <w:rsid w:val="009E18F4"/>
    <w:rsid w:val="009E1D30"/>
    <w:rsid w:val="009E6561"/>
    <w:rsid w:val="009F2BB8"/>
    <w:rsid w:val="009F3AE6"/>
    <w:rsid w:val="00A00A3F"/>
    <w:rsid w:val="00A01489"/>
    <w:rsid w:val="00A03247"/>
    <w:rsid w:val="00A12E50"/>
    <w:rsid w:val="00A14388"/>
    <w:rsid w:val="00A1777D"/>
    <w:rsid w:val="00A2665E"/>
    <w:rsid w:val="00A3009E"/>
    <w:rsid w:val="00A3026E"/>
    <w:rsid w:val="00A30C84"/>
    <w:rsid w:val="00A31D95"/>
    <w:rsid w:val="00A338F1"/>
    <w:rsid w:val="00A3409F"/>
    <w:rsid w:val="00A44D24"/>
    <w:rsid w:val="00A45808"/>
    <w:rsid w:val="00A46763"/>
    <w:rsid w:val="00A477C4"/>
    <w:rsid w:val="00A533E7"/>
    <w:rsid w:val="00A5402C"/>
    <w:rsid w:val="00A56AAB"/>
    <w:rsid w:val="00A7218F"/>
    <w:rsid w:val="00A72F22"/>
    <w:rsid w:val="00A7360F"/>
    <w:rsid w:val="00A748A6"/>
    <w:rsid w:val="00A769F4"/>
    <w:rsid w:val="00A776B4"/>
    <w:rsid w:val="00A86F6A"/>
    <w:rsid w:val="00A915B4"/>
    <w:rsid w:val="00A94361"/>
    <w:rsid w:val="00A94BB3"/>
    <w:rsid w:val="00A95D61"/>
    <w:rsid w:val="00A970A8"/>
    <w:rsid w:val="00AA1F98"/>
    <w:rsid w:val="00AA293C"/>
    <w:rsid w:val="00AA475C"/>
    <w:rsid w:val="00AA5165"/>
    <w:rsid w:val="00AA55D5"/>
    <w:rsid w:val="00AA66C0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E0B20"/>
    <w:rsid w:val="00AE50F3"/>
    <w:rsid w:val="00AF7B8E"/>
    <w:rsid w:val="00B0614C"/>
    <w:rsid w:val="00B101E9"/>
    <w:rsid w:val="00B117CF"/>
    <w:rsid w:val="00B11BB4"/>
    <w:rsid w:val="00B11D71"/>
    <w:rsid w:val="00B12557"/>
    <w:rsid w:val="00B129BB"/>
    <w:rsid w:val="00B12CA6"/>
    <w:rsid w:val="00B2148A"/>
    <w:rsid w:val="00B21F96"/>
    <w:rsid w:val="00B22BC2"/>
    <w:rsid w:val="00B240FC"/>
    <w:rsid w:val="00B24F79"/>
    <w:rsid w:val="00B25EB2"/>
    <w:rsid w:val="00B27148"/>
    <w:rsid w:val="00B27885"/>
    <w:rsid w:val="00B30179"/>
    <w:rsid w:val="00B31424"/>
    <w:rsid w:val="00B34EAB"/>
    <w:rsid w:val="00B36690"/>
    <w:rsid w:val="00B41584"/>
    <w:rsid w:val="00B421C1"/>
    <w:rsid w:val="00B47633"/>
    <w:rsid w:val="00B51CEC"/>
    <w:rsid w:val="00B552A3"/>
    <w:rsid w:val="00B55C71"/>
    <w:rsid w:val="00B56E4A"/>
    <w:rsid w:val="00B56E9C"/>
    <w:rsid w:val="00B6036F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090B"/>
    <w:rsid w:val="00BB1184"/>
    <w:rsid w:val="00BB5635"/>
    <w:rsid w:val="00BB63BE"/>
    <w:rsid w:val="00BB7CD1"/>
    <w:rsid w:val="00BC2725"/>
    <w:rsid w:val="00BC3FA0"/>
    <w:rsid w:val="00BC626B"/>
    <w:rsid w:val="00BC67E1"/>
    <w:rsid w:val="00BC6D21"/>
    <w:rsid w:val="00BC74E9"/>
    <w:rsid w:val="00BC7D09"/>
    <w:rsid w:val="00BD6AE8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804"/>
    <w:rsid w:val="00C30215"/>
    <w:rsid w:val="00C33407"/>
    <w:rsid w:val="00C3410A"/>
    <w:rsid w:val="00C42300"/>
    <w:rsid w:val="00C43462"/>
    <w:rsid w:val="00C43F8F"/>
    <w:rsid w:val="00C4527F"/>
    <w:rsid w:val="00C45E05"/>
    <w:rsid w:val="00C463DD"/>
    <w:rsid w:val="00C466C7"/>
    <w:rsid w:val="00C4724C"/>
    <w:rsid w:val="00C605F3"/>
    <w:rsid w:val="00C629A0"/>
    <w:rsid w:val="00C64629"/>
    <w:rsid w:val="00C66F1F"/>
    <w:rsid w:val="00C745C3"/>
    <w:rsid w:val="00C7755F"/>
    <w:rsid w:val="00C77BE5"/>
    <w:rsid w:val="00C77D17"/>
    <w:rsid w:val="00C900EB"/>
    <w:rsid w:val="00C97C39"/>
    <w:rsid w:val="00C97CF6"/>
    <w:rsid w:val="00CA39FB"/>
    <w:rsid w:val="00CB2276"/>
    <w:rsid w:val="00CB3E03"/>
    <w:rsid w:val="00CB46A6"/>
    <w:rsid w:val="00CB5F84"/>
    <w:rsid w:val="00CC24B7"/>
    <w:rsid w:val="00CC2A1B"/>
    <w:rsid w:val="00CC5B3B"/>
    <w:rsid w:val="00CC719E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501"/>
    <w:rsid w:val="00CF7AC0"/>
    <w:rsid w:val="00D1284B"/>
    <w:rsid w:val="00D13737"/>
    <w:rsid w:val="00D13F4D"/>
    <w:rsid w:val="00D2031B"/>
    <w:rsid w:val="00D224BF"/>
    <w:rsid w:val="00D22523"/>
    <w:rsid w:val="00D25FE2"/>
    <w:rsid w:val="00D43252"/>
    <w:rsid w:val="00D43CDB"/>
    <w:rsid w:val="00D44198"/>
    <w:rsid w:val="00D46E53"/>
    <w:rsid w:val="00D47EEA"/>
    <w:rsid w:val="00D47F36"/>
    <w:rsid w:val="00D5385E"/>
    <w:rsid w:val="00D53946"/>
    <w:rsid w:val="00D550D4"/>
    <w:rsid w:val="00D56292"/>
    <w:rsid w:val="00D62742"/>
    <w:rsid w:val="00D7419E"/>
    <w:rsid w:val="00D773DF"/>
    <w:rsid w:val="00D80842"/>
    <w:rsid w:val="00D810EE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E37C6"/>
    <w:rsid w:val="00DE4970"/>
    <w:rsid w:val="00DE7486"/>
    <w:rsid w:val="00DE79A0"/>
    <w:rsid w:val="00DF0E6D"/>
    <w:rsid w:val="00DF0EC4"/>
    <w:rsid w:val="00DF418D"/>
    <w:rsid w:val="00DF478C"/>
    <w:rsid w:val="00E01B7D"/>
    <w:rsid w:val="00E01D54"/>
    <w:rsid w:val="00E02661"/>
    <w:rsid w:val="00E046DF"/>
    <w:rsid w:val="00E04F33"/>
    <w:rsid w:val="00E10E7D"/>
    <w:rsid w:val="00E13DAF"/>
    <w:rsid w:val="00E14853"/>
    <w:rsid w:val="00E15557"/>
    <w:rsid w:val="00E21502"/>
    <w:rsid w:val="00E261FA"/>
    <w:rsid w:val="00E26778"/>
    <w:rsid w:val="00E27346"/>
    <w:rsid w:val="00E51E40"/>
    <w:rsid w:val="00E54F0D"/>
    <w:rsid w:val="00E5605F"/>
    <w:rsid w:val="00E56FD4"/>
    <w:rsid w:val="00E5731F"/>
    <w:rsid w:val="00E62A14"/>
    <w:rsid w:val="00E62CCF"/>
    <w:rsid w:val="00E71BC8"/>
    <w:rsid w:val="00E7260F"/>
    <w:rsid w:val="00E726E6"/>
    <w:rsid w:val="00E73F5D"/>
    <w:rsid w:val="00E756DA"/>
    <w:rsid w:val="00E77E4E"/>
    <w:rsid w:val="00E77FE5"/>
    <w:rsid w:val="00E836E7"/>
    <w:rsid w:val="00E879F6"/>
    <w:rsid w:val="00E955EE"/>
    <w:rsid w:val="00E96630"/>
    <w:rsid w:val="00E96B8D"/>
    <w:rsid w:val="00E96C02"/>
    <w:rsid w:val="00EA13FC"/>
    <w:rsid w:val="00EA706A"/>
    <w:rsid w:val="00EB65AE"/>
    <w:rsid w:val="00EB7345"/>
    <w:rsid w:val="00EC098C"/>
    <w:rsid w:val="00EC106A"/>
    <w:rsid w:val="00EC32A0"/>
    <w:rsid w:val="00ED7A2A"/>
    <w:rsid w:val="00EE086A"/>
    <w:rsid w:val="00EE65FE"/>
    <w:rsid w:val="00EE6B3A"/>
    <w:rsid w:val="00EF1D7F"/>
    <w:rsid w:val="00F05E4B"/>
    <w:rsid w:val="00F1104B"/>
    <w:rsid w:val="00F11976"/>
    <w:rsid w:val="00F13381"/>
    <w:rsid w:val="00F16B7D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74866"/>
    <w:rsid w:val="00F8015D"/>
    <w:rsid w:val="00F93781"/>
    <w:rsid w:val="00FA038A"/>
    <w:rsid w:val="00FA26FD"/>
    <w:rsid w:val="00FA2814"/>
    <w:rsid w:val="00FA42D6"/>
    <w:rsid w:val="00FA4773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00C"/>
    <w:rsid w:val="00FC68B7"/>
    <w:rsid w:val="00FD3588"/>
    <w:rsid w:val="00FD45C9"/>
    <w:rsid w:val="00FD70F7"/>
    <w:rsid w:val="00FD7C13"/>
    <w:rsid w:val="00FE0275"/>
    <w:rsid w:val="00FE106A"/>
    <w:rsid w:val="00FF145D"/>
    <w:rsid w:val="00FF1D85"/>
    <w:rsid w:val="00FF280A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0D23554"/>
  <w15:docId w15:val="{459282D2-905E-497E-BF00-3B5A956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C97CF6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customStyle="1" w:styleId="ttext">
    <w:name w:val="t_text"/>
    <w:basedOn w:val="DefaultParagraphFont"/>
    <w:rsid w:val="00B2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trans/danger/multi/agree.wpf/M304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5571-0332-4D81-8453-A6734310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7</cp:revision>
  <cp:lastPrinted>2018-10-19T13:29:00Z</cp:lastPrinted>
  <dcterms:created xsi:type="dcterms:W3CDTF">2018-10-19T13:29:00Z</dcterms:created>
  <dcterms:modified xsi:type="dcterms:W3CDTF">2018-10-19T14:46:00Z</dcterms:modified>
</cp:coreProperties>
</file>