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30C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30C61" w:rsidP="00E30C61">
            <w:pPr>
              <w:jc w:val="right"/>
            </w:pPr>
            <w:r w:rsidRPr="00E30C61">
              <w:rPr>
                <w:sz w:val="40"/>
              </w:rPr>
              <w:t>ECE</w:t>
            </w:r>
            <w:r>
              <w:t>/ADN/47</w:t>
            </w:r>
          </w:p>
        </w:tc>
      </w:tr>
      <w:tr w:rsidR="002D5AAC" w:rsidRPr="0084153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30C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30C61" w:rsidRDefault="00E30C61" w:rsidP="00E30C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September 2018</w:t>
            </w:r>
          </w:p>
          <w:p w:rsidR="00E30C61" w:rsidRDefault="00E30C61" w:rsidP="00E30C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30C61" w:rsidRPr="008D53B6" w:rsidRDefault="00E30C61" w:rsidP="00E30C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E30C61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30C61" w:rsidRPr="00E30C61" w:rsidRDefault="00E30C61" w:rsidP="00E30C61">
      <w:pPr>
        <w:pStyle w:val="SingleTxtGR"/>
        <w:spacing w:after="0"/>
        <w:ind w:left="0"/>
        <w:jc w:val="left"/>
        <w:rPr>
          <w:b/>
        </w:rPr>
      </w:pPr>
      <w:r w:rsidRPr="00E30C61">
        <w:rPr>
          <w:b/>
        </w:rPr>
        <w:t xml:space="preserve">Административный комитет Европейского соглашения </w:t>
      </w:r>
      <w:r>
        <w:rPr>
          <w:b/>
        </w:rPr>
        <w:br/>
      </w:r>
      <w:r w:rsidRPr="00E30C61">
        <w:rPr>
          <w:b/>
        </w:rPr>
        <w:t xml:space="preserve">о международной перевозке опасных грузов </w:t>
      </w:r>
      <w:r>
        <w:rPr>
          <w:b/>
        </w:rPr>
        <w:br/>
      </w:r>
      <w:r w:rsidRPr="00E30C61">
        <w:rPr>
          <w:b/>
        </w:rPr>
        <w:t>по внутренним водным путям (ВОПОГ)</w:t>
      </w:r>
    </w:p>
    <w:p w:rsidR="00E30C61" w:rsidRPr="00E30C61" w:rsidRDefault="00E30C61" w:rsidP="00E30C61">
      <w:pPr>
        <w:pStyle w:val="SingleTxtGR"/>
        <w:spacing w:before="120" w:after="0"/>
        <w:ind w:left="0"/>
        <w:jc w:val="left"/>
        <w:rPr>
          <w:b/>
        </w:rPr>
      </w:pPr>
      <w:r w:rsidRPr="00E30C61">
        <w:rPr>
          <w:b/>
        </w:rPr>
        <w:t>Двадцать первая сессия</w:t>
      </w:r>
    </w:p>
    <w:p w:rsidR="00E30C61" w:rsidRPr="00E30C61" w:rsidRDefault="00E30C61" w:rsidP="00E30C61">
      <w:pPr>
        <w:pStyle w:val="SingleTxtGR"/>
        <w:spacing w:after="0"/>
        <w:ind w:left="0"/>
        <w:jc w:val="left"/>
      </w:pPr>
      <w:r w:rsidRPr="00E30C61">
        <w:t>Женева, 31 августа 2018 года</w:t>
      </w:r>
    </w:p>
    <w:p w:rsidR="00E30C61" w:rsidRPr="00E30C61" w:rsidRDefault="00E30C61" w:rsidP="00E30C61">
      <w:pPr>
        <w:pStyle w:val="HChGR"/>
        <w:rPr>
          <w:bCs/>
        </w:rPr>
      </w:pPr>
      <w:r w:rsidRPr="00E30C61">
        <w:tab/>
      </w:r>
      <w:r w:rsidRPr="00E30C61">
        <w:tab/>
        <w:t>Доклад Административного комитета Европейского соглашения о международной перевозке опасных грузов по внутренним водным путям о работе его двадцать первой сессии</w:t>
      </w:r>
      <w:r w:rsidRPr="00E30C61">
        <w:rPr>
          <w:b w:val="0"/>
          <w:sz w:val="20"/>
        </w:rPr>
        <w:footnoteReference w:customMarkFollows="1" w:id="1"/>
        <w:t>*</w:t>
      </w:r>
    </w:p>
    <w:p w:rsidR="00E30C61" w:rsidRDefault="00E30C6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F5C46" w:rsidRDefault="00FF5C46" w:rsidP="00F1583A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:rsidR="00FF5C46" w:rsidRDefault="00FF5C46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FF5C46">
        <w:t>I.</w:t>
      </w:r>
      <w:r w:rsidRPr="00FF5C46">
        <w:tab/>
        <w:t>Участники</w:t>
      </w:r>
      <w:r w:rsidRPr="00FF5C46">
        <w:tab/>
      </w:r>
      <w:r w:rsidRPr="00FF5C46">
        <w:tab/>
        <w:t>1–4</w:t>
      </w:r>
      <w:r>
        <w:tab/>
      </w:r>
      <w:r w:rsidRPr="00FF5C46">
        <w:t>3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  <w:t>II.</w:t>
      </w:r>
      <w:r w:rsidRPr="00FF5C46">
        <w:tab/>
        <w:t>Утверждение повестки дня (пункт 1 повестки)</w:t>
      </w:r>
      <w:r w:rsidRPr="00FF5C46">
        <w:tab/>
      </w:r>
      <w:r w:rsidRPr="00FF5C46">
        <w:tab/>
        <w:t>5</w:t>
      </w:r>
      <w:r>
        <w:tab/>
      </w:r>
      <w:r w:rsidRPr="00FF5C46">
        <w:t>3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  <w:t>III.</w:t>
      </w:r>
      <w:r w:rsidRPr="00FF5C46">
        <w:tab/>
        <w:t xml:space="preserve">Состояние Европейского соглашения о международной перевозке опасных грузов </w:t>
      </w:r>
      <w:r w:rsidRPr="00FF5C46">
        <w:br/>
      </w:r>
      <w:r w:rsidRPr="00FF5C46">
        <w:tab/>
      </w:r>
      <w:r w:rsidRPr="00FF5C46">
        <w:tab/>
        <w:t>по внутренним водным путям (ВОПОГ) (пункт 2 повестки дня)</w:t>
      </w:r>
      <w:r w:rsidRPr="00FF5C46">
        <w:tab/>
      </w:r>
      <w:r w:rsidRPr="00FF5C46">
        <w:tab/>
        <w:t>6–7</w:t>
      </w:r>
      <w:r>
        <w:tab/>
      </w:r>
      <w:r w:rsidRPr="00FF5C46">
        <w:t>3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  <w:t>IV.</w:t>
      </w:r>
      <w:r w:rsidRPr="00FF5C46">
        <w:tab/>
        <w:t>Вопросы, относящиеся к осуществлению ВОПОГ (пункт 3 повестки дня)</w:t>
      </w:r>
      <w:r w:rsidRPr="00FF5C46">
        <w:tab/>
      </w:r>
      <w:r w:rsidRPr="00FF5C46">
        <w:tab/>
        <w:t>8–19</w:t>
      </w:r>
      <w:r>
        <w:tab/>
      </w:r>
      <w:r w:rsidRPr="00FF5C46">
        <w:t>3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</w:r>
      <w:r w:rsidRPr="00FF5C46">
        <w:tab/>
        <w:t>A.</w:t>
      </w:r>
      <w:r w:rsidRPr="00FF5C46">
        <w:tab/>
        <w:t>Классификационные общества</w:t>
      </w:r>
      <w:r w:rsidRPr="00FF5C46">
        <w:tab/>
      </w:r>
      <w:r w:rsidRPr="00FF5C46">
        <w:tab/>
        <w:t>8–12</w:t>
      </w:r>
      <w:r>
        <w:tab/>
      </w:r>
      <w:r w:rsidRPr="00FF5C46">
        <w:t>3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</w:r>
      <w:r w:rsidRPr="00FF5C46">
        <w:tab/>
      </w:r>
      <w:r w:rsidRPr="00FF5C46">
        <w:tab/>
        <w:t>1.</w:t>
      </w:r>
      <w:r w:rsidRPr="00FF5C46">
        <w:tab/>
        <w:t xml:space="preserve">Сертификация соответствия стандарту ISO/IEC 17020:2012 и перечень </w:t>
      </w:r>
      <w:r w:rsidRPr="00FF5C46">
        <w:br/>
      </w:r>
      <w:r w:rsidRPr="00FF5C46">
        <w:tab/>
      </w:r>
      <w:r w:rsidRPr="00FF5C46">
        <w:tab/>
      </w:r>
      <w:r w:rsidRPr="00FF5C46">
        <w:tab/>
      </w:r>
      <w:r w:rsidRPr="00FF5C46">
        <w:tab/>
        <w:t>ссылок на ВОПОГ</w:t>
      </w:r>
      <w:r w:rsidRPr="00FF5C46">
        <w:tab/>
      </w:r>
      <w:r w:rsidRPr="00FF5C46">
        <w:tab/>
        <w:t>8–11</w:t>
      </w:r>
      <w:r>
        <w:tab/>
      </w:r>
      <w:r w:rsidRPr="00FF5C46">
        <w:t>3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</w:r>
      <w:r w:rsidRPr="00FF5C46">
        <w:tab/>
      </w:r>
      <w:r w:rsidRPr="00FF5C46">
        <w:tab/>
        <w:t>2.</w:t>
      </w:r>
      <w:r w:rsidRPr="00FF5C46">
        <w:tab/>
        <w:t>Признание классификационных обществ</w:t>
      </w:r>
      <w:r w:rsidRPr="00FF5C46">
        <w:tab/>
      </w:r>
      <w:r w:rsidRPr="00FF5C46">
        <w:tab/>
        <w:t>12</w:t>
      </w:r>
      <w:r>
        <w:tab/>
      </w:r>
      <w:r w:rsidRPr="00FF5C46">
        <w:t>4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</w:r>
      <w:r w:rsidRPr="00FF5C46">
        <w:tab/>
        <w:t>B.</w:t>
      </w:r>
      <w:r w:rsidRPr="00FF5C46">
        <w:tab/>
        <w:t>Специальные разрешения, отступления и эквивалентные аналоги</w:t>
      </w:r>
      <w:r w:rsidRPr="00FF5C46">
        <w:tab/>
      </w:r>
      <w:r w:rsidRPr="00FF5C46">
        <w:tab/>
        <w:t>13–14</w:t>
      </w:r>
      <w:r>
        <w:tab/>
      </w:r>
      <w:r w:rsidRPr="00FF5C46">
        <w:t>4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</w:r>
      <w:r w:rsidRPr="00FF5C46">
        <w:tab/>
        <w:t>C.</w:t>
      </w:r>
      <w:r w:rsidRPr="00FF5C46">
        <w:tab/>
        <w:t>Различные уведомления</w:t>
      </w:r>
      <w:r w:rsidRPr="00FF5C46">
        <w:tab/>
      </w:r>
      <w:r w:rsidRPr="00FF5C46">
        <w:tab/>
        <w:t>15–18</w:t>
      </w:r>
      <w:r>
        <w:tab/>
      </w:r>
      <w:r w:rsidRPr="00FF5C46">
        <w:t>4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</w:r>
      <w:r w:rsidRPr="00FF5C46">
        <w:tab/>
        <w:t>D.</w:t>
      </w:r>
      <w:r w:rsidRPr="00FF5C46">
        <w:tab/>
        <w:t>Другие вопросы</w:t>
      </w:r>
      <w:r w:rsidRPr="00FF5C46">
        <w:tab/>
      </w:r>
      <w:r w:rsidRPr="00FF5C46">
        <w:tab/>
        <w:t>19</w:t>
      </w:r>
      <w:r>
        <w:tab/>
      </w:r>
      <w:r w:rsidRPr="00FF5C46">
        <w:t>5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  <w:t>V.</w:t>
      </w:r>
      <w:r w:rsidRPr="00FF5C46">
        <w:tab/>
        <w:t>Работа Комитета по вопросам безопасности (пункт 4 повестки дня)</w:t>
      </w:r>
      <w:r w:rsidRPr="00FF5C46">
        <w:tab/>
      </w:r>
      <w:r w:rsidRPr="00FF5C46">
        <w:tab/>
        <w:t>20–21</w:t>
      </w:r>
      <w:r>
        <w:tab/>
      </w:r>
      <w:r w:rsidRPr="00FF5C46">
        <w:t>5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  <w:t>VI.</w:t>
      </w:r>
      <w:r w:rsidRPr="00FF5C46">
        <w:tab/>
        <w:t>Программа работы и расписание совещаний (пункт 5 повестки дня)</w:t>
      </w:r>
      <w:r w:rsidRPr="00FF5C46">
        <w:tab/>
      </w:r>
      <w:r w:rsidRPr="00FF5C46">
        <w:tab/>
        <w:t>22</w:t>
      </w:r>
      <w:r>
        <w:tab/>
      </w:r>
      <w:r w:rsidRPr="00FF5C46">
        <w:t>5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  <w:t>VII.</w:t>
      </w:r>
      <w:r w:rsidRPr="00FF5C46">
        <w:tab/>
        <w:t>Прочие вопросы (пункт 6 повестки дня)</w:t>
      </w:r>
      <w:r w:rsidRPr="00FF5C46">
        <w:tab/>
      </w:r>
      <w:r w:rsidRPr="00FF5C46">
        <w:tab/>
        <w:t>23–24</w:t>
      </w:r>
      <w:r>
        <w:tab/>
      </w:r>
      <w:r w:rsidRPr="00FF5C46">
        <w:t>6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</w:r>
      <w:r w:rsidRPr="00FF5C46">
        <w:tab/>
        <w:t>A.</w:t>
      </w:r>
      <w:r w:rsidRPr="00FF5C46">
        <w:tab/>
        <w:t>Работа Комитета по внутреннему транспорту</w:t>
      </w:r>
      <w:r w:rsidRPr="00FF5C46">
        <w:tab/>
      </w:r>
      <w:r w:rsidRPr="00FF5C46">
        <w:tab/>
        <w:t>23</w:t>
      </w:r>
      <w:r>
        <w:tab/>
      </w:r>
      <w:r w:rsidRPr="00FF5C46">
        <w:t>6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</w:r>
      <w:r w:rsidRPr="00FF5C46">
        <w:tab/>
        <w:t>B.</w:t>
      </w:r>
      <w:r w:rsidRPr="00FF5C46">
        <w:tab/>
        <w:t>Издание ВОПОГ 2019 года</w:t>
      </w:r>
      <w:r w:rsidRPr="00FF5C46">
        <w:tab/>
      </w:r>
      <w:r w:rsidRPr="00FF5C46">
        <w:tab/>
      </w:r>
      <w:r w:rsidRPr="001B1005">
        <w:t>24</w:t>
      </w:r>
      <w:r>
        <w:tab/>
      </w:r>
      <w:r w:rsidRPr="00FF5C46">
        <w:t>6</w:t>
      </w:r>
    </w:p>
    <w:p w:rsidR="00FF5C46" w:rsidRPr="00FF5C46" w:rsidRDefault="00FF5C46" w:rsidP="00FF5C4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F5C46">
        <w:tab/>
        <w:t>VIII.</w:t>
      </w:r>
      <w:r w:rsidRPr="00FF5C46">
        <w:tab/>
        <w:t>Утверждение доклада (пункт 7 повестки дня)</w:t>
      </w:r>
      <w:r w:rsidRPr="00FF5C46">
        <w:tab/>
      </w:r>
      <w:r>
        <w:tab/>
      </w:r>
      <w:r w:rsidRPr="00FF5C46">
        <w:t>25</w:t>
      </w:r>
      <w:r>
        <w:tab/>
      </w:r>
      <w:r w:rsidRPr="00FF5C46">
        <w:t>6</w:t>
      </w:r>
    </w:p>
    <w:p w:rsidR="00E30C61" w:rsidRDefault="00E30C61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E30C61" w:rsidRPr="00E30C61" w:rsidRDefault="00E30C61" w:rsidP="00E30C61">
      <w:pPr>
        <w:pStyle w:val="HChGR"/>
      </w:pPr>
      <w:r w:rsidRPr="00E30C61">
        <w:lastRenderedPageBreak/>
        <w:tab/>
        <w:t>I.</w:t>
      </w:r>
      <w:r w:rsidRPr="00E30C61">
        <w:tab/>
        <w:t>Участники</w:t>
      </w:r>
    </w:p>
    <w:p w:rsidR="00E30C61" w:rsidRPr="00E30C61" w:rsidRDefault="00E30C61" w:rsidP="00E30C61">
      <w:pPr>
        <w:pStyle w:val="SingleTxtGR"/>
      </w:pPr>
      <w:r w:rsidRPr="00E30C61">
        <w:t>1.</w:t>
      </w:r>
      <w:r w:rsidRPr="00E30C61">
        <w:tab/>
        <w:t xml:space="preserve">Административный комитет Европейского соглашения о международной перевозке опасных грузов по внутренним водным путям (ВОПОГ) провел свою двадцать первую сессию в Женеве 31 августа 2018 года. </w:t>
      </w:r>
    </w:p>
    <w:p w:rsidR="00E30C61" w:rsidRPr="00E30C61" w:rsidRDefault="00E30C61" w:rsidP="00E30C61">
      <w:pPr>
        <w:pStyle w:val="SingleTxtGR"/>
      </w:pPr>
      <w:r w:rsidRPr="00E30C61">
        <w:t>2.</w:t>
      </w:r>
      <w:r w:rsidRPr="00E30C61">
        <w:tab/>
        <w:t>В работе сессии приняли участие представители следующих Договаривающихся сторон: Австрии, Бельгии, Германии, Нидерландов, Российской Федерации, Румынии, Словакии, Франции, Хорватии и Швейцарии.</w:t>
      </w:r>
    </w:p>
    <w:p w:rsidR="00E30C61" w:rsidRPr="00E30C61" w:rsidRDefault="00E30C61" w:rsidP="00E30C61">
      <w:pPr>
        <w:pStyle w:val="SingleTxtGR"/>
      </w:pPr>
      <w:r w:rsidRPr="00E30C61">
        <w:t>3.</w:t>
      </w:r>
      <w:r w:rsidRPr="00E30C61"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не менее половины Договаривающихся сторон, достигнут.</w:t>
      </w:r>
    </w:p>
    <w:p w:rsidR="00E30C61" w:rsidRPr="00E30C61" w:rsidRDefault="00E30C61" w:rsidP="00E30C61">
      <w:pPr>
        <w:pStyle w:val="SingleTxtGR"/>
      </w:pPr>
      <w:r w:rsidRPr="00E30C61">
        <w:t>4.</w:t>
      </w:r>
      <w:r w:rsidRPr="00E30C61">
        <w:tab/>
        <w:t>В соответствии с пунктом 2 статьи 17 ВОПОГ и решением Комитета (ECE/ADN/2, пункт 8) в качестве наблюдателя на сессии присутствовал представитель Центральной комиссии судоходства по Рейну (ЦКСР).</w:t>
      </w:r>
    </w:p>
    <w:p w:rsidR="00E30C61" w:rsidRPr="00E30C61" w:rsidRDefault="00E30C61" w:rsidP="00E30C61">
      <w:pPr>
        <w:pStyle w:val="HChGR"/>
      </w:pPr>
      <w:r w:rsidRPr="00E30C61">
        <w:tab/>
        <w:t>II.</w:t>
      </w:r>
      <w:r w:rsidRPr="00E30C61">
        <w:tab/>
        <w:t>Утверждение повестки дня (пункт 1 повестки дня)</w:t>
      </w:r>
    </w:p>
    <w:p w:rsidR="00E30C61" w:rsidRPr="00E30C61" w:rsidRDefault="00E30C61" w:rsidP="008674BB">
      <w:pPr>
        <w:pStyle w:val="SingleTxtGR"/>
        <w:tabs>
          <w:tab w:val="clear" w:pos="2268"/>
          <w:tab w:val="left" w:pos="2410"/>
          <w:tab w:val="left" w:pos="2436"/>
        </w:tabs>
        <w:jc w:val="left"/>
      </w:pPr>
      <w:r w:rsidRPr="00E30C61">
        <w:rPr>
          <w:i/>
        </w:rPr>
        <w:t>Документы</w:t>
      </w:r>
      <w:r w:rsidRPr="00E30C61">
        <w:t>:</w:t>
      </w:r>
      <w:r>
        <w:tab/>
      </w:r>
      <w:r w:rsidRPr="00E30C61">
        <w:t>ECE/ADN/46 и Add.1</w:t>
      </w:r>
    </w:p>
    <w:p w:rsidR="00E30C61" w:rsidRPr="00E30C61" w:rsidRDefault="00E30C61" w:rsidP="00E30C61">
      <w:pPr>
        <w:pStyle w:val="SingleTxtGR"/>
      </w:pPr>
      <w:r w:rsidRPr="00E30C61">
        <w:t>5.</w:t>
      </w:r>
      <w:r w:rsidRPr="00E30C61">
        <w:tab/>
        <w:t>Административный комитет утвердил повестку дня, подготовленную секретариатом.</w:t>
      </w:r>
    </w:p>
    <w:p w:rsidR="00E30C61" w:rsidRPr="00E30C61" w:rsidRDefault="00E30C61" w:rsidP="00E30C61">
      <w:pPr>
        <w:pStyle w:val="HChGR"/>
      </w:pPr>
      <w:r w:rsidRPr="00E30C61">
        <w:tab/>
        <w:t>III.</w:t>
      </w:r>
      <w:r w:rsidRPr="00E30C61">
        <w:tab/>
        <w:t>Состояние Европейского соглашения о международной перевозке опасных грузов по внутренним водным путям (ВОПОГ) (пункт 2 повестки дня)</w:t>
      </w:r>
    </w:p>
    <w:p w:rsidR="00E30C61" w:rsidRPr="00E30C61" w:rsidRDefault="00E30C61" w:rsidP="00E30C61">
      <w:pPr>
        <w:pStyle w:val="SingleTxtGR"/>
      </w:pPr>
      <w:r w:rsidRPr="00E30C61">
        <w:t>6.</w:t>
      </w:r>
      <w:r w:rsidRPr="00E30C61">
        <w:tab/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</w:t>
      </w:r>
      <w:r w:rsidR="006B4E87">
        <w:rPr>
          <w:lang w:val="en-US"/>
        </w:rPr>
        <w:t> </w:t>
      </w:r>
      <w:r w:rsidRPr="00E30C61">
        <w:t>Швейцария.</w:t>
      </w:r>
    </w:p>
    <w:p w:rsidR="00E30C61" w:rsidRPr="00E30C61" w:rsidRDefault="00E30C61" w:rsidP="00E30C61">
      <w:pPr>
        <w:pStyle w:val="SingleTxtGR"/>
      </w:pPr>
      <w:r w:rsidRPr="00E30C61">
        <w:t>7.</w:t>
      </w:r>
      <w:r w:rsidRPr="00E30C61">
        <w:tab/>
        <w:t>Комитет также отметил, что предлагаемые поправки, принятые Административным комитетом на его последней сессии (ECE/ADN/45), были сообщены Договаривающимся сторонам 1 июля 2018 года для принятия в уведомлении депозитария C.N.297.2018.TREATIES-XI-D-6. Если до 1 октября 2018</w:t>
      </w:r>
      <w:r w:rsidR="00184CB2">
        <w:rPr>
          <w:lang w:val="en-US"/>
        </w:rPr>
        <w:t> </w:t>
      </w:r>
      <w:r w:rsidRPr="00E30C61">
        <w:t>года не будет представлено достаточное число возражений, эти поправки будут считаться принятыми для вступления в силу 1 января 2019 года.</w:t>
      </w:r>
    </w:p>
    <w:p w:rsidR="00E30C61" w:rsidRPr="00E30C61" w:rsidRDefault="00E30C61" w:rsidP="00E30C61">
      <w:pPr>
        <w:pStyle w:val="HChGR"/>
      </w:pPr>
      <w:r w:rsidRPr="00E30C61">
        <w:tab/>
        <w:t>IV.</w:t>
      </w:r>
      <w:r w:rsidRPr="00E30C61">
        <w:tab/>
        <w:t>Вопросы, относящиеся к осуществлению ВОПОГ (пункт</w:t>
      </w:r>
      <w:r>
        <w:rPr>
          <w:lang w:val="en-US"/>
        </w:rPr>
        <w:t> </w:t>
      </w:r>
      <w:r w:rsidRPr="00E30C61">
        <w:t>3 повестки дня)</w:t>
      </w:r>
    </w:p>
    <w:p w:rsidR="00E30C61" w:rsidRPr="00E30C61" w:rsidRDefault="00E30C61" w:rsidP="00E30C61">
      <w:pPr>
        <w:pStyle w:val="H1GR"/>
      </w:pPr>
      <w:r w:rsidRPr="00E30C61">
        <w:tab/>
        <w:t>A.</w:t>
      </w:r>
      <w:r w:rsidRPr="00E30C61">
        <w:tab/>
        <w:t xml:space="preserve">Классификационные общества </w:t>
      </w:r>
    </w:p>
    <w:p w:rsidR="00E30C61" w:rsidRPr="00E30C61" w:rsidRDefault="00E30C61" w:rsidP="00E30C61">
      <w:pPr>
        <w:pStyle w:val="H23GR"/>
      </w:pPr>
      <w:r w:rsidRPr="00E30C61">
        <w:tab/>
        <w:t>1.</w:t>
      </w:r>
      <w:r w:rsidRPr="00E30C61">
        <w:tab/>
        <w:t xml:space="preserve">Сертификация соответствия стандарту ISO/IEC 17020:2012 и перечень ссылок на ВОПОГ </w:t>
      </w:r>
    </w:p>
    <w:p w:rsidR="00E30C61" w:rsidRPr="00E30C61" w:rsidRDefault="00E30C61" w:rsidP="00E30C61">
      <w:pPr>
        <w:pStyle w:val="SingleTxtGR"/>
      </w:pPr>
      <w:r w:rsidRPr="00E30C61">
        <w:t>8.</w:t>
      </w:r>
      <w:r w:rsidRPr="00E30C61">
        <w:tab/>
        <w:t>Административный комитет отметил, что Российский морской регистр судоходства представил Комитету по вопросам безопасности на его тридцать третьей</w:t>
      </w:r>
      <w:r w:rsidR="00E0647C">
        <w:t> </w:t>
      </w:r>
      <w:r w:rsidRPr="00E30C61">
        <w:t>сессии информацию, касающуюся сертификации соответствия стандарту ISO/IEC</w:t>
      </w:r>
      <w:r>
        <w:rPr>
          <w:lang w:val="en-US"/>
        </w:rPr>
        <w:t> </w:t>
      </w:r>
      <w:r w:rsidRPr="00E30C61">
        <w:t>17020:2012, однако после обсуждения Комитет по вопросам безопасности сделал вывод о том, что необходима дополнительная информация, и</w:t>
      </w:r>
      <w:r>
        <w:rPr>
          <w:lang w:val="en-US"/>
        </w:rPr>
        <w:t> </w:t>
      </w:r>
      <w:r w:rsidRPr="00E30C61">
        <w:t xml:space="preserve">предложил Российской Федерации обменяться мнениями и проконсультироваться с другими членами Комитета по вопросам безопасности в целях достижения </w:t>
      </w:r>
      <w:r w:rsidRPr="00E30C61">
        <w:lastRenderedPageBreak/>
        <w:t>соответствия (см. доклад Комитета по вопросам безопасности ECE/TRANS/WP.15/</w:t>
      </w:r>
      <w:r w:rsidR="00A60743">
        <w:br/>
      </w:r>
      <w:r w:rsidRPr="00E30C61">
        <w:t xml:space="preserve">AC.2/68, пункты 26 и 27). </w:t>
      </w:r>
    </w:p>
    <w:p w:rsidR="00E30C61" w:rsidRPr="00E30C61" w:rsidRDefault="00E30C61" w:rsidP="00E30C61">
      <w:pPr>
        <w:pStyle w:val="SingleTxtGR"/>
      </w:pPr>
      <w:r w:rsidRPr="00E30C61">
        <w:t>9.</w:t>
      </w:r>
      <w:r w:rsidRPr="00E30C61">
        <w:tab/>
        <w:t>Кроме того, Комитет отметил, что Российский морской регистр судоходства представил также список ссылок на ВОПОГ в его Правилах классификации (см.</w:t>
      </w:r>
      <w:r>
        <w:rPr>
          <w:lang w:val="en-US"/>
        </w:rPr>
        <w:t> </w:t>
      </w:r>
      <w:r w:rsidRPr="00E30C61">
        <w:t>доклад Комитета по вопросам безопасности ECE/TRANS/WP.15/AC.2/68, пункт</w:t>
      </w:r>
      <w:r>
        <w:rPr>
          <w:lang w:val="en-US"/>
        </w:rPr>
        <w:t> </w:t>
      </w:r>
      <w:r w:rsidRPr="00E30C61">
        <w:t>28).</w:t>
      </w:r>
    </w:p>
    <w:p w:rsidR="00E30C61" w:rsidRPr="00E30C61" w:rsidRDefault="00E30C61" w:rsidP="00E30C61">
      <w:pPr>
        <w:pStyle w:val="SingleTxtGR"/>
      </w:pPr>
      <w:r w:rsidRPr="00E30C61">
        <w:t>10.</w:t>
      </w:r>
      <w:r w:rsidRPr="00E30C61">
        <w:tab/>
        <w:t>Другим Рекомендованным классификационным обществам ВОПОГ было предложено представить доказательства, о которых шла речь в ходе предыдущих сессий Комитета по вопросам безопасности</w:t>
      </w:r>
      <w:r w:rsidR="005366E4" w:rsidRPr="005366E4">
        <w:t>.</w:t>
      </w:r>
      <w:r w:rsidRPr="00E30C61">
        <w:t xml:space="preserve"> Было отмечено, что списки рекомендованных и признанных классификационных обществ размещены на веб</w:t>
      </w:r>
      <w:r w:rsidR="005366E4">
        <w:noBreakHyphen/>
      </w:r>
      <w:r w:rsidRPr="00E30C61">
        <w:t xml:space="preserve">сайте секретариата по следующему адресу </w:t>
      </w:r>
      <w:hyperlink r:id="rId9" w:history="1">
        <w:r w:rsidRPr="009D0F90">
          <w:rPr>
            <w:rStyle w:val="Hyperlink"/>
            <w:color w:val="auto"/>
          </w:rPr>
          <w:t>www.unece.org/trans/danger/publi/adn/</w:t>
        </w:r>
        <w:r w:rsidR="00CC20FD" w:rsidRPr="009D0F90">
          <w:rPr>
            <w:rStyle w:val="Hyperlink"/>
            <w:color w:val="auto"/>
          </w:rPr>
          <w:br/>
        </w:r>
        <w:r w:rsidRPr="009D0F90">
          <w:rPr>
            <w:rStyle w:val="Hyperlink"/>
            <w:color w:val="auto"/>
          </w:rPr>
          <w:t>adnclassifications.html</w:t>
        </w:r>
      </w:hyperlink>
      <w:r w:rsidRPr="00E30C61">
        <w:t>.</w:t>
      </w:r>
    </w:p>
    <w:p w:rsidR="00E30C61" w:rsidRPr="00E30C61" w:rsidRDefault="00E30C61" w:rsidP="00E30C61">
      <w:pPr>
        <w:pStyle w:val="SingleTxtGR"/>
      </w:pPr>
      <w:r w:rsidRPr="00E30C61">
        <w:t>11.</w:t>
      </w:r>
      <w:r w:rsidRPr="00E30C61">
        <w:tab/>
        <w:t xml:space="preserve">И наконец, Комитет отметил, что ни одно из Рекомендованных классификационных обществ ВОПОГ из Российской Федерации не участвовало в последних совещаниях неофициальной рабочей группы. Напоминая об обязательствах рекомендованных классификационных обществ, изложенных в разделе 1.15.4, и о том, что, согласно пункту 1.15.4.2, они «обмениваются опытом на совместных совещаниях по меньшей мере один раз в год», Комитет повторил просьбу Комитета по вопросам безопасности в адрес Российского морского регистра судоходства и Российского речного регистра соблюдать это обязательство. </w:t>
      </w:r>
    </w:p>
    <w:p w:rsidR="00E30C61" w:rsidRPr="00E30C61" w:rsidRDefault="00E30C61" w:rsidP="00E30C61">
      <w:pPr>
        <w:pStyle w:val="H23GR"/>
      </w:pPr>
      <w:r w:rsidRPr="00E30C61">
        <w:tab/>
        <w:t>2.</w:t>
      </w:r>
      <w:r w:rsidRPr="00E30C61">
        <w:tab/>
        <w:t xml:space="preserve">Признание классификационных обществ </w:t>
      </w:r>
    </w:p>
    <w:p w:rsidR="00E30C61" w:rsidRPr="00E30C61" w:rsidRDefault="00E30C61" w:rsidP="00E30C61">
      <w:pPr>
        <w:pStyle w:val="SingleTxtGR"/>
        <w:tabs>
          <w:tab w:val="clear" w:pos="3969"/>
          <w:tab w:val="left" w:pos="3654"/>
        </w:tabs>
      </w:pPr>
      <w:r w:rsidRPr="00E30C61">
        <w:rPr>
          <w:i/>
        </w:rPr>
        <w:t>Неофициальный документ</w:t>
      </w:r>
      <w:r w:rsidRPr="00E30C61">
        <w:t>:</w:t>
      </w:r>
      <w:r w:rsidRPr="00E30C61">
        <w:tab/>
        <w:t>INF.1 (Хорватия)</w:t>
      </w:r>
    </w:p>
    <w:p w:rsidR="00E30C61" w:rsidRPr="00E30C61" w:rsidRDefault="00E30C61" w:rsidP="00E30C61">
      <w:pPr>
        <w:pStyle w:val="SingleTxtGR"/>
      </w:pPr>
      <w:r w:rsidRPr="00E30C61">
        <w:t>12.</w:t>
      </w:r>
      <w:r w:rsidRPr="00E30C61">
        <w:tab/>
        <w:t>Комитет принял к сведению ходатайство Хорватии о включении Хорватского регистра судоходства в перечень классификационных обществ, рекомендуемых для признания в соответствии с главой 1.15 Правил, прилагаемых к ВОПОГ, и постановил назначить комитет экспертов для рассмотрения этого ходатайства.</w:t>
      </w:r>
    </w:p>
    <w:p w:rsidR="00E30C61" w:rsidRPr="00E30C61" w:rsidRDefault="00E30C61" w:rsidP="00E30C61">
      <w:pPr>
        <w:pStyle w:val="H1GR"/>
      </w:pPr>
      <w:r w:rsidRPr="00E30C61">
        <w:tab/>
        <w:t>B.</w:t>
      </w:r>
      <w:r w:rsidRPr="00E30C61">
        <w:tab/>
        <w:t>Специальные разрешения, отступления и эквивалентные аналоги</w:t>
      </w:r>
    </w:p>
    <w:p w:rsidR="00E30C61" w:rsidRPr="00E30C61" w:rsidRDefault="00E30C61" w:rsidP="00E30C61">
      <w:pPr>
        <w:pStyle w:val="SingleTxtGR"/>
      </w:pPr>
      <w:r w:rsidRPr="00E30C61">
        <w:t>13.</w:t>
      </w:r>
      <w:r w:rsidRPr="00E30C61">
        <w:tab/>
        <w:t xml:space="preserve">Административный комитет не получал никаких запросов на специальные разрешения, отступления и эквивалентные аналоги для рассмотрения на текущей сессии. </w:t>
      </w:r>
    </w:p>
    <w:p w:rsidR="00E30C61" w:rsidRPr="00E30C61" w:rsidRDefault="00E30C61" w:rsidP="00E30C61">
      <w:pPr>
        <w:pStyle w:val="SingleTxtGR"/>
      </w:pPr>
      <w:r w:rsidRPr="00E30C61">
        <w:t>14.</w:t>
      </w:r>
      <w:r w:rsidRPr="00E30C61">
        <w:tab/>
        <w:t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веб-сайте секретариата по следующему адресу</w:t>
      </w:r>
      <w:r w:rsidRPr="007642C1">
        <w:t xml:space="preserve"> </w:t>
      </w:r>
      <w:hyperlink r:id="rId10" w:history="1">
        <w:r w:rsidRPr="007642C1">
          <w:rPr>
            <w:rStyle w:val="Hyperlink"/>
            <w:color w:val="auto"/>
          </w:rPr>
          <w:t>htt</w:t>
        </w:r>
        <w:r w:rsidR="005366E4" w:rsidRPr="007642C1">
          <w:rPr>
            <w:rStyle w:val="Hyperlink"/>
            <w:color w:val="auto"/>
          </w:rPr>
          <w:t>p://www.unece.org/trans/danger/</w:t>
        </w:r>
        <w:r w:rsidRPr="007642C1">
          <w:rPr>
            <w:rStyle w:val="Hyperlink"/>
            <w:color w:val="auto"/>
          </w:rPr>
          <w:t>danger.html</w:t>
        </w:r>
      </w:hyperlink>
      <w:r w:rsidRPr="00E30C61">
        <w:t>.</w:t>
      </w:r>
    </w:p>
    <w:p w:rsidR="00E30C61" w:rsidRPr="00E30C61" w:rsidRDefault="00E30C61" w:rsidP="00E30C61">
      <w:pPr>
        <w:pStyle w:val="H1GR"/>
      </w:pPr>
      <w:r>
        <w:tab/>
      </w:r>
      <w:r w:rsidRPr="00E30C61">
        <w:t>C.</w:t>
      </w:r>
      <w:r w:rsidRPr="00E30C61">
        <w:tab/>
        <w:t>Различные уведомления</w:t>
      </w:r>
    </w:p>
    <w:p w:rsidR="00E30C61" w:rsidRPr="00E30C61" w:rsidRDefault="00E30C61" w:rsidP="00E30C61">
      <w:pPr>
        <w:pStyle w:val="SingleTxtGR"/>
      </w:pPr>
      <w:r w:rsidRPr="00E30C61">
        <w:t>15.</w:t>
      </w:r>
      <w:r w:rsidRPr="00E30C61">
        <w:tab/>
        <w:t>Административный 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 в соответствии с пунктом 1.15.2.4 прилагаемых Правил, если они еще не сделали этого.</w:t>
      </w:r>
    </w:p>
    <w:p w:rsidR="00E30C61" w:rsidRPr="00E30C61" w:rsidRDefault="00E30C61" w:rsidP="00E30C61">
      <w:pPr>
        <w:pStyle w:val="SingleTxtGR"/>
      </w:pPr>
      <w:r w:rsidRPr="00E30C61">
        <w:t>16.</w:t>
      </w:r>
      <w:r w:rsidRPr="00E30C61">
        <w:tab/>
        <w:t xml:space="preserve">Участникам напомнили, что в соответствии с пунктом 1.16.4.3 Правил, прилагаемых к ВОПОГ, Административный комитет должен вести обновляемый список назначенных органов по освидетельствованию. С информацией, полученной на данный момент, можно ознакомиться на веб-сайте секретариата по адресу </w:t>
      </w:r>
      <w:hyperlink r:id="rId11" w:history="1">
        <w:r w:rsidRPr="00040ED1">
          <w:rPr>
            <w:rStyle w:val="Hyperlink"/>
            <w:color w:val="auto"/>
          </w:rPr>
          <w:t>http://www.unece.org/trans/danger/danger.html</w:t>
        </w:r>
      </w:hyperlink>
      <w:r w:rsidRPr="00E30C61">
        <w:t>.</w:t>
      </w:r>
    </w:p>
    <w:p w:rsidR="00E30C61" w:rsidRPr="00E30C61" w:rsidRDefault="00E30C61" w:rsidP="00E30C61">
      <w:pPr>
        <w:pStyle w:val="SingleTxtGR"/>
      </w:pPr>
      <w:r w:rsidRPr="00E30C61">
        <w:t>17.</w:t>
      </w:r>
      <w:r w:rsidRPr="00E30C61">
        <w:tab/>
        <w:t xml:space="preserve">Участникам напомнили, что с образцами сертификатов экспертов, полученными секретариатом, можно ознакомиться на веб-сайте ЕЭК ООН </w:t>
      </w:r>
      <w:r w:rsidR="005D1990">
        <w:br/>
      </w:r>
      <w:r w:rsidRPr="00E30C61">
        <w:t xml:space="preserve">по следующему адресу </w:t>
      </w:r>
      <w:hyperlink r:id="rId12" w:history="1">
        <w:r w:rsidRPr="00AD6CD4">
          <w:rPr>
            <w:rStyle w:val="Hyperlink"/>
            <w:color w:val="auto"/>
          </w:rPr>
          <w:t>http://www.unece.org/trans/danger/publi/adn/model_expert_</w:t>
        </w:r>
        <w:r w:rsidR="005D1990" w:rsidRPr="00AD6CD4">
          <w:rPr>
            <w:rStyle w:val="Hyperlink"/>
            <w:color w:val="auto"/>
          </w:rPr>
          <w:br/>
        </w:r>
        <w:r w:rsidRPr="00AD6CD4">
          <w:rPr>
            <w:rStyle w:val="Hyperlink"/>
            <w:color w:val="auto"/>
          </w:rPr>
          <w:t>certificates.html</w:t>
        </w:r>
      </w:hyperlink>
      <w:r w:rsidRPr="00E30C61">
        <w:t>.</w:t>
      </w:r>
    </w:p>
    <w:p w:rsidR="00E30C61" w:rsidRPr="00E30C61" w:rsidRDefault="00E30C61" w:rsidP="00E30C61">
      <w:pPr>
        <w:pStyle w:val="SingleTxtGR"/>
      </w:pPr>
      <w:r w:rsidRPr="00E30C61">
        <w:lastRenderedPageBreak/>
        <w:t>18.</w:t>
      </w:r>
      <w:r w:rsidRPr="00E30C61">
        <w:tab/>
        <w:t>Договаривающимся сторонам, которые еще не сделали этого, напомнили, что им следует направить в секретариат свои образцы свидетельств экспертов и</w:t>
      </w:r>
      <w:r w:rsidR="00CC20FD">
        <w:rPr>
          <w:lang w:val="en-US"/>
        </w:rPr>
        <w:t> </w:t>
      </w:r>
      <w:r w:rsidRPr="00E30C61">
        <w:t>статистические данные об экзаменах по ВОПОГ.</w:t>
      </w:r>
    </w:p>
    <w:p w:rsidR="00E30C61" w:rsidRPr="00E30C61" w:rsidRDefault="00CC20FD" w:rsidP="00CC20FD">
      <w:pPr>
        <w:pStyle w:val="H1GR"/>
      </w:pPr>
      <w:r>
        <w:tab/>
      </w:r>
      <w:r w:rsidR="00E30C61" w:rsidRPr="00E30C61">
        <w:t>D.</w:t>
      </w:r>
      <w:r w:rsidR="00E30C61" w:rsidRPr="00E30C61">
        <w:tab/>
        <w:t>Другие вопросы</w:t>
      </w:r>
    </w:p>
    <w:p w:rsidR="00E30C61" w:rsidRPr="00E30C61" w:rsidRDefault="00E30C61" w:rsidP="00E30C61">
      <w:pPr>
        <w:pStyle w:val="SingleTxtGR"/>
      </w:pPr>
      <w:r w:rsidRPr="00E30C61">
        <w:t>19.</w:t>
      </w:r>
      <w:r w:rsidRPr="00E30C61">
        <w:tab/>
        <w:t>В рамках этого пункта никакие другие вопросы не обсуждались.</w:t>
      </w:r>
    </w:p>
    <w:p w:rsidR="00E30C61" w:rsidRPr="00E30C61" w:rsidRDefault="00CC20FD" w:rsidP="00CC20FD">
      <w:pPr>
        <w:pStyle w:val="HChGR"/>
      </w:pPr>
      <w:r>
        <w:tab/>
      </w:r>
      <w:r w:rsidR="00E30C61" w:rsidRPr="00E30C61">
        <w:t>V.</w:t>
      </w:r>
      <w:r w:rsidR="00E30C61" w:rsidRPr="00E30C61">
        <w:tab/>
        <w:t xml:space="preserve">Работа Комитета по вопросам безопасности </w:t>
      </w:r>
      <w:r>
        <w:br/>
      </w:r>
      <w:r w:rsidR="00E30C61" w:rsidRPr="00E30C61">
        <w:t>(пункт 4 повестки дня)</w:t>
      </w:r>
    </w:p>
    <w:p w:rsidR="00E30C61" w:rsidRPr="00E30C61" w:rsidRDefault="00E30C61" w:rsidP="00E30C61">
      <w:pPr>
        <w:pStyle w:val="SingleTxtGR"/>
      </w:pPr>
      <w:r w:rsidRPr="00E30C61">
        <w:t>20.</w:t>
      </w:r>
      <w:r w:rsidRPr="00E30C61">
        <w:tab/>
        <w:t>Административный комитет принял к сведению информацию о работе Комитета по вопросам безопасности, изложенную в докладе о работе его тридцать третьей сессии (ECE/TRANS/WP.15/AC.2/68), и утвердил следующее:</w:t>
      </w:r>
    </w:p>
    <w:p w:rsidR="00E30C61" w:rsidRPr="00E30C61" w:rsidRDefault="00CC20FD" w:rsidP="00E30C61">
      <w:pPr>
        <w:pStyle w:val="SingleTxtGR"/>
      </w:pPr>
      <w:r>
        <w:tab/>
      </w:r>
      <w:r w:rsidR="00E30C61" w:rsidRPr="00E30C61">
        <w:t>a)</w:t>
      </w:r>
      <w:r w:rsidR="00E30C61" w:rsidRPr="00E30C61">
        <w:tab/>
        <w:t>проекты поправок, направленных на приведение Правил, прилагаемых к</w:t>
      </w:r>
      <w:r>
        <w:rPr>
          <w:lang w:val="en-US"/>
        </w:rPr>
        <w:t> </w:t>
      </w:r>
      <w:r w:rsidR="00E30C61" w:rsidRPr="00E30C61">
        <w:t>ВОПОГ, в соответствие с измененными вариантами ДОПОГ и МПОГ, которые должны применяться с 1 января 2019 года (см. ECE/TRANS/WP.15/AC.2/68, приложение II). Секретариату было предложено опубликовать их в качестве добавления к документу ECE/ADN/45 (ECE/ADN/45/Add.1) и обеспечить их</w:t>
      </w:r>
      <w:r>
        <w:rPr>
          <w:lang w:val="en-US"/>
        </w:rPr>
        <w:t> </w:t>
      </w:r>
      <w:r w:rsidR="00E30C61" w:rsidRPr="00E30C61">
        <w:t>сообщение Договаривающимся сторонам не позднее 1 сентября 2018 года в</w:t>
      </w:r>
      <w:r>
        <w:rPr>
          <w:lang w:val="en-US"/>
        </w:rPr>
        <w:t> </w:t>
      </w:r>
      <w:r w:rsidR="00E30C61" w:rsidRPr="00E30C61">
        <w:t>соответствии с процедурой, предусмотренной в пункте 5 а) статьи 20 ВОПОГ, с тем чтобы они могли вступить в силу 1 января 2019 года, т.</w:t>
      </w:r>
      <w:r w:rsidR="000F0A4A">
        <w:rPr>
          <w:lang w:val="en-US"/>
        </w:rPr>
        <w:t> </w:t>
      </w:r>
      <w:r w:rsidR="00E30C61" w:rsidRPr="00E30C61">
        <w:t>е. через один месяц после их принятия Договаривающимися сторонами;</w:t>
      </w:r>
    </w:p>
    <w:p w:rsidR="00E30C61" w:rsidRPr="00E30C61" w:rsidRDefault="00CC20FD" w:rsidP="00E30C61">
      <w:pPr>
        <w:pStyle w:val="SingleTxtGR"/>
      </w:pPr>
      <w:r>
        <w:tab/>
      </w:r>
      <w:r w:rsidR="00E30C61" w:rsidRPr="00E30C61">
        <w:t>b)</w:t>
      </w:r>
      <w:r w:rsidR="00E30C61" w:rsidRPr="00E30C61">
        <w:tab/>
        <w:t>все предлагаемые исправления к ранее сообщенным поправкам к</w:t>
      </w:r>
      <w:r>
        <w:rPr>
          <w:lang w:val="en-US"/>
        </w:rPr>
        <w:t> </w:t>
      </w:r>
      <w:r w:rsidR="00E30C61" w:rsidRPr="00E30C61">
        <w:t>Правилам, прилагаемым к ВОПОГ (ECE/ADN/45) (см. ECE/TRANS/WP.15/AC.2/68, приложение III). Поскольку эти исправления зависят от принятия поправок, приведенных в документе ECE/ADN/45, секретариату было предложено опубликовать их в качестве исправления к документу ECE/ADN/45 (ECE/ADN/45/Corr.1) и принять меры с целью их сообщения Договаривающимся сторонам 1 октября 2018 года (ожидаемая дата принятия указанных поправок) для принятия в соответствии с</w:t>
      </w:r>
      <w:r>
        <w:rPr>
          <w:lang w:val="en-US"/>
        </w:rPr>
        <w:t> </w:t>
      </w:r>
      <w:r w:rsidR="00E30C61" w:rsidRPr="00E30C61">
        <w:t>обычной процедурой в отношении исправлений, с тем чтобы они могли вступить в</w:t>
      </w:r>
      <w:r>
        <w:rPr>
          <w:lang w:val="en-US"/>
        </w:rPr>
        <w:t> </w:t>
      </w:r>
      <w:r w:rsidR="00E30C61" w:rsidRPr="00E30C61">
        <w:t xml:space="preserve">силу не позднее 1 января 2019 года; </w:t>
      </w:r>
      <w:r w:rsidR="00081D24">
        <w:t>и</w:t>
      </w:r>
    </w:p>
    <w:p w:rsidR="00E30C61" w:rsidRPr="000F0A4A" w:rsidRDefault="00CC20FD" w:rsidP="00E30C61">
      <w:pPr>
        <w:pStyle w:val="SingleTxtGR"/>
      </w:pPr>
      <w:r>
        <w:tab/>
      </w:r>
      <w:r w:rsidR="00E30C61" w:rsidRPr="00E30C61">
        <w:t>c)</w:t>
      </w:r>
      <w:r w:rsidR="00E30C61" w:rsidRPr="00E30C61">
        <w:tab/>
        <w:t>все предлагаемые исправления к Правилам, прилагаемым к ВОПОГ, приведенные в документе ECE/TRANS/WP.15/AC.2/68, приложение IV. Секретариату было предложено принять меры с целью их сообщения Договаривающимся сторонам не позднее 1 октября 2018 года для принятия в соответствии с обычной процедурой в</w:t>
      </w:r>
      <w:r>
        <w:rPr>
          <w:lang w:val="en-US"/>
        </w:rPr>
        <w:t> </w:t>
      </w:r>
      <w:r w:rsidR="00E30C61" w:rsidRPr="00E30C61">
        <w:t xml:space="preserve">отношении исправлений, с тем чтобы они могли вступить в силу не позднее 1 января 2019 года; </w:t>
      </w:r>
    </w:p>
    <w:p w:rsidR="00E30C61" w:rsidRPr="00E30C61" w:rsidRDefault="00CC20FD" w:rsidP="00E30C61">
      <w:pPr>
        <w:pStyle w:val="SingleTxtGR"/>
      </w:pPr>
      <w:r>
        <w:tab/>
      </w:r>
      <w:r w:rsidR="00E30C61" w:rsidRPr="00E30C61">
        <w:t>d)</w:t>
      </w:r>
      <w:r w:rsidR="00E30C61" w:rsidRPr="00E30C61">
        <w:tab/>
        <w:t>все предложенные поправки к изданию ВОПОГ 2017 года (ECE/TRANS/258), не требующие принятия Договаривающимися сторонами (см.</w:t>
      </w:r>
      <w:r>
        <w:rPr>
          <w:lang w:val="en-US"/>
        </w:rPr>
        <w:t> </w:t>
      </w:r>
      <w:r w:rsidR="00E30C61" w:rsidRPr="00E30C61">
        <w:t>ECE/TRANS/WP.15/AC.2/68, приложение V).</w:t>
      </w:r>
    </w:p>
    <w:p w:rsidR="00E30C61" w:rsidRPr="00E30C61" w:rsidRDefault="00E30C61" w:rsidP="00E30C61">
      <w:pPr>
        <w:pStyle w:val="SingleTxtGR"/>
      </w:pPr>
      <w:r w:rsidRPr="00E30C61">
        <w:t xml:space="preserve">21. </w:t>
      </w:r>
      <w:r w:rsidRPr="00E30C61">
        <w:tab/>
        <w:t>Комитет отметил, что Комитет по вопросам безопасности ВОПОГ принял также поправки к Правилам, прилагаемым к ВОПОГ, для вступления в силу 1 января 2021</w:t>
      </w:r>
      <w:r w:rsidR="00CC20FD">
        <w:rPr>
          <w:lang w:val="en-US"/>
        </w:rPr>
        <w:t> </w:t>
      </w:r>
      <w:r w:rsidRPr="00E30C61">
        <w:t>года (см. ECE/TRANS/WP.15/AC.2/68, приложение I). Поскольку, как ожидается, Комитет по вопросам безопасности на своих будущих сессиях примет дополнительные поправки для вступления в силу 1 января 2021 года, Комитет постановил рассмотреть их на более позднем этапе.</w:t>
      </w:r>
    </w:p>
    <w:p w:rsidR="00E30C61" w:rsidRPr="00E30C61" w:rsidRDefault="00CC20FD" w:rsidP="00CC20FD">
      <w:pPr>
        <w:pStyle w:val="HChGR"/>
      </w:pPr>
      <w:r>
        <w:tab/>
      </w:r>
      <w:r w:rsidR="00E30C61" w:rsidRPr="00E30C61">
        <w:t>VI.</w:t>
      </w:r>
      <w:r w:rsidR="00E30C61" w:rsidRPr="00E30C61">
        <w:tab/>
        <w:t xml:space="preserve">Программа работы и расписание совещаний </w:t>
      </w:r>
      <w:r>
        <w:br/>
      </w:r>
      <w:r w:rsidR="00E30C61" w:rsidRPr="00E30C61">
        <w:t>(пункт 5 повестки дня)</w:t>
      </w:r>
    </w:p>
    <w:p w:rsidR="00E30C61" w:rsidRPr="00E30C61" w:rsidRDefault="00E30C61" w:rsidP="00E30C61">
      <w:pPr>
        <w:pStyle w:val="SingleTxtGR"/>
      </w:pPr>
      <w:r w:rsidRPr="00E30C61">
        <w:t>22.</w:t>
      </w:r>
      <w:r w:rsidRPr="00E30C61">
        <w:tab/>
        <w:t>Административный комитет постановил провести свою следующую сессию 25</w:t>
      </w:r>
      <w:r w:rsidR="00CC20FD">
        <w:rPr>
          <w:lang w:val="en-US"/>
        </w:rPr>
        <w:t> </w:t>
      </w:r>
      <w:r w:rsidRPr="00E30C61">
        <w:t xml:space="preserve">января 2019 года и отметил, что крайним сроком для представления документов является 26 октября 2018 года. </w:t>
      </w:r>
    </w:p>
    <w:p w:rsidR="00E30C61" w:rsidRPr="00E30C61" w:rsidRDefault="00CC20FD" w:rsidP="00CC20FD">
      <w:pPr>
        <w:pStyle w:val="HChGR"/>
      </w:pPr>
      <w:r>
        <w:lastRenderedPageBreak/>
        <w:tab/>
      </w:r>
      <w:r w:rsidR="00E30C61" w:rsidRPr="00E30C61">
        <w:t>VII.</w:t>
      </w:r>
      <w:r w:rsidR="00E30C61" w:rsidRPr="00E30C61">
        <w:tab/>
        <w:t>Прочие вопросы (пункт 6 повестки дня)</w:t>
      </w:r>
    </w:p>
    <w:p w:rsidR="00E30C61" w:rsidRPr="00E30C61" w:rsidRDefault="00CC20FD" w:rsidP="00CC20FD">
      <w:pPr>
        <w:pStyle w:val="H1GR"/>
      </w:pPr>
      <w:r>
        <w:tab/>
      </w:r>
      <w:r w:rsidR="00E30C61" w:rsidRPr="00E30C61">
        <w:t>A.</w:t>
      </w:r>
      <w:r w:rsidR="00E30C61" w:rsidRPr="00E30C61">
        <w:tab/>
        <w:t xml:space="preserve">Работа Комитета по внутреннему транспорту </w:t>
      </w:r>
    </w:p>
    <w:p w:rsidR="00E30C61" w:rsidRPr="00E30C61" w:rsidRDefault="00E30C61" w:rsidP="00E30C61">
      <w:pPr>
        <w:pStyle w:val="SingleTxtGR"/>
      </w:pPr>
      <w:r w:rsidRPr="00E30C61">
        <w:t>23.</w:t>
      </w:r>
      <w:r w:rsidRPr="00E30C61">
        <w:tab/>
        <w:t>Комитет отметил просьбу Комитета по внутреннему транспорту (КВТ) к</w:t>
      </w:r>
      <w:r w:rsidR="00CC20FD">
        <w:rPr>
          <w:lang w:val="en-US"/>
        </w:rPr>
        <w:t> </w:t>
      </w:r>
      <w:r w:rsidRPr="00E30C61">
        <w:t>рабочим группам передать свои материалы по окончании их ежегодных сессий «в</w:t>
      </w:r>
      <w:r w:rsidR="00CC20FD">
        <w:rPr>
          <w:lang w:val="en-US"/>
        </w:rPr>
        <w:t> </w:t>
      </w:r>
      <w:r w:rsidRPr="00E30C61">
        <w:t>качестве вклада в разработку стратегии и "дорожной карты" КВТ с целью их окончательного утверждения на сессии с ограниченным участием, приуроченной к</w:t>
      </w:r>
      <w:r w:rsidR="00CC20FD">
        <w:rPr>
          <w:lang w:val="en-US"/>
        </w:rPr>
        <w:t> </w:t>
      </w:r>
      <w:r w:rsidRPr="00E30C61">
        <w:t>восемьдесят первой ежегодной сессии Комитета», как это отражено в докладе КВТ о</w:t>
      </w:r>
      <w:r w:rsidR="00CC20FD">
        <w:rPr>
          <w:lang w:val="en-US"/>
        </w:rPr>
        <w:t> </w:t>
      </w:r>
      <w:r w:rsidRPr="00E30C61">
        <w:t>работе его восьмидесятой сессии (ECE/TRANS/274, пункт 17). Было отмечено, что указанный документ будет распространен по электронной почте среди представителей правительств, участвующих в работе Комитета, и что крайним сроком представления замечаний является 30 сентября.</w:t>
      </w:r>
    </w:p>
    <w:p w:rsidR="00E30C61" w:rsidRPr="00E30C61" w:rsidRDefault="00CC20FD" w:rsidP="00CC20FD">
      <w:pPr>
        <w:pStyle w:val="H1GR"/>
      </w:pPr>
      <w:r>
        <w:tab/>
      </w:r>
      <w:r w:rsidR="00E30C61" w:rsidRPr="00E30C61">
        <w:t>B.</w:t>
      </w:r>
      <w:r w:rsidR="00E30C61" w:rsidRPr="00E30C61">
        <w:tab/>
        <w:t>Издание ВОПОГ 2019 года</w:t>
      </w:r>
    </w:p>
    <w:p w:rsidR="00E30C61" w:rsidRPr="00E30C61" w:rsidRDefault="00E30C61" w:rsidP="00E30C61">
      <w:pPr>
        <w:pStyle w:val="SingleTxtGR"/>
      </w:pPr>
      <w:r w:rsidRPr="00E30C61">
        <w:t xml:space="preserve">24. </w:t>
      </w:r>
      <w:r w:rsidRPr="00E30C61">
        <w:tab/>
        <w:t>Комитет просил секретариат учесть все исправления и соответствующие поправки, принятые на текущей сессии, в новом сводном издании ВОПОГ 2019 года, которое готовится к публикации.</w:t>
      </w:r>
    </w:p>
    <w:p w:rsidR="00E30C61" w:rsidRPr="00E30C61" w:rsidRDefault="00CC20FD" w:rsidP="00CC20FD">
      <w:pPr>
        <w:pStyle w:val="HChGR"/>
      </w:pPr>
      <w:r>
        <w:tab/>
      </w:r>
      <w:r w:rsidR="00E30C61" w:rsidRPr="00E30C61">
        <w:t>VIII.</w:t>
      </w:r>
      <w:r w:rsidR="00E30C61" w:rsidRPr="00E30C61">
        <w:tab/>
        <w:t>Утверждение доклада (пункт 7 повестки дня)</w:t>
      </w:r>
    </w:p>
    <w:p w:rsidR="00E30C61" w:rsidRDefault="00E30C61" w:rsidP="00E30C61">
      <w:pPr>
        <w:pStyle w:val="SingleTxtGR"/>
      </w:pPr>
      <w:r w:rsidRPr="00E30C61">
        <w:t>25.</w:t>
      </w:r>
      <w:r w:rsidRPr="00E30C61">
        <w:tab/>
        <w:t>Административный комитет утвердил доклад о работе своей двадцать первой сессии на основе проекта, подготовленного секретариатом и разосланного делегациям для одобрения по электронной почте после сессии.</w:t>
      </w:r>
    </w:p>
    <w:p w:rsidR="00E12C5F" w:rsidRPr="008D53B6" w:rsidRDefault="00E30C61" w:rsidP="00E30C61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E30C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AC" w:rsidRPr="00A312BC" w:rsidRDefault="007665AC" w:rsidP="00A312BC"/>
  </w:endnote>
  <w:endnote w:type="continuationSeparator" w:id="0">
    <w:p w:rsidR="007665AC" w:rsidRPr="00A312BC" w:rsidRDefault="007665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61" w:rsidRPr="00E30C61" w:rsidRDefault="00E30C61">
    <w:pPr>
      <w:pStyle w:val="Footer"/>
    </w:pPr>
    <w:r w:rsidRPr="00E30C61">
      <w:rPr>
        <w:b/>
        <w:sz w:val="18"/>
      </w:rPr>
      <w:fldChar w:fldCharType="begin"/>
    </w:r>
    <w:r w:rsidRPr="00E30C61">
      <w:rPr>
        <w:b/>
        <w:sz w:val="18"/>
      </w:rPr>
      <w:instrText xml:space="preserve"> PAGE  \* MERGEFORMAT </w:instrText>
    </w:r>
    <w:r w:rsidRPr="00E30C61">
      <w:rPr>
        <w:b/>
        <w:sz w:val="18"/>
      </w:rPr>
      <w:fldChar w:fldCharType="separate"/>
    </w:r>
    <w:r w:rsidR="00223D20">
      <w:rPr>
        <w:b/>
        <w:noProof/>
        <w:sz w:val="18"/>
      </w:rPr>
      <w:t>6</w:t>
    </w:r>
    <w:r w:rsidRPr="00E30C61">
      <w:rPr>
        <w:b/>
        <w:sz w:val="18"/>
      </w:rPr>
      <w:fldChar w:fldCharType="end"/>
    </w:r>
    <w:r>
      <w:rPr>
        <w:b/>
        <w:sz w:val="18"/>
      </w:rPr>
      <w:tab/>
    </w:r>
    <w:r>
      <w:t>GE.18-15498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61" w:rsidRPr="00E30C61" w:rsidRDefault="00E30C61" w:rsidP="00E30C6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GE.18-15498</w:t>
    </w:r>
    <w:r>
      <w:tab/>
    </w:r>
    <w:r w:rsidRPr="00E30C61">
      <w:rPr>
        <w:b/>
        <w:sz w:val="18"/>
      </w:rPr>
      <w:fldChar w:fldCharType="begin"/>
    </w:r>
    <w:r w:rsidRPr="00E30C61">
      <w:rPr>
        <w:b/>
        <w:sz w:val="18"/>
      </w:rPr>
      <w:instrText xml:space="preserve"> PAGE  \* MERGEFORMAT </w:instrText>
    </w:r>
    <w:r w:rsidRPr="00E30C61">
      <w:rPr>
        <w:b/>
        <w:sz w:val="18"/>
      </w:rPr>
      <w:fldChar w:fldCharType="separate"/>
    </w:r>
    <w:r w:rsidR="00223D20">
      <w:rPr>
        <w:b/>
        <w:noProof/>
        <w:sz w:val="18"/>
      </w:rPr>
      <w:t>5</w:t>
    </w:r>
    <w:r w:rsidRPr="00E30C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30C61" w:rsidRDefault="00E30C61" w:rsidP="00E30C6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18-15498  (R)</w:t>
    </w:r>
    <w:r>
      <w:rPr>
        <w:lang w:val="en-US"/>
      </w:rPr>
      <w:t xml:space="preserve">  051018  081018</w:t>
    </w:r>
    <w:r>
      <w:br/>
    </w:r>
    <w:r w:rsidRPr="00E30C61">
      <w:rPr>
        <w:rFonts w:ascii="C39T30Lfz" w:hAnsi="C39T30Lfz"/>
        <w:kern w:val="14"/>
        <w:sz w:val="56"/>
      </w:rPr>
      <w:t></w:t>
    </w:r>
    <w:r w:rsidRPr="00E30C61">
      <w:rPr>
        <w:rFonts w:ascii="C39T30Lfz" w:hAnsi="C39T30Lfz"/>
        <w:kern w:val="14"/>
        <w:sz w:val="56"/>
      </w:rPr>
      <w:t></w:t>
    </w:r>
    <w:r w:rsidRPr="00E30C61">
      <w:rPr>
        <w:rFonts w:ascii="C39T30Lfz" w:hAnsi="C39T30Lfz"/>
        <w:kern w:val="14"/>
        <w:sz w:val="56"/>
      </w:rPr>
      <w:t></w:t>
    </w:r>
    <w:r w:rsidRPr="00E30C61">
      <w:rPr>
        <w:rFonts w:ascii="C39T30Lfz" w:hAnsi="C39T30Lfz"/>
        <w:kern w:val="14"/>
        <w:sz w:val="56"/>
      </w:rPr>
      <w:t></w:t>
    </w:r>
    <w:r w:rsidRPr="00E30C61">
      <w:rPr>
        <w:rFonts w:ascii="C39T30Lfz" w:hAnsi="C39T30Lfz"/>
        <w:kern w:val="14"/>
        <w:sz w:val="56"/>
      </w:rPr>
      <w:t></w:t>
    </w:r>
    <w:r w:rsidRPr="00E30C61">
      <w:rPr>
        <w:rFonts w:ascii="C39T30Lfz" w:hAnsi="C39T30Lfz"/>
        <w:kern w:val="14"/>
        <w:sz w:val="56"/>
      </w:rPr>
      <w:t></w:t>
    </w:r>
    <w:r w:rsidRPr="00E30C61">
      <w:rPr>
        <w:rFonts w:ascii="C39T30Lfz" w:hAnsi="C39T30Lfz"/>
        <w:kern w:val="14"/>
        <w:sz w:val="56"/>
      </w:rPr>
      <w:t></w:t>
    </w:r>
    <w:r w:rsidRPr="00E30C61">
      <w:rPr>
        <w:rFonts w:ascii="C39T30Lfz" w:hAnsi="C39T30Lfz"/>
        <w:kern w:val="14"/>
        <w:sz w:val="56"/>
      </w:rPr>
      <w:t></w:t>
    </w:r>
    <w:r w:rsidRPr="00E30C6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ADN/4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AC" w:rsidRPr="001075E9" w:rsidRDefault="007665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65AC" w:rsidRDefault="007665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30C61" w:rsidRPr="00CA75DB" w:rsidRDefault="00E30C61" w:rsidP="00E30C61">
      <w:pPr>
        <w:pStyle w:val="FootnoteText"/>
        <w:spacing w:line="200" w:lineRule="exact"/>
      </w:pPr>
      <w:r>
        <w:tab/>
      </w:r>
      <w:r w:rsidRPr="00A6074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61" w:rsidRPr="00E30C61" w:rsidRDefault="006B5CB3">
    <w:pPr>
      <w:pStyle w:val="Header"/>
    </w:pPr>
    <w:fldSimple w:instr=" TITLE  \* MERGEFORMAT ">
      <w:r w:rsidR="00841534">
        <w:t>ECE/ADN/47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61" w:rsidRPr="00E30C61" w:rsidRDefault="006B5CB3" w:rsidP="00E30C61">
    <w:pPr>
      <w:pStyle w:val="Header"/>
      <w:jc w:val="right"/>
    </w:pPr>
    <w:fldSimple w:instr=" TITLE  \* MERGEFORMAT ">
      <w:r w:rsidR="00841534">
        <w:t>ECE/ADN/47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61" w:rsidRDefault="00E30C61" w:rsidP="00E30C6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AC"/>
    <w:rsid w:val="00033EE1"/>
    <w:rsid w:val="00040ED1"/>
    <w:rsid w:val="00042B72"/>
    <w:rsid w:val="000558BD"/>
    <w:rsid w:val="00081D24"/>
    <w:rsid w:val="000B57E7"/>
    <w:rsid w:val="000B6373"/>
    <w:rsid w:val="000E4E5B"/>
    <w:rsid w:val="000F09DF"/>
    <w:rsid w:val="000F0A4A"/>
    <w:rsid w:val="000F61B2"/>
    <w:rsid w:val="001075E9"/>
    <w:rsid w:val="0014152F"/>
    <w:rsid w:val="00141E8D"/>
    <w:rsid w:val="00180183"/>
    <w:rsid w:val="0018024D"/>
    <w:rsid w:val="00184122"/>
    <w:rsid w:val="00184CB2"/>
    <w:rsid w:val="0018649F"/>
    <w:rsid w:val="00196389"/>
    <w:rsid w:val="001B1005"/>
    <w:rsid w:val="001B3EF6"/>
    <w:rsid w:val="001C7A89"/>
    <w:rsid w:val="00223D20"/>
    <w:rsid w:val="00225F64"/>
    <w:rsid w:val="00255343"/>
    <w:rsid w:val="0027151D"/>
    <w:rsid w:val="002A2EFC"/>
    <w:rsid w:val="002B0106"/>
    <w:rsid w:val="002B74B1"/>
    <w:rsid w:val="002C0E18"/>
    <w:rsid w:val="002D5AAC"/>
    <w:rsid w:val="002E487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E99"/>
    <w:rsid w:val="00364149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6EA6"/>
    <w:rsid w:val="00472C5C"/>
    <w:rsid w:val="004E05B7"/>
    <w:rsid w:val="0050108D"/>
    <w:rsid w:val="00513081"/>
    <w:rsid w:val="00517901"/>
    <w:rsid w:val="00526683"/>
    <w:rsid w:val="005366E4"/>
    <w:rsid w:val="005639C1"/>
    <w:rsid w:val="00565CC6"/>
    <w:rsid w:val="005709E0"/>
    <w:rsid w:val="00572E19"/>
    <w:rsid w:val="005767D7"/>
    <w:rsid w:val="005961C8"/>
    <w:rsid w:val="005966F1"/>
    <w:rsid w:val="005D1990"/>
    <w:rsid w:val="005D7914"/>
    <w:rsid w:val="005E2B41"/>
    <w:rsid w:val="005F0B42"/>
    <w:rsid w:val="00616E13"/>
    <w:rsid w:val="00617A43"/>
    <w:rsid w:val="006345DB"/>
    <w:rsid w:val="00640F49"/>
    <w:rsid w:val="00647411"/>
    <w:rsid w:val="00680D03"/>
    <w:rsid w:val="00681A10"/>
    <w:rsid w:val="006A1ED8"/>
    <w:rsid w:val="006B4E87"/>
    <w:rsid w:val="006B5CB3"/>
    <w:rsid w:val="006B6EFE"/>
    <w:rsid w:val="006C2031"/>
    <w:rsid w:val="006D461A"/>
    <w:rsid w:val="006F35EE"/>
    <w:rsid w:val="00701B48"/>
    <w:rsid w:val="007021FF"/>
    <w:rsid w:val="00712895"/>
    <w:rsid w:val="00734ACB"/>
    <w:rsid w:val="00757357"/>
    <w:rsid w:val="007642C1"/>
    <w:rsid w:val="007665AC"/>
    <w:rsid w:val="00792497"/>
    <w:rsid w:val="00806737"/>
    <w:rsid w:val="008210A6"/>
    <w:rsid w:val="00825F8D"/>
    <w:rsid w:val="00834B71"/>
    <w:rsid w:val="00841534"/>
    <w:rsid w:val="0086445C"/>
    <w:rsid w:val="008674B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0F90"/>
    <w:rsid w:val="009D7E7D"/>
    <w:rsid w:val="009F4E62"/>
    <w:rsid w:val="00A14DA8"/>
    <w:rsid w:val="00A312BC"/>
    <w:rsid w:val="00A32F25"/>
    <w:rsid w:val="00A60743"/>
    <w:rsid w:val="00A84021"/>
    <w:rsid w:val="00A84D35"/>
    <w:rsid w:val="00A917B3"/>
    <w:rsid w:val="00A96182"/>
    <w:rsid w:val="00A96F84"/>
    <w:rsid w:val="00AB4B51"/>
    <w:rsid w:val="00AD6CD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78C0"/>
    <w:rsid w:val="00CC20FD"/>
    <w:rsid w:val="00CE4163"/>
    <w:rsid w:val="00CE5A1A"/>
    <w:rsid w:val="00CF55F6"/>
    <w:rsid w:val="00D33D63"/>
    <w:rsid w:val="00D5253A"/>
    <w:rsid w:val="00D873A8"/>
    <w:rsid w:val="00D90028"/>
    <w:rsid w:val="00D90138"/>
    <w:rsid w:val="00DB031D"/>
    <w:rsid w:val="00DD78D1"/>
    <w:rsid w:val="00DE32CD"/>
    <w:rsid w:val="00DF5767"/>
    <w:rsid w:val="00DF71B9"/>
    <w:rsid w:val="00E0647C"/>
    <w:rsid w:val="00E12C5F"/>
    <w:rsid w:val="00E30C6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7E62"/>
    <w:rsid w:val="00F92E9E"/>
    <w:rsid w:val="00F94155"/>
    <w:rsid w:val="00F9783F"/>
    <w:rsid w:val="00FD2EF7"/>
    <w:rsid w:val="00FE447E"/>
    <w:rsid w:val="00FF5C46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03E3A4F-16CE-48A0-AC35-811432BE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30C6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ndocs.org/ru/http://www.unece.org/trans/danger/publi/adn/model_expert_certificate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ru/http://www.unece.org/trans/danger/dang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ndocs.org/ru/http://www.unece.org/trans/danger/dange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docs.org/ru/www.unece.org/trans/danger/publi/adn/adnclassifications.htm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BFF4-96D3-4ADC-877E-7EC3B619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ECE/ADN/47</vt:lpstr>
      <vt:lpstr>ECE/ADN/47</vt:lpstr>
      <vt:lpstr>A/</vt:lpstr>
    </vt:vector>
  </TitlesOfParts>
  <Company>DCM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ECE/ADN/47</dc:title>
  <dc:subject/>
  <dc:creator>Olga OVTCHINNIKOVA</dc:creator>
  <cp:keywords/>
  <cp:lastModifiedBy>Marie-Claude Collet</cp:lastModifiedBy>
  <cp:revision>3</cp:revision>
  <cp:lastPrinted>2018-12-21T10:27:00Z</cp:lastPrinted>
  <dcterms:created xsi:type="dcterms:W3CDTF">2018-12-21T10:25:00Z</dcterms:created>
  <dcterms:modified xsi:type="dcterms:W3CDTF">2018-12-21T10:27:00Z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