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C70BF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C70BF9" w:rsidP="00C70BF9">
            <w:pPr>
              <w:jc w:val="right"/>
            </w:pPr>
            <w:r w:rsidRPr="00C70BF9">
              <w:rPr>
                <w:sz w:val="40"/>
              </w:rPr>
              <w:t>ECE</w:t>
            </w:r>
            <w:r>
              <w:t>/ADN/45/Corr.1</w:t>
            </w:r>
          </w:p>
        </w:tc>
      </w:tr>
      <w:tr w:rsidR="002D5AAC" w:rsidRPr="00A17EE3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C70BF9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C70BF9" w:rsidRDefault="00C70BF9" w:rsidP="00C70BF9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28 September 2018</w:t>
            </w:r>
          </w:p>
          <w:p w:rsidR="00C70BF9" w:rsidRDefault="00C70BF9" w:rsidP="00C70BF9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C70BF9" w:rsidRPr="008D53B6" w:rsidRDefault="00C70BF9" w:rsidP="00C70BF9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 xml:space="preserve">Original: </w:t>
            </w:r>
            <w:r w:rsidRPr="007139B0">
              <w:rPr>
                <w:lang w:val="en-GB"/>
              </w:rPr>
              <w:t>English and French</w:t>
            </w:r>
          </w:p>
        </w:tc>
      </w:tr>
    </w:tbl>
    <w:p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C70BF9" w:rsidRPr="00891614" w:rsidRDefault="00C70BF9" w:rsidP="00C70BF9">
      <w:pPr>
        <w:spacing w:before="120"/>
        <w:rPr>
          <w:sz w:val="28"/>
          <w:szCs w:val="28"/>
        </w:rPr>
      </w:pPr>
      <w:r w:rsidRPr="00891614">
        <w:rPr>
          <w:sz w:val="28"/>
          <w:szCs w:val="28"/>
        </w:rPr>
        <w:t>Комитет по внутреннему транспорту</w:t>
      </w:r>
    </w:p>
    <w:p w:rsidR="00C70BF9" w:rsidRPr="00891614" w:rsidRDefault="00C70BF9" w:rsidP="00C70BF9">
      <w:pPr>
        <w:spacing w:before="120"/>
        <w:rPr>
          <w:b/>
          <w:bCs/>
          <w:sz w:val="24"/>
          <w:szCs w:val="24"/>
        </w:rPr>
      </w:pPr>
      <w:r w:rsidRPr="00891614">
        <w:rPr>
          <w:b/>
          <w:bCs/>
          <w:sz w:val="24"/>
          <w:szCs w:val="24"/>
        </w:rPr>
        <w:t>Рабочая группа по перевозкам опасных грузов</w:t>
      </w:r>
    </w:p>
    <w:p w:rsidR="00C70BF9" w:rsidRPr="00891614" w:rsidRDefault="00C70BF9" w:rsidP="00C70BF9">
      <w:pPr>
        <w:spacing w:before="120"/>
        <w:rPr>
          <w:b/>
          <w:bCs/>
        </w:rPr>
      </w:pPr>
      <w:r w:rsidRPr="00891614">
        <w:rPr>
          <w:b/>
          <w:bCs/>
        </w:rPr>
        <w:t xml:space="preserve">Административный комитет Европейского соглашения </w:t>
      </w:r>
      <w:r>
        <w:rPr>
          <w:b/>
          <w:bCs/>
        </w:rPr>
        <w:br/>
      </w:r>
      <w:r w:rsidRPr="00891614">
        <w:rPr>
          <w:b/>
          <w:bCs/>
        </w:rPr>
        <w:t xml:space="preserve">о международной перевозке опасных грузов </w:t>
      </w:r>
      <w:r>
        <w:rPr>
          <w:b/>
          <w:bCs/>
        </w:rPr>
        <w:br/>
      </w:r>
      <w:r w:rsidRPr="00891614">
        <w:rPr>
          <w:b/>
          <w:bCs/>
        </w:rPr>
        <w:t>по внутренним водным путям (ВОПОГ)</w:t>
      </w:r>
    </w:p>
    <w:p w:rsidR="00C70BF9" w:rsidRPr="00891614" w:rsidRDefault="00C70BF9" w:rsidP="00C70BF9">
      <w:pPr>
        <w:pStyle w:val="HChG"/>
        <w:rPr>
          <w:bCs/>
          <w:lang w:val="ru-RU"/>
        </w:rPr>
      </w:pPr>
      <w:r w:rsidRPr="00891614">
        <w:rPr>
          <w:bCs/>
          <w:lang w:val="ru-RU"/>
        </w:rPr>
        <w:tab/>
      </w:r>
      <w:r w:rsidRPr="00891614">
        <w:rPr>
          <w:bCs/>
          <w:lang w:val="ru-RU"/>
        </w:rPr>
        <w:tab/>
        <w:t>Европейское соглашение о международной перевозке опасных грузов по внутренним водным путям (ВОПОГ)</w:t>
      </w:r>
    </w:p>
    <w:p w:rsidR="00C70BF9" w:rsidRPr="00891614" w:rsidRDefault="00C70BF9" w:rsidP="00C70BF9">
      <w:pPr>
        <w:pStyle w:val="H1G"/>
        <w:rPr>
          <w:bCs/>
          <w:lang w:val="ru-RU"/>
        </w:rPr>
      </w:pPr>
      <w:r w:rsidRPr="00891614">
        <w:rPr>
          <w:bCs/>
          <w:lang w:val="ru-RU"/>
        </w:rPr>
        <w:tab/>
      </w:r>
      <w:r w:rsidRPr="00891614">
        <w:rPr>
          <w:bCs/>
          <w:lang w:val="ru-RU"/>
        </w:rPr>
        <w:tab/>
        <w:t>Проекты поправок к Правилам, прилагаемым к ВОПОГ</w:t>
      </w:r>
      <w:r w:rsidRPr="00C70BF9">
        <w:rPr>
          <w:b w:val="0"/>
          <w:bCs/>
          <w:sz w:val="20"/>
          <w:lang w:val="ru-RU"/>
        </w:rPr>
        <w:footnoteReference w:customMarkFollows="1" w:id="1"/>
        <w:t>*</w:t>
      </w:r>
    </w:p>
    <w:p w:rsidR="00C70BF9" w:rsidRPr="00891614" w:rsidRDefault="00C70BF9" w:rsidP="00C70BF9">
      <w:pPr>
        <w:pStyle w:val="H23G"/>
        <w:spacing w:after="360"/>
        <w:rPr>
          <w:bCs/>
          <w:lang w:val="ru-RU"/>
        </w:rPr>
      </w:pPr>
      <w:r w:rsidRPr="00891614">
        <w:rPr>
          <w:bCs/>
          <w:lang w:val="ru-RU"/>
        </w:rPr>
        <w:tab/>
      </w:r>
      <w:r w:rsidRPr="00891614">
        <w:rPr>
          <w:bCs/>
          <w:lang w:val="ru-RU"/>
        </w:rPr>
        <w:tab/>
        <w:t>Исправление</w:t>
      </w:r>
      <w:bookmarkStart w:id="1" w:name="OLE_LINK1"/>
    </w:p>
    <w:bookmarkEnd w:id="1"/>
    <w:p w:rsidR="00C70BF9" w:rsidRPr="00512100" w:rsidRDefault="00C70BF9" w:rsidP="00C70BF9">
      <w:pPr>
        <w:pStyle w:val="H23G"/>
        <w:rPr>
          <w:lang w:val="ru-RU"/>
        </w:rPr>
      </w:pPr>
      <w:r>
        <w:rPr>
          <w:lang w:val="ru-RU"/>
        </w:rPr>
        <w:tab/>
        <w:t>1.</w:t>
      </w:r>
      <w:r>
        <w:rPr>
          <w:lang w:val="ru-RU"/>
        </w:rPr>
        <w:tab/>
        <w:t>Поправка к части 1, глава 1.2, определение «Пламегаситель»</w:t>
      </w:r>
    </w:p>
    <w:p w:rsidR="00C70BF9" w:rsidRPr="00512100" w:rsidRDefault="00C70BF9" w:rsidP="00C70BF9">
      <w:pPr>
        <w:pStyle w:val="SingleTxtG"/>
        <w:rPr>
          <w:rFonts w:eastAsia="SimSun"/>
          <w:vertAlign w:val="superscript"/>
          <w:lang w:val="ru-RU"/>
        </w:rPr>
      </w:pPr>
      <w:r w:rsidRPr="00BC4A59">
        <w:rPr>
          <w:i/>
          <w:iCs/>
          <w:lang w:val="ru-RU"/>
        </w:rPr>
        <w:t>Вместо</w:t>
      </w:r>
      <w:r>
        <w:rPr>
          <w:lang w:val="ru-RU"/>
        </w:rPr>
        <w:t xml:space="preserve"> «директиве 2014/34/EU</w:t>
      </w:r>
      <w:r>
        <w:rPr>
          <w:vertAlign w:val="superscript"/>
          <w:lang w:val="ru-RU"/>
        </w:rPr>
        <w:t>2</w:t>
      </w:r>
      <w:r>
        <w:rPr>
          <w:lang w:val="ru-RU"/>
        </w:rPr>
        <w:t xml:space="preserve">» </w:t>
      </w:r>
      <w:r w:rsidRPr="00BC4A59">
        <w:rPr>
          <w:i/>
          <w:iCs/>
          <w:lang w:val="ru-RU"/>
        </w:rPr>
        <w:t>читать</w:t>
      </w:r>
      <w:r>
        <w:rPr>
          <w:lang w:val="ru-RU"/>
        </w:rPr>
        <w:t xml:space="preserve"> «директиве 2014/34/EU</w:t>
      </w:r>
      <w:r>
        <w:rPr>
          <w:vertAlign w:val="superscript"/>
          <w:lang w:val="ru-RU"/>
        </w:rPr>
        <w:t>2</w:t>
      </w:r>
      <w:r>
        <w:rPr>
          <w:lang w:val="ru-RU"/>
        </w:rPr>
        <w:t>, системе IECEx</w:t>
      </w:r>
      <w:r>
        <w:rPr>
          <w:vertAlign w:val="superscript"/>
          <w:lang w:val="ru-RU"/>
        </w:rPr>
        <w:t>5</w:t>
      </w:r>
      <w:r>
        <w:rPr>
          <w:lang w:val="ru-RU"/>
        </w:rPr>
        <w:t>».</w:t>
      </w:r>
    </w:p>
    <w:p w:rsidR="00C70BF9" w:rsidRPr="00512100" w:rsidRDefault="00C70BF9" w:rsidP="00C70BF9">
      <w:pPr>
        <w:pStyle w:val="H23G"/>
        <w:rPr>
          <w:lang w:val="ru-RU"/>
        </w:rPr>
      </w:pPr>
      <w:r>
        <w:rPr>
          <w:lang w:val="ru-RU"/>
        </w:rPr>
        <w:tab/>
        <w:t>2.</w:t>
      </w:r>
      <w:r>
        <w:rPr>
          <w:lang w:val="ru-RU"/>
        </w:rPr>
        <w:tab/>
        <w:t>Поправка к части 1, глава 1.2, определение «Быстродействующий выпускной клапан»</w:t>
      </w:r>
    </w:p>
    <w:p w:rsidR="00C70BF9" w:rsidRPr="00512100" w:rsidRDefault="00C70BF9" w:rsidP="00C70BF9">
      <w:pPr>
        <w:pStyle w:val="SingleTxtG"/>
        <w:rPr>
          <w:rFonts w:eastAsia="SimSun"/>
          <w:vertAlign w:val="superscript"/>
          <w:lang w:val="ru-RU"/>
        </w:rPr>
      </w:pPr>
      <w:r w:rsidRPr="00BC4A59">
        <w:rPr>
          <w:i/>
          <w:iCs/>
          <w:lang w:val="ru-RU"/>
        </w:rPr>
        <w:t>Вместо</w:t>
      </w:r>
      <w:r>
        <w:rPr>
          <w:lang w:val="ru-RU"/>
        </w:rPr>
        <w:t xml:space="preserve"> «директиве 2014/34/EU</w:t>
      </w:r>
      <w:r>
        <w:rPr>
          <w:vertAlign w:val="superscript"/>
          <w:lang w:val="ru-RU"/>
        </w:rPr>
        <w:t>2</w:t>
      </w:r>
      <w:r>
        <w:rPr>
          <w:lang w:val="ru-RU"/>
        </w:rPr>
        <w:t xml:space="preserve">» </w:t>
      </w:r>
      <w:r w:rsidRPr="00BC4A59">
        <w:rPr>
          <w:i/>
          <w:iCs/>
          <w:lang w:val="ru-RU"/>
        </w:rPr>
        <w:t>читать</w:t>
      </w:r>
      <w:r>
        <w:rPr>
          <w:lang w:val="ru-RU"/>
        </w:rPr>
        <w:t xml:space="preserve"> «директиве 2014/34/EU</w:t>
      </w:r>
      <w:r>
        <w:rPr>
          <w:vertAlign w:val="superscript"/>
          <w:lang w:val="ru-RU"/>
        </w:rPr>
        <w:t>2</w:t>
      </w:r>
      <w:r>
        <w:rPr>
          <w:lang w:val="ru-RU"/>
        </w:rPr>
        <w:t>, системе IECEx</w:t>
      </w:r>
      <w:r>
        <w:rPr>
          <w:vertAlign w:val="superscript"/>
          <w:lang w:val="ru-RU"/>
        </w:rPr>
        <w:t>5</w:t>
      </w:r>
      <w:r>
        <w:rPr>
          <w:lang w:val="ru-RU"/>
        </w:rPr>
        <w:t xml:space="preserve">». </w:t>
      </w:r>
    </w:p>
    <w:p w:rsidR="00C70BF9" w:rsidRPr="00512100" w:rsidRDefault="00C70BF9" w:rsidP="00C70BF9">
      <w:pPr>
        <w:pStyle w:val="H23G"/>
        <w:rPr>
          <w:lang w:val="ru-RU"/>
        </w:rPr>
      </w:pPr>
      <w:r>
        <w:rPr>
          <w:lang w:val="ru-RU"/>
        </w:rPr>
        <w:tab/>
        <w:t>3.</w:t>
      </w:r>
      <w:r>
        <w:rPr>
          <w:lang w:val="ru-RU"/>
        </w:rPr>
        <w:tab/>
        <w:t>Поправка к части 1, глава 1.2, определение «Отверстие для взятия проб»</w:t>
      </w:r>
    </w:p>
    <w:p w:rsidR="00C70BF9" w:rsidRPr="00512100" w:rsidRDefault="00C70BF9" w:rsidP="00C70BF9">
      <w:pPr>
        <w:pStyle w:val="SingleTxtG"/>
        <w:rPr>
          <w:rFonts w:eastAsia="SimSun"/>
          <w:vertAlign w:val="superscript"/>
          <w:lang w:val="ru-RU"/>
        </w:rPr>
      </w:pPr>
      <w:r w:rsidRPr="00BC4A59">
        <w:rPr>
          <w:i/>
          <w:iCs/>
          <w:lang w:val="ru-RU"/>
        </w:rPr>
        <w:t>Вместо</w:t>
      </w:r>
      <w:r>
        <w:rPr>
          <w:lang w:val="ru-RU"/>
        </w:rPr>
        <w:t xml:space="preserve"> «директиве 2014/34/EU</w:t>
      </w:r>
      <w:r>
        <w:rPr>
          <w:vertAlign w:val="superscript"/>
          <w:lang w:val="ru-RU"/>
        </w:rPr>
        <w:t>2</w:t>
      </w:r>
      <w:r>
        <w:rPr>
          <w:lang w:val="ru-RU"/>
        </w:rPr>
        <w:t xml:space="preserve">» </w:t>
      </w:r>
      <w:r w:rsidRPr="00BC4A59">
        <w:rPr>
          <w:i/>
          <w:iCs/>
          <w:lang w:val="ru-RU"/>
        </w:rPr>
        <w:t>читать</w:t>
      </w:r>
      <w:r>
        <w:rPr>
          <w:lang w:val="ru-RU"/>
        </w:rPr>
        <w:t xml:space="preserve"> «директиве 2014/34/EU</w:t>
      </w:r>
      <w:r>
        <w:rPr>
          <w:vertAlign w:val="superscript"/>
          <w:lang w:val="ru-RU"/>
        </w:rPr>
        <w:t>2</w:t>
      </w:r>
      <w:r>
        <w:rPr>
          <w:lang w:val="ru-RU"/>
        </w:rPr>
        <w:t>, системе IECEx</w:t>
      </w:r>
      <w:r>
        <w:rPr>
          <w:vertAlign w:val="superscript"/>
          <w:lang w:val="ru-RU"/>
        </w:rPr>
        <w:t>5</w:t>
      </w:r>
      <w:r>
        <w:rPr>
          <w:lang w:val="ru-RU"/>
        </w:rPr>
        <w:t>».</w:t>
      </w:r>
    </w:p>
    <w:p w:rsidR="00C70BF9" w:rsidRPr="00512100" w:rsidRDefault="00C70BF9" w:rsidP="00C70BF9">
      <w:pPr>
        <w:pStyle w:val="H23G"/>
        <w:rPr>
          <w:lang w:val="ru-RU"/>
        </w:rPr>
      </w:pPr>
      <w:r>
        <w:rPr>
          <w:lang w:val="ru-RU"/>
        </w:rPr>
        <w:tab/>
        <w:t>4.</w:t>
      </w:r>
      <w:r>
        <w:rPr>
          <w:lang w:val="ru-RU"/>
        </w:rPr>
        <w:tab/>
        <w:t>Поправка к части 1, глава 1.2, определение «Токсиметр»</w:t>
      </w:r>
    </w:p>
    <w:p w:rsidR="00C70BF9" w:rsidRPr="00512100" w:rsidRDefault="00C70BF9" w:rsidP="00C70BF9">
      <w:pPr>
        <w:pStyle w:val="SingleTxtG"/>
        <w:rPr>
          <w:rFonts w:eastAsia="SimSun"/>
          <w:sz w:val="18"/>
          <w:vertAlign w:val="superscript"/>
          <w:lang w:val="ru-RU"/>
        </w:rPr>
      </w:pPr>
      <w:r w:rsidRPr="00BC4A59">
        <w:rPr>
          <w:i/>
          <w:iCs/>
          <w:lang w:val="ru-RU"/>
        </w:rPr>
        <w:t xml:space="preserve">Вместо </w:t>
      </w:r>
      <w:r>
        <w:rPr>
          <w:lang w:val="ru-RU"/>
        </w:rPr>
        <w:t>«директиве 2014/34/EU</w:t>
      </w:r>
      <w:r w:rsidRPr="007C5BE4">
        <w:rPr>
          <w:rFonts w:eastAsia="SimSun"/>
          <w:sz w:val="18"/>
          <w:vertAlign w:val="superscript"/>
          <w:lang w:val="ru-RU"/>
        </w:rPr>
        <w:footnoteReference w:customMarkFollows="1" w:id="2"/>
        <w:t>2</w:t>
      </w:r>
      <w:r>
        <w:rPr>
          <w:lang w:val="ru-RU"/>
        </w:rPr>
        <w:t xml:space="preserve">» </w:t>
      </w:r>
      <w:r w:rsidRPr="00BC4A59">
        <w:rPr>
          <w:i/>
          <w:iCs/>
          <w:lang w:val="ru-RU"/>
        </w:rPr>
        <w:t>читать</w:t>
      </w:r>
      <w:r>
        <w:rPr>
          <w:lang w:val="ru-RU"/>
        </w:rPr>
        <w:t xml:space="preserve"> «директиве 2014/34/EU</w:t>
      </w:r>
      <w:r w:rsidRPr="00BC4A59">
        <w:rPr>
          <w:vertAlign w:val="superscript"/>
          <w:lang w:val="ru-RU"/>
        </w:rPr>
        <w:t>2</w:t>
      </w:r>
      <w:r>
        <w:rPr>
          <w:lang w:val="ru-RU"/>
        </w:rPr>
        <w:t>, системе IECEx</w:t>
      </w:r>
      <w:r w:rsidRPr="007C5BE4">
        <w:rPr>
          <w:rFonts w:eastAsia="SimSun"/>
          <w:sz w:val="18"/>
          <w:vertAlign w:val="superscript"/>
          <w:lang w:val="ru-RU"/>
        </w:rPr>
        <w:footnoteReference w:customMarkFollows="1" w:id="3"/>
        <w:t>5</w:t>
      </w:r>
      <w:r>
        <w:rPr>
          <w:lang w:val="ru-RU"/>
        </w:rPr>
        <w:t>».</w:t>
      </w:r>
      <w:r w:rsidRPr="007C5BE4">
        <w:rPr>
          <w:rFonts w:eastAsia="SimSun"/>
          <w:sz w:val="18"/>
          <w:vertAlign w:val="superscript"/>
          <w:lang w:val="ru-RU"/>
        </w:rPr>
        <w:t xml:space="preserve"> </w:t>
      </w:r>
      <w:bookmarkStart w:id="2" w:name="_Hlk522182710"/>
      <w:bookmarkStart w:id="3" w:name="_Hlk522182730"/>
      <w:bookmarkEnd w:id="2"/>
      <w:bookmarkEnd w:id="3"/>
    </w:p>
    <w:p w:rsidR="00C70BF9" w:rsidRPr="00512100" w:rsidRDefault="00C70BF9" w:rsidP="00C70BF9">
      <w:pPr>
        <w:pStyle w:val="H23G"/>
        <w:rPr>
          <w:lang w:val="ru-RU"/>
        </w:rPr>
      </w:pPr>
      <w:r>
        <w:rPr>
          <w:lang w:val="ru-RU"/>
        </w:rPr>
        <w:tab/>
        <w:t>5.</w:t>
      </w:r>
      <w:r>
        <w:rPr>
          <w:lang w:val="ru-RU"/>
        </w:rPr>
        <w:tab/>
        <w:t>Поправка к части 1, глава 1.2, определение «Вакуумный клапан»</w:t>
      </w:r>
    </w:p>
    <w:p w:rsidR="00C70BF9" w:rsidRPr="00512100" w:rsidRDefault="00C70BF9" w:rsidP="00C70BF9">
      <w:pPr>
        <w:pStyle w:val="SingleTxtG"/>
        <w:rPr>
          <w:rFonts w:eastAsia="SimSun"/>
          <w:vertAlign w:val="superscript"/>
          <w:lang w:val="ru-RU"/>
        </w:rPr>
      </w:pPr>
      <w:r w:rsidRPr="00BC4A59">
        <w:rPr>
          <w:i/>
          <w:iCs/>
          <w:lang w:val="ru-RU"/>
        </w:rPr>
        <w:t>Вместо</w:t>
      </w:r>
      <w:r>
        <w:rPr>
          <w:lang w:val="ru-RU"/>
        </w:rPr>
        <w:t xml:space="preserve"> «директиве 2014/34/EU</w:t>
      </w:r>
      <w:r>
        <w:rPr>
          <w:vertAlign w:val="superscript"/>
          <w:lang w:val="ru-RU"/>
        </w:rPr>
        <w:t>2</w:t>
      </w:r>
      <w:r>
        <w:rPr>
          <w:lang w:val="ru-RU"/>
        </w:rPr>
        <w:t xml:space="preserve">» </w:t>
      </w:r>
      <w:r w:rsidRPr="00BC4A59">
        <w:rPr>
          <w:i/>
          <w:iCs/>
          <w:lang w:val="ru-RU"/>
        </w:rPr>
        <w:t>читать</w:t>
      </w:r>
      <w:r>
        <w:rPr>
          <w:lang w:val="ru-RU"/>
        </w:rPr>
        <w:t xml:space="preserve"> «директиве 2014/34/EU</w:t>
      </w:r>
      <w:r>
        <w:rPr>
          <w:vertAlign w:val="superscript"/>
          <w:lang w:val="ru-RU"/>
        </w:rPr>
        <w:t>2</w:t>
      </w:r>
      <w:r>
        <w:rPr>
          <w:lang w:val="ru-RU"/>
        </w:rPr>
        <w:t>, системе IECEx</w:t>
      </w:r>
      <w:r>
        <w:rPr>
          <w:vertAlign w:val="superscript"/>
          <w:lang w:val="ru-RU"/>
        </w:rPr>
        <w:t>5</w:t>
      </w:r>
      <w:r>
        <w:rPr>
          <w:lang w:val="ru-RU"/>
        </w:rPr>
        <w:t>».</w:t>
      </w:r>
    </w:p>
    <w:p w:rsidR="00C70BF9" w:rsidRPr="00512100" w:rsidRDefault="00C70BF9" w:rsidP="00C70BF9">
      <w:pPr>
        <w:pStyle w:val="H23G"/>
        <w:rPr>
          <w:lang w:val="ru-RU"/>
        </w:rPr>
      </w:pPr>
      <w:r>
        <w:rPr>
          <w:lang w:val="ru-RU"/>
        </w:rPr>
        <w:tab/>
        <w:t>6.</w:t>
      </w:r>
      <w:r>
        <w:rPr>
          <w:lang w:val="ru-RU"/>
        </w:rPr>
        <w:tab/>
        <w:t>Поправка к части 1, глава 1.2, определение «Устройство для безопасного сброса давления в грузовых танках»</w:t>
      </w:r>
    </w:p>
    <w:p w:rsidR="00C70BF9" w:rsidRPr="00512100" w:rsidRDefault="00C70BF9" w:rsidP="00C70BF9">
      <w:pPr>
        <w:pStyle w:val="SingleTxtG"/>
        <w:rPr>
          <w:rFonts w:eastAsia="SimSun"/>
          <w:vertAlign w:val="superscript"/>
          <w:lang w:val="ru-RU"/>
        </w:rPr>
      </w:pPr>
      <w:r w:rsidRPr="00BC4A59">
        <w:rPr>
          <w:i/>
          <w:iCs/>
          <w:lang w:val="ru-RU"/>
        </w:rPr>
        <w:t xml:space="preserve">Вместо </w:t>
      </w:r>
      <w:r>
        <w:rPr>
          <w:lang w:val="ru-RU"/>
        </w:rPr>
        <w:t>«директиве 2014/34/EU</w:t>
      </w:r>
      <w:r>
        <w:rPr>
          <w:vertAlign w:val="superscript"/>
          <w:lang w:val="ru-RU"/>
        </w:rPr>
        <w:t>2</w:t>
      </w:r>
      <w:r>
        <w:rPr>
          <w:lang w:val="ru-RU"/>
        </w:rPr>
        <w:t xml:space="preserve">» </w:t>
      </w:r>
      <w:r w:rsidRPr="00BC4A59">
        <w:rPr>
          <w:i/>
          <w:iCs/>
          <w:lang w:val="ru-RU"/>
        </w:rPr>
        <w:t>читать</w:t>
      </w:r>
      <w:r>
        <w:rPr>
          <w:lang w:val="ru-RU"/>
        </w:rPr>
        <w:t xml:space="preserve"> «директиве 2014/34/EU</w:t>
      </w:r>
      <w:r>
        <w:rPr>
          <w:vertAlign w:val="superscript"/>
          <w:lang w:val="ru-RU"/>
        </w:rPr>
        <w:t>2</w:t>
      </w:r>
      <w:r>
        <w:rPr>
          <w:lang w:val="ru-RU"/>
        </w:rPr>
        <w:t>, системе IECEx</w:t>
      </w:r>
      <w:r>
        <w:rPr>
          <w:vertAlign w:val="superscript"/>
          <w:lang w:val="ru-RU"/>
        </w:rPr>
        <w:t>5</w:t>
      </w:r>
      <w:r>
        <w:rPr>
          <w:lang w:val="ru-RU"/>
        </w:rPr>
        <w:t>».</w:t>
      </w:r>
    </w:p>
    <w:p w:rsidR="00C70BF9" w:rsidRPr="00512100" w:rsidRDefault="00C70BF9" w:rsidP="00C70BF9">
      <w:pPr>
        <w:pStyle w:val="H23G"/>
        <w:rPr>
          <w:lang w:val="ru-RU"/>
        </w:rPr>
      </w:pPr>
      <w:r>
        <w:rPr>
          <w:lang w:val="ru-RU"/>
        </w:rPr>
        <w:lastRenderedPageBreak/>
        <w:tab/>
        <w:t>7.</w:t>
      </w:r>
      <w:r>
        <w:rPr>
          <w:lang w:val="ru-RU"/>
        </w:rPr>
        <w:tab/>
        <w:t>Поправка к части 1, глава 1.4, 1.4.2.2.2</w:t>
      </w:r>
    </w:p>
    <w:p w:rsidR="00C70BF9" w:rsidRPr="00512100" w:rsidRDefault="00C70BF9" w:rsidP="00C70BF9">
      <w:pPr>
        <w:pStyle w:val="SingleTxtG"/>
        <w:rPr>
          <w:lang w:val="ru-RU"/>
        </w:rPr>
      </w:pPr>
      <w:r w:rsidRPr="00BC4A59">
        <w:rPr>
          <w:i/>
          <w:iCs/>
          <w:lang w:val="ru-RU"/>
        </w:rPr>
        <w:t>Вместо</w:t>
      </w:r>
      <w:r>
        <w:rPr>
          <w:lang w:val="ru-RU"/>
        </w:rPr>
        <w:t xml:space="preserve"> «свидетельстве о загрузке контейнера, транспортного средства или вагона» </w:t>
      </w:r>
      <w:r w:rsidRPr="00BC4A59">
        <w:rPr>
          <w:i/>
          <w:iCs/>
          <w:lang w:val="ru-RU"/>
        </w:rPr>
        <w:t>читать</w:t>
      </w:r>
      <w:r>
        <w:rPr>
          <w:lang w:val="ru-RU"/>
        </w:rPr>
        <w:t xml:space="preserve"> «свидетельстве о загрузке контейнера/транспортного средства».</w:t>
      </w:r>
    </w:p>
    <w:p w:rsidR="00C70BF9" w:rsidRPr="00512100" w:rsidRDefault="00C70BF9" w:rsidP="00C70BF9">
      <w:pPr>
        <w:pStyle w:val="H23G"/>
        <w:rPr>
          <w:lang w:val="ru-RU"/>
        </w:rPr>
      </w:pPr>
      <w:r>
        <w:rPr>
          <w:lang w:val="ru-RU"/>
        </w:rPr>
        <w:tab/>
        <w:t>8.</w:t>
      </w:r>
      <w:r>
        <w:rPr>
          <w:lang w:val="ru-RU"/>
        </w:rPr>
        <w:tab/>
      </w:r>
      <w:r>
        <w:rPr>
          <w:bCs/>
          <w:lang w:val="ru-RU"/>
        </w:rPr>
        <w:t>Поправка к части 1, глава 1.6, новая переходная мера 1.6.1.44</w:t>
      </w:r>
    </w:p>
    <w:p w:rsidR="00C70BF9" w:rsidRPr="00512100" w:rsidRDefault="00C70BF9" w:rsidP="00C70BF9">
      <w:pPr>
        <w:pStyle w:val="SingleTxtG"/>
        <w:rPr>
          <w:lang w:val="ru-RU"/>
        </w:rPr>
      </w:pPr>
      <w:r>
        <w:rPr>
          <w:lang w:val="ru-RU"/>
        </w:rPr>
        <w:t>Данное исправление не касается текста на русском языке.</w:t>
      </w:r>
    </w:p>
    <w:p w:rsidR="00C70BF9" w:rsidRPr="00512100" w:rsidRDefault="00C70BF9" w:rsidP="00C70BF9">
      <w:pPr>
        <w:pStyle w:val="H23G"/>
        <w:spacing w:before="120"/>
        <w:rPr>
          <w:lang w:val="ru-RU"/>
        </w:rPr>
      </w:pPr>
      <w:r>
        <w:rPr>
          <w:lang w:val="ru-RU"/>
        </w:rPr>
        <w:tab/>
        <w:t>9.</w:t>
      </w:r>
      <w:r>
        <w:rPr>
          <w:lang w:val="ru-RU"/>
        </w:rPr>
        <w:tab/>
      </w:r>
      <w:r>
        <w:rPr>
          <w:bCs/>
          <w:lang w:val="ru-RU"/>
        </w:rPr>
        <w:t>Поправка к части 1, глава 1.6, 1.6.7.2.2.2</w:t>
      </w:r>
      <w:bookmarkStart w:id="4" w:name="_Hlk523243579"/>
      <w:bookmarkEnd w:id="4"/>
    </w:p>
    <w:p w:rsidR="00C70BF9" w:rsidRPr="00BC4A59" w:rsidRDefault="00C70BF9" w:rsidP="00C70BF9">
      <w:pPr>
        <w:pStyle w:val="SingleTxtG"/>
        <w:rPr>
          <w:i/>
          <w:iCs/>
          <w:lang w:val="ru-RU"/>
        </w:rPr>
      </w:pPr>
      <w:r w:rsidRPr="00BC4A59">
        <w:rPr>
          <w:i/>
          <w:iCs/>
          <w:lang w:val="ru-RU"/>
        </w:rPr>
        <w:t>Вместо</w:t>
      </w:r>
    </w:p>
    <w:p w:rsidR="00C70BF9" w:rsidRPr="00512100" w:rsidRDefault="00C70BF9" w:rsidP="00C70BF9">
      <w:pPr>
        <w:pStyle w:val="SingleTxtG"/>
        <w:rPr>
          <w:lang w:val="ru-RU"/>
        </w:rPr>
      </w:pPr>
      <w:r>
        <w:rPr>
          <w:lang w:val="ru-RU"/>
        </w:rPr>
        <w:t>1.6.7.2.2.2</w:t>
      </w:r>
      <w:r>
        <w:rPr>
          <w:lang w:val="ru-RU"/>
        </w:rPr>
        <w:tab/>
        <w:t>Обозначить переходное положение для «9.3.3.52.5» как переходное положение для «9.3.3.52.6». Остальной текст без изменений.</w:t>
      </w:r>
    </w:p>
    <w:p w:rsidR="00C70BF9" w:rsidRPr="00BC4A59" w:rsidRDefault="00C70BF9" w:rsidP="00C70BF9">
      <w:pPr>
        <w:pStyle w:val="SingleTxtG"/>
        <w:rPr>
          <w:i/>
          <w:iCs/>
          <w:lang w:val="ru-RU"/>
        </w:rPr>
      </w:pPr>
      <w:r w:rsidRPr="00BC4A59">
        <w:rPr>
          <w:i/>
          <w:iCs/>
          <w:lang w:val="ru-RU"/>
        </w:rPr>
        <w:t>читать</w:t>
      </w:r>
    </w:p>
    <w:p w:rsidR="00C70BF9" w:rsidRPr="00512100" w:rsidRDefault="00C70BF9" w:rsidP="00C70BF9">
      <w:pPr>
        <w:pStyle w:val="SingleTxtG"/>
        <w:rPr>
          <w:lang w:val="ru-RU"/>
        </w:rPr>
      </w:pPr>
      <w:r>
        <w:rPr>
          <w:lang w:val="ru-RU"/>
        </w:rPr>
        <w:t>1.6.7.2.2.2</w:t>
      </w:r>
      <w:r>
        <w:rPr>
          <w:lang w:val="ru-RU"/>
        </w:rPr>
        <w:tab/>
        <w:t>Обозначить переходное положение для «9.3.3.52.5» как переходное положение для «9.3.3.52.6». В колонке «Вопрос» заменить «выключатель» на «многополюсный выключатель». Остальной текст без изменений.</w:t>
      </w:r>
      <w:bookmarkStart w:id="5" w:name="_Hlk523243671"/>
      <w:bookmarkEnd w:id="5"/>
    </w:p>
    <w:p w:rsidR="00C70BF9" w:rsidRPr="00512100" w:rsidRDefault="00C70BF9" w:rsidP="00C70BF9">
      <w:pPr>
        <w:pStyle w:val="H23G"/>
        <w:rPr>
          <w:lang w:val="ru-RU"/>
        </w:rPr>
      </w:pPr>
      <w:r>
        <w:rPr>
          <w:lang w:val="ru-RU"/>
        </w:rPr>
        <w:tab/>
        <w:t>10.</w:t>
      </w:r>
      <w:r>
        <w:rPr>
          <w:lang w:val="ru-RU"/>
        </w:rPr>
        <w:tab/>
      </w:r>
      <w:r>
        <w:rPr>
          <w:bCs/>
          <w:lang w:val="ru-RU"/>
        </w:rPr>
        <w:t xml:space="preserve">Поправка к части 1, глава 1.6, 1.6.7.2.2.2, новые переходные положения, </w:t>
      </w:r>
      <w:r w:rsidR="00A17EE3">
        <w:rPr>
          <w:bCs/>
          <w:lang w:val="ru-RU"/>
        </w:rPr>
        <w:br/>
      </w:r>
      <w:r>
        <w:rPr>
          <w:bCs/>
          <w:lang w:val="ru-RU"/>
        </w:rPr>
        <w:t>1.2.1 – Индикатор газов</w:t>
      </w:r>
    </w:p>
    <w:p w:rsidR="00C70BF9" w:rsidRPr="00512100" w:rsidRDefault="00C70BF9" w:rsidP="00C70BF9">
      <w:pPr>
        <w:pStyle w:val="SingleTxtG"/>
        <w:rPr>
          <w:lang w:val="ru-RU"/>
        </w:rPr>
      </w:pPr>
      <w:r w:rsidRPr="00BC4A59">
        <w:rPr>
          <w:i/>
          <w:iCs/>
          <w:lang w:val="ru-RU"/>
        </w:rPr>
        <w:t>Вместо</w:t>
      </w:r>
      <w:r>
        <w:rPr>
          <w:lang w:val="ru-RU"/>
        </w:rPr>
        <w:t xml:space="preserve"> «IЕС 60079-29-1:2011» </w:t>
      </w:r>
      <w:r w:rsidRPr="00BC4A59">
        <w:rPr>
          <w:i/>
          <w:iCs/>
          <w:lang w:val="ru-RU"/>
        </w:rPr>
        <w:t>читать</w:t>
      </w:r>
      <w:r>
        <w:rPr>
          <w:lang w:val="ru-RU"/>
        </w:rPr>
        <w:t xml:space="preserve"> «IЕС 60079-29-1:2016».</w:t>
      </w:r>
    </w:p>
    <w:p w:rsidR="00C70BF9" w:rsidRPr="00512100" w:rsidRDefault="00C70BF9" w:rsidP="00C70BF9">
      <w:pPr>
        <w:pStyle w:val="H23G"/>
        <w:rPr>
          <w:lang w:val="ru-RU"/>
        </w:rPr>
      </w:pPr>
      <w:r>
        <w:rPr>
          <w:lang w:val="ru-RU"/>
        </w:rPr>
        <w:tab/>
        <w:t>11.</w:t>
      </w:r>
      <w:r>
        <w:rPr>
          <w:lang w:val="ru-RU"/>
        </w:rPr>
        <w:tab/>
      </w:r>
      <w:r>
        <w:rPr>
          <w:bCs/>
          <w:lang w:val="ru-RU"/>
        </w:rPr>
        <w:t xml:space="preserve">Поправка к части 1, глава 1.6, 1.6.7.2.2.2, новые переходные положения, </w:t>
      </w:r>
      <w:r w:rsidR="00A17EE3">
        <w:rPr>
          <w:bCs/>
          <w:lang w:val="ru-RU"/>
        </w:rPr>
        <w:br/>
      </w:r>
      <w:r>
        <w:rPr>
          <w:bCs/>
          <w:lang w:val="ru-RU"/>
        </w:rPr>
        <w:t>1.2.1 – Устройство для безопасного сброса давления в грузовых танках</w:t>
      </w:r>
    </w:p>
    <w:p w:rsidR="00C70BF9" w:rsidRPr="00512100" w:rsidRDefault="00C70BF9" w:rsidP="00C70BF9">
      <w:pPr>
        <w:pStyle w:val="SingleTxtG"/>
        <w:rPr>
          <w:lang w:val="ru-RU"/>
        </w:rPr>
      </w:pPr>
      <w:r w:rsidRPr="00BC4A59">
        <w:rPr>
          <w:i/>
          <w:iCs/>
          <w:lang w:val="ru-RU"/>
        </w:rPr>
        <w:t>Вместо</w:t>
      </w:r>
      <w:r>
        <w:rPr>
          <w:lang w:val="ru-RU"/>
        </w:rPr>
        <w:t xml:space="preserve"> «Испытание в соответствии со стандартом ISO 16852:2016 или </w:t>
      </w:r>
      <w:r w:rsidR="00283640">
        <w:rPr>
          <w:lang w:val="ru-RU"/>
        </w:rPr>
        <w:br/>
      </w:r>
      <w:r>
        <w:rPr>
          <w:lang w:val="ru-RU"/>
        </w:rPr>
        <w:t xml:space="preserve">EN ISO 16852:2016/Доказательства соблюдения предъявляемых требований» </w:t>
      </w:r>
      <w:r w:rsidRPr="00BC4A59">
        <w:rPr>
          <w:i/>
          <w:iCs/>
          <w:lang w:val="ru-RU"/>
        </w:rPr>
        <w:t>читать</w:t>
      </w:r>
      <w:r>
        <w:rPr>
          <w:lang w:val="ru-RU"/>
        </w:rPr>
        <w:t xml:space="preserve"> «Испытание в соответствии со стандартом ISO 16852:2016/Доказательства соблюдения предъявляемых требований».</w:t>
      </w:r>
    </w:p>
    <w:p w:rsidR="00C70BF9" w:rsidRPr="00512100" w:rsidRDefault="00C70BF9" w:rsidP="00C70BF9">
      <w:pPr>
        <w:pStyle w:val="H23G"/>
        <w:rPr>
          <w:lang w:val="ru-RU"/>
        </w:rPr>
      </w:pPr>
      <w:r>
        <w:rPr>
          <w:lang w:val="ru-RU"/>
        </w:rPr>
        <w:tab/>
        <w:t>12.</w:t>
      </w:r>
      <w:r>
        <w:rPr>
          <w:lang w:val="ru-RU"/>
        </w:rPr>
        <w:tab/>
      </w:r>
      <w:r>
        <w:rPr>
          <w:bCs/>
          <w:lang w:val="ru-RU"/>
        </w:rPr>
        <w:t>Поправка к части 1, глава 1.8, 1.8.3.1</w:t>
      </w:r>
      <w:bookmarkStart w:id="6" w:name="_Hlk522006704"/>
    </w:p>
    <w:p w:rsidR="00C70BF9" w:rsidRPr="00512100" w:rsidRDefault="00C70BF9" w:rsidP="00C70BF9">
      <w:pPr>
        <w:pStyle w:val="SingleTxtG"/>
        <w:rPr>
          <w:lang w:val="ru-RU"/>
        </w:rPr>
      </w:pPr>
      <w:r>
        <w:rPr>
          <w:i/>
          <w:iCs/>
          <w:lang w:val="ru-RU"/>
        </w:rPr>
        <w:t>Заменить</w:t>
      </w:r>
      <w:r>
        <w:rPr>
          <w:lang w:val="ru-RU"/>
        </w:rPr>
        <w:t xml:space="preserve"> существующий текст следующим:</w:t>
      </w:r>
    </w:p>
    <w:p w:rsidR="00C70BF9" w:rsidRPr="00512100" w:rsidRDefault="00C70BF9" w:rsidP="00C70BF9">
      <w:pPr>
        <w:pStyle w:val="SingleTxtG"/>
        <w:rPr>
          <w:lang w:val="ru-RU"/>
        </w:rPr>
      </w:pPr>
      <w:r>
        <w:rPr>
          <w:lang w:val="ru-RU"/>
        </w:rPr>
        <w:t>«1.8.3.1</w:t>
      </w:r>
      <w:r>
        <w:rPr>
          <w:lang w:val="ru-RU"/>
        </w:rPr>
        <w:tab/>
        <w:t>В начале заменить "деятельность которого включает перевозку опасных грузов по внутренним водным путям или связанные с ней операции по упаковке, погрузке, наполнению или разгрузке" на "деятельность которого включает отправку или перевозку опасных грузов по внутренним водным путям либо связанные с этим операции по упаковке, погрузке, наполнению или разгрузке".».</w:t>
      </w:r>
      <w:bookmarkStart w:id="7" w:name="_Hlk515974826"/>
      <w:bookmarkEnd w:id="7"/>
    </w:p>
    <w:bookmarkEnd w:id="6"/>
    <w:p w:rsidR="00C70BF9" w:rsidRPr="00512100" w:rsidRDefault="00C70BF9" w:rsidP="00C70BF9">
      <w:pPr>
        <w:pStyle w:val="H23G"/>
        <w:rPr>
          <w:lang w:val="ru-RU"/>
        </w:rPr>
      </w:pPr>
      <w:r>
        <w:rPr>
          <w:lang w:val="ru-RU"/>
        </w:rPr>
        <w:tab/>
        <w:t>13.</w:t>
      </w:r>
      <w:r>
        <w:rPr>
          <w:lang w:val="ru-RU"/>
        </w:rPr>
        <w:tab/>
      </w:r>
      <w:r>
        <w:rPr>
          <w:bCs/>
          <w:lang w:val="ru-RU"/>
        </w:rPr>
        <w:t>Поправка к части 2, глава 2.1, 2.1.3.5.5</w:t>
      </w:r>
    </w:p>
    <w:p w:rsidR="00C70BF9" w:rsidRPr="00512100" w:rsidRDefault="00C70BF9" w:rsidP="00C70BF9">
      <w:pPr>
        <w:pStyle w:val="SingleTxtG"/>
        <w:rPr>
          <w:lang w:val="ru-RU"/>
        </w:rPr>
      </w:pPr>
      <w:r>
        <w:rPr>
          <w:i/>
          <w:iCs/>
          <w:lang w:val="ru-RU"/>
        </w:rPr>
        <w:t>Заменить с</w:t>
      </w:r>
      <w:r>
        <w:rPr>
          <w:lang w:val="ru-RU"/>
        </w:rPr>
        <w:t>уществующий текст следующим:</w:t>
      </w:r>
    </w:p>
    <w:p w:rsidR="00C70BF9" w:rsidRPr="00C70BF9" w:rsidRDefault="00C70BF9" w:rsidP="00C70BF9">
      <w:pPr>
        <w:pStyle w:val="SingleTxtG"/>
        <w:rPr>
          <w:lang w:val="ru-RU"/>
        </w:rPr>
      </w:pPr>
      <w:bookmarkStart w:id="8" w:name="_Hlk525899235"/>
      <w:r>
        <w:rPr>
          <w:lang w:val="ru-RU"/>
        </w:rPr>
        <w:t>«2.1.3.5.5</w:t>
      </w:r>
      <w:r>
        <w:rPr>
          <w:lang w:val="ru-RU"/>
        </w:rPr>
        <w:tab/>
        <w:t>Изменить сноску 2 следующим образом:</w:t>
      </w:r>
      <w:bookmarkEnd w:id="8"/>
    </w:p>
    <w:p w:rsidR="00C70BF9" w:rsidRPr="00891614" w:rsidRDefault="00C70BF9" w:rsidP="00C70BF9">
      <w:pPr>
        <w:pStyle w:val="SingleTxtG"/>
        <w:rPr>
          <w:i/>
          <w:iCs/>
          <w:lang w:val="ru-RU"/>
        </w:rPr>
      </w:pPr>
      <w:r>
        <w:rPr>
          <w:lang w:val="ru-RU"/>
        </w:rPr>
        <w:t>"</w:t>
      </w:r>
      <w:r w:rsidRPr="00283640">
        <w:rPr>
          <w:i/>
          <w:vertAlign w:val="superscript"/>
          <w:lang w:val="ru-RU"/>
        </w:rPr>
        <w:t>2</w:t>
      </w:r>
      <w:r w:rsidRPr="00283640">
        <w:rPr>
          <w:i/>
          <w:lang w:val="ru-RU"/>
        </w:rPr>
        <w:t xml:space="preserve"> Таким законодательством являются, например, решение Комиссии 2000/532/EС от 3 мая 2000 года, заменяющее решение 94/3/EC, устанавливающее перечень отходов в соответствии со статьей 1 а) директивы Совета 75/442/ЕEC по отходам, и решение Совета 94/904/ЕС, устанавливающее перечень опасных отходов в соответствии со статьей 1 (4) директивы Совета 91/689/ЕEC по опасным отходам (Official Journal of the European Communities No. L 226 of 6 September 2000, page 3), с поправками; и директива 2008/98/EC Европейского парламента и Совета по отходам от 19 ноября 2008 года, отменяющая некоторые директивы (Official Journal of the European Union</w:t>
      </w:r>
      <w:r w:rsidR="00462888">
        <w:rPr>
          <w:i/>
          <w:lang w:val="ru-RU"/>
        </w:rPr>
        <w:t> </w:t>
      </w:r>
      <w:r w:rsidR="00283640">
        <w:rPr>
          <w:i/>
          <w:lang w:val="ru-RU"/>
        </w:rPr>
        <w:t>No. L</w:t>
      </w:r>
      <w:r w:rsidRPr="00283640">
        <w:rPr>
          <w:i/>
          <w:lang w:val="ru-RU"/>
        </w:rPr>
        <w:t>312 of 22 November 2008, pages 3–30), с поправками.</w:t>
      </w:r>
      <w:r>
        <w:rPr>
          <w:lang w:val="ru-RU"/>
        </w:rPr>
        <w:t>".».</w:t>
      </w:r>
    </w:p>
    <w:p w:rsidR="00C70BF9" w:rsidRPr="00512100" w:rsidRDefault="00C70BF9" w:rsidP="00C70BF9">
      <w:pPr>
        <w:pStyle w:val="H23G"/>
        <w:rPr>
          <w:lang w:val="ru-RU"/>
        </w:rPr>
      </w:pPr>
      <w:r>
        <w:rPr>
          <w:lang w:val="ru-RU"/>
        </w:rPr>
        <w:tab/>
        <w:t>14.</w:t>
      </w:r>
      <w:r>
        <w:rPr>
          <w:lang w:val="ru-RU"/>
        </w:rPr>
        <w:tab/>
      </w:r>
      <w:r>
        <w:rPr>
          <w:bCs/>
          <w:lang w:val="ru-RU"/>
        </w:rPr>
        <w:t>Поправка к части 2, глава 2.2, 2.2.51.1.3</w:t>
      </w:r>
      <w:bookmarkStart w:id="9" w:name="_Hlk521418297"/>
      <w:bookmarkEnd w:id="9"/>
    </w:p>
    <w:p w:rsidR="00C70BF9" w:rsidRPr="00512100" w:rsidRDefault="00C70BF9" w:rsidP="00C70BF9">
      <w:pPr>
        <w:pStyle w:val="SingleTxtG"/>
        <w:rPr>
          <w:lang w:val="ru-RU"/>
        </w:rPr>
      </w:pPr>
      <w:r w:rsidRPr="00BC4A59">
        <w:rPr>
          <w:i/>
          <w:iCs/>
          <w:lang w:val="ru-RU"/>
        </w:rPr>
        <w:t>Вместо</w:t>
      </w:r>
      <w:r>
        <w:rPr>
          <w:lang w:val="ru-RU"/>
        </w:rPr>
        <w:t xml:space="preserve"> «тринадцатый подпункт» </w:t>
      </w:r>
      <w:r w:rsidRPr="00BC4A59">
        <w:rPr>
          <w:i/>
          <w:iCs/>
          <w:lang w:val="ru-RU"/>
        </w:rPr>
        <w:t>читать</w:t>
      </w:r>
      <w:r>
        <w:rPr>
          <w:lang w:val="ru-RU"/>
        </w:rPr>
        <w:t xml:space="preserve"> «тринадцатый и четырнадцатый подпункты».</w:t>
      </w:r>
      <w:bookmarkStart w:id="10" w:name="_Hlk521418312"/>
      <w:bookmarkEnd w:id="10"/>
    </w:p>
    <w:p w:rsidR="00C70BF9" w:rsidRPr="00512100" w:rsidRDefault="00C70BF9" w:rsidP="00C70BF9">
      <w:pPr>
        <w:pStyle w:val="H23G"/>
        <w:rPr>
          <w:lang w:val="ru-RU"/>
        </w:rPr>
      </w:pPr>
      <w:r>
        <w:rPr>
          <w:lang w:val="ru-RU"/>
        </w:rPr>
        <w:lastRenderedPageBreak/>
        <w:tab/>
        <w:t>15.</w:t>
      </w:r>
      <w:r>
        <w:rPr>
          <w:lang w:val="ru-RU"/>
        </w:rPr>
        <w:tab/>
      </w:r>
      <w:r>
        <w:rPr>
          <w:bCs/>
          <w:lang w:val="ru-RU"/>
        </w:rPr>
        <w:t>Поправка к части 2, глава 2.2, 2.2.51.2.2, подпункт, заканчивающийся словами «за исключением № ООН 2067»</w:t>
      </w:r>
    </w:p>
    <w:p w:rsidR="00C70BF9" w:rsidRPr="00A17EE3" w:rsidRDefault="00C70BF9" w:rsidP="00C70BF9">
      <w:pPr>
        <w:pStyle w:val="SingleTxtG"/>
        <w:rPr>
          <w:i/>
          <w:iCs/>
          <w:lang w:val="ru-RU"/>
        </w:rPr>
      </w:pPr>
      <w:r w:rsidRPr="00A17EE3">
        <w:rPr>
          <w:i/>
          <w:lang w:val="ru-RU"/>
        </w:rPr>
        <w:t>Вставить</w:t>
      </w:r>
    </w:p>
    <w:p w:rsidR="00C70BF9" w:rsidRPr="00512100" w:rsidRDefault="00283640" w:rsidP="00283640">
      <w:pPr>
        <w:pStyle w:val="SingleTxtG"/>
        <w:tabs>
          <w:tab w:val="left" w:pos="3402"/>
        </w:tabs>
        <w:rPr>
          <w:lang w:val="ru-RU"/>
        </w:rPr>
      </w:pPr>
      <w:bookmarkStart w:id="11" w:name="_Hlk515975618"/>
      <w:r>
        <w:rPr>
          <w:bCs/>
          <w:iCs/>
          <w:lang w:val="ru-RU"/>
        </w:rPr>
        <w:t>«</w:t>
      </w:r>
      <w:r w:rsidR="00C70BF9">
        <w:rPr>
          <w:b/>
          <w:bCs/>
          <w:i/>
          <w:iCs/>
          <w:lang w:val="ru-RU"/>
        </w:rPr>
        <w:t>ПРИМЕЧАНИЕ:</w:t>
      </w:r>
      <w:r w:rsidR="004B27D9">
        <w:rPr>
          <w:b/>
          <w:bCs/>
          <w:i/>
          <w:iCs/>
          <w:lang w:val="en-US"/>
        </w:rPr>
        <w:t xml:space="preserve"> </w:t>
      </w:r>
      <w:r w:rsidR="00C70BF9">
        <w:rPr>
          <w:i/>
          <w:iCs/>
          <w:lang w:val="ru-RU"/>
        </w:rPr>
        <w:t>Термин "компетентный орган" означает компетентный орган страны происхождения.</w:t>
      </w:r>
      <w:r w:rsidR="00C70BF9">
        <w:rPr>
          <w:lang w:val="ru-RU"/>
        </w:rPr>
        <w:t xml:space="preserve"> </w:t>
      </w:r>
      <w:r w:rsidR="00C70BF9">
        <w:rPr>
          <w:i/>
          <w:iCs/>
          <w:lang w:val="ru-RU"/>
        </w:rPr>
        <w:t>Если страна происхождения не является Договаривающейся стороной ДОПОГ, то классификация и условия перевозки должны быть признаны компетентным органом первой страны, являющейся Договаривающейся стороной ДОПОГ, по маршруту перевозки груза.».</w:t>
      </w:r>
      <w:bookmarkEnd w:id="11"/>
    </w:p>
    <w:p w:rsidR="00C70BF9" w:rsidRPr="00512100" w:rsidRDefault="00C70BF9" w:rsidP="00C70BF9">
      <w:pPr>
        <w:pStyle w:val="H23G"/>
        <w:rPr>
          <w:lang w:val="ru-RU"/>
        </w:rPr>
      </w:pPr>
      <w:r>
        <w:rPr>
          <w:lang w:val="ru-RU"/>
        </w:rPr>
        <w:tab/>
        <w:t>16.</w:t>
      </w:r>
      <w:r>
        <w:rPr>
          <w:lang w:val="ru-RU"/>
        </w:rPr>
        <w:tab/>
      </w:r>
      <w:r>
        <w:rPr>
          <w:bCs/>
          <w:lang w:val="ru-RU"/>
        </w:rPr>
        <w:t>Поправка к части 2, глава 2.2, 2.2.9.1.7, новый подпункт g), после слов «элементов или батарей»</w:t>
      </w:r>
    </w:p>
    <w:p w:rsidR="00C70BF9" w:rsidRPr="00512100" w:rsidRDefault="00C70BF9" w:rsidP="00C70BF9">
      <w:pPr>
        <w:pStyle w:val="SingleTxtG"/>
        <w:tabs>
          <w:tab w:val="left" w:pos="2268"/>
        </w:tabs>
        <w:rPr>
          <w:lang w:val="ru-RU"/>
        </w:rPr>
      </w:pPr>
      <w:r w:rsidRPr="00B76BBD">
        <w:rPr>
          <w:i/>
          <w:iCs/>
          <w:lang w:val="ru-RU"/>
        </w:rPr>
        <w:t>Включить</w:t>
      </w:r>
      <w:r>
        <w:rPr>
          <w:lang w:val="ru-RU"/>
        </w:rPr>
        <w:t xml:space="preserve"> «, изготовленных после 30 июня 2003 года,».</w:t>
      </w:r>
      <w:bookmarkStart w:id="12" w:name="_Hlk515975878"/>
      <w:bookmarkEnd w:id="12"/>
    </w:p>
    <w:p w:rsidR="00C70BF9" w:rsidRPr="00512100" w:rsidRDefault="00C70BF9" w:rsidP="00C70BF9">
      <w:pPr>
        <w:pStyle w:val="H23G"/>
        <w:rPr>
          <w:lang w:val="ru-RU"/>
        </w:rPr>
      </w:pPr>
      <w:r>
        <w:rPr>
          <w:lang w:val="ru-RU"/>
        </w:rPr>
        <w:tab/>
        <w:t>17.</w:t>
      </w:r>
      <w:r>
        <w:rPr>
          <w:lang w:val="ru-RU"/>
        </w:rPr>
        <w:tab/>
      </w:r>
      <w:r>
        <w:rPr>
          <w:bCs/>
          <w:lang w:val="ru-RU"/>
        </w:rPr>
        <w:t>Поправка к части 3, глава 3.1, 3.1.2.8.1.3, пример</w:t>
      </w:r>
    </w:p>
    <w:p w:rsidR="00C70BF9" w:rsidRPr="00512100" w:rsidRDefault="00C70BF9" w:rsidP="00C70BF9">
      <w:pPr>
        <w:pStyle w:val="SingleTxtG"/>
        <w:rPr>
          <w:lang w:val="ru-RU"/>
        </w:rPr>
      </w:pPr>
      <w:r>
        <w:rPr>
          <w:lang w:val="ru-RU"/>
        </w:rPr>
        <w:t>Данное исправление не касается текста на русском языке.</w:t>
      </w:r>
    </w:p>
    <w:p w:rsidR="00C70BF9" w:rsidRPr="00512100" w:rsidRDefault="00C70BF9" w:rsidP="00C70BF9">
      <w:pPr>
        <w:pStyle w:val="H23G"/>
        <w:rPr>
          <w:lang w:val="ru-RU"/>
        </w:rPr>
      </w:pPr>
      <w:r>
        <w:rPr>
          <w:lang w:val="ru-RU"/>
        </w:rPr>
        <w:tab/>
        <w:t>18.</w:t>
      </w:r>
      <w:r>
        <w:rPr>
          <w:lang w:val="ru-RU"/>
        </w:rPr>
        <w:tab/>
      </w:r>
      <w:r>
        <w:rPr>
          <w:bCs/>
          <w:lang w:val="ru-RU"/>
        </w:rPr>
        <w:t>Поправка к части 3, глава 3.2, таблица А, новые позиции, № ООН 3535, 3536, 3537, 3538, 3539, 3540, 3541, 3542, 3543, 3544, 3545, 3546, 3547, 3548, колонка 8</w:t>
      </w:r>
    </w:p>
    <w:p w:rsidR="00C70BF9" w:rsidRPr="00512100" w:rsidRDefault="00C70BF9" w:rsidP="00C70BF9">
      <w:pPr>
        <w:pStyle w:val="SingleTxtG"/>
        <w:rPr>
          <w:lang w:val="ru-RU"/>
        </w:rPr>
      </w:pPr>
      <w:r>
        <w:rPr>
          <w:i/>
          <w:iCs/>
          <w:lang w:val="ru-RU"/>
        </w:rPr>
        <w:t xml:space="preserve">Исключить </w:t>
      </w:r>
      <w:r>
        <w:rPr>
          <w:lang w:val="ru-RU"/>
        </w:rPr>
        <w:t>существующий текст.</w:t>
      </w:r>
    </w:p>
    <w:p w:rsidR="00C70BF9" w:rsidRPr="00512100" w:rsidRDefault="00C70BF9" w:rsidP="00C70BF9">
      <w:pPr>
        <w:pStyle w:val="H23G"/>
        <w:rPr>
          <w:lang w:val="ru-RU"/>
        </w:rPr>
      </w:pPr>
      <w:r>
        <w:rPr>
          <w:lang w:val="ru-RU"/>
        </w:rPr>
        <w:tab/>
        <w:t>19.</w:t>
      </w:r>
      <w:r>
        <w:rPr>
          <w:lang w:val="ru-RU"/>
        </w:rPr>
        <w:tab/>
      </w:r>
      <w:r>
        <w:rPr>
          <w:bCs/>
          <w:lang w:val="ru-RU"/>
        </w:rPr>
        <w:t>Поправка к части 3, глава 3.2, таблица А, новые позиции, № ООН 3536, колонка</w:t>
      </w:r>
      <w:r>
        <w:rPr>
          <w:bCs/>
          <w:lang w:val="en-US"/>
        </w:rPr>
        <w:t> </w:t>
      </w:r>
      <w:r>
        <w:rPr>
          <w:bCs/>
          <w:lang w:val="ru-RU"/>
        </w:rPr>
        <w:t>5</w:t>
      </w:r>
    </w:p>
    <w:p w:rsidR="00C70BF9" w:rsidRPr="00512100" w:rsidRDefault="00C70BF9" w:rsidP="00C70BF9">
      <w:pPr>
        <w:pStyle w:val="SingleTxtG"/>
        <w:rPr>
          <w:lang w:val="ru-RU"/>
        </w:rPr>
      </w:pPr>
      <w:r>
        <w:rPr>
          <w:i/>
          <w:iCs/>
          <w:lang w:val="ru-RU"/>
        </w:rPr>
        <w:t>Вместо</w:t>
      </w:r>
      <w:r>
        <w:rPr>
          <w:lang w:val="ru-RU"/>
        </w:rPr>
        <w:t xml:space="preserve"> «99»</w:t>
      </w:r>
      <w:r>
        <w:rPr>
          <w:i/>
          <w:iCs/>
          <w:lang w:val="ru-RU"/>
        </w:rPr>
        <w:t xml:space="preserve"> читать</w:t>
      </w:r>
      <w:r>
        <w:rPr>
          <w:lang w:val="ru-RU"/>
        </w:rPr>
        <w:t xml:space="preserve"> «9».</w:t>
      </w:r>
    </w:p>
    <w:p w:rsidR="00C70BF9" w:rsidRPr="00512100" w:rsidRDefault="00C70BF9" w:rsidP="00C70BF9">
      <w:pPr>
        <w:pStyle w:val="H23G"/>
        <w:rPr>
          <w:lang w:val="ru-RU"/>
        </w:rPr>
      </w:pPr>
      <w:r>
        <w:rPr>
          <w:lang w:val="ru-RU"/>
        </w:rPr>
        <w:tab/>
        <w:t>20.</w:t>
      </w:r>
      <w:r>
        <w:rPr>
          <w:lang w:val="ru-RU"/>
        </w:rPr>
        <w:tab/>
      </w:r>
      <w:r>
        <w:rPr>
          <w:bCs/>
          <w:lang w:val="ru-RU"/>
        </w:rPr>
        <w:t>Поправка к части 3, глава 3.2, 3.2.3.1, замечание 44</w:t>
      </w:r>
    </w:p>
    <w:p w:rsidR="00C70BF9" w:rsidRPr="00512100" w:rsidRDefault="00C70BF9" w:rsidP="00C70BF9">
      <w:pPr>
        <w:pStyle w:val="SingleTxtG"/>
        <w:tabs>
          <w:tab w:val="left" w:pos="2268"/>
        </w:tabs>
        <w:rPr>
          <w:lang w:val="ru-RU"/>
        </w:rPr>
      </w:pPr>
      <w:r>
        <w:rPr>
          <w:lang w:val="ru-RU"/>
        </w:rPr>
        <w:t>Данное исправление не касается текста на русском языке.</w:t>
      </w:r>
    </w:p>
    <w:p w:rsidR="00C70BF9" w:rsidRPr="00512100" w:rsidRDefault="00C70BF9" w:rsidP="00C70BF9">
      <w:pPr>
        <w:pStyle w:val="H23G"/>
        <w:rPr>
          <w:lang w:val="ru-RU"/>
        </w:rPr>
      </w:pPr>
      <w:r>
        <w:rPr>
          <w:lang w:val="ru-RU"/>
        </w:rPr>
        <w:tab/>
        <w:t>21.</w:t>
      </w:r>
      <w:r>
        <w:rPr>
          <w:lang w:val="ru-RU"/>
        </w:rPr>
        <w:tab/>
      </w:r>
      <w:r>
        <w:rPr>
          <w:bCs/>
          <w:lang w:val="ru-RU"/>
        </w:rPr>
        <w:t>Поправка к части 3, глава 3.2, таблица C, № ООН 1578, 1663, 2078, 2205, 2259, 2280, 3446</w:t>
      </w:r>
    </w:p>
    <w:p w:rsidR="00C70BF9" w:rsidRPr="00512100" w:rsidRDefault="00C70BF9" w:rsidP="00C70BF9">
      <w:pPr>
        <w:pStyle w:val="SingleTxtG"/>
        <w:tabs>
          <w:tab w:val="left" w:pos="1985"/>
          <w:tab w:val="left" w:pos="2268"/>
        </w:tabs>
        <w:spacing w:before="120"/>
        <w:rPr>
          <w:lang w:val="ru-RU"/>
        </w:rPr>
      </w:pPr>
      <w:r>
        <w:rPr>
          <w:lang w:val="ru-RU"/>
        </w:rPr>
        <w:t>3.2.3.2</w:t>
      </w:r>
      <w:r>
        <w:rPr>
          <w:lang w:val="ru-RU"/>
        </w:rPr>
        <w:tab/>
        <w:t>Заменить указание в колонке 16 на «II B (II B3</w:t>
      </w:r>
      <w:r>
        <w:rPr>
          <w:vertAlign w:val="superscript"/>
          <w:lang w:val="ru-RU"/>
        </w:rPr>
        <w:t>14)</w:t>
      </w:r>
      <w:r>
        <w:rPr>
          <w:lang w:val="ru-RU"/>
        </w:rPr>
        <w:t>)» для следующих позиций:</w:t>
      </w:r>
    </w:p>
    <w:tbl>
      <w:tblPr>
        <w:tblStyle w:val="TableGrid"/>
        <w:tblW w:w="7371" w:type="dxa"/>
        <w:tblInd w:w="1134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4536"/>
      </w:tblGrid>
      <w:tr w:rsidR="00C70BF9" w:rsidRPr="003C7C28" w:rsidTr="00B7137E">
        <w:tc>
          <w:tcPr>
            <w:tcW w:w="2835" w:type="dxa"/>
            <w:vAlign w:val="center"/>
          </w:tcPr>
          <w:p w:rsidR="00C70BF9" w:rsidRPr="003C7C28" w:rsidRDefault="00C70BF9" w:rsidP="00B31A2F">
            <w:pPr>
              <w:pStyle w:val="SingleTxtG"/>
              <w:spacing w:before="80" w:after="80"/>
              <w:ind w:left="0" w:right="0"/>
              <w:jc w:val="left"/>
            </w:pPr>
            <w:r>
              <w:rPr>
                <w:lang w:val="ru-RU"/>
              </w:rPr>
              <w:t>1578 (первая позиция)</w:t>
            </w:r>
          </w:p>
        </w:tc>
        <w:tc>
          <w:tcPr>
            <w:tcW w:w="4536" w:type="dxa"/>
          </w:tcPr>
          <w:p w:rsidR="00C70BF9" w:rsidRPr="003C7C28" w:rsidRDefault="00C70BF9" w:rsidP="0030670B">
            <w:pPr>
              <w:pStyle w:val="SingleTxtG"/>
              <w:tabs>
                <w:tab w:val="left" w:pos="4961"/>
              </w:tabs>
              <w:spacing w:before="80" w:after="80"/>
              <w:ind w:left="0" w:right="426"/>
              <w:jc w:val="left"/>
            </w:pPr>
            <w:r>
              <w:rPr>
                <w:lang w:val="ru-RU"/>
              </w:rPr>
              <w:t>ХЛОРНИТРОБЕНЗОЛЫ ТВЕРДЫЕ РАСПЛАВЛЕННЫЕ</w:t>
            </w:r>
          </w:p>
        </w:tc>
      </w:tr>
      <w:tr w:rsidR="00C70BF9" w:rsidRPr="003C7C28" w:rsidTr="00B7137E">
        <w:tc>
          <w:tcPr>
            <w:tcW w:w="2835" w:type="dxa"/>
            <w:vAlign w:val="center"/>
          </w:tcPr>
          <w:p w:rsidR="00C70BF9" w:rsidRPr="003C7C28" w:rsidRDefault="00C70BF9" w:rsidP="00B31A2F">
            <w:pPr>
              <w:pStyle w:val="SingleTxtG"/>
              <w:spacing w:before="80" w:after="80"/>
              <w:ind w:left="0" w:right="0"/>
              <w:jc w:val="left"/>
            </w:pPr>
            <w:r>
              <w:rPr>
                <w:lang w:val="ru-RU"/>
              </w:rPr>
              <w:t>1663 (первая позиция)</w:t>
            </w:r>
          </w:p>
        </w:tc>
        <w:tc>
          <w:tcPr>
            <w:tcW w:w="4536" w:type="dxa"/>
          </w:tcPr>
          <w:p w:rsidR="00C70BF9" w:rsidRPr="003C7C28" w:rsidRDefault="00C70BF9" w:rsidP="0030670B">
            <w:pPr>
              <w:pStyle w:val="SingleTxtG"/>
              <w:tabs>
                <w:tab w:val="left" w:pos="4961"/>
              </w:tabs>
              <w:spacing w:before="80" w:after="80"/>
              <w:ind w:left="0" w:right="426"/>
              <w:jc w:val="left"/>
            </w:pPr>
            <w:r>
              <w:rPr>
                <w:lang w:val="ru-RU"/>
              </w:rPr>
              <w:t>НИТРОФЕНОЛЫ</w:t>
            </w:r>
          </w:p>
        </w:tc>
      </w:tr>
      <w:tr w:rsidR="00C70BF9" w:rsidRPr="00A32C29" w:rsidTr="00B7137E">
        <w:tc>
          <w:tcPr>
            <w:tcW w:w="2835" w:type="dxa"/>
            <w:vAlign w:val="center"/>
          </w:tcPr>
          <w:p w:rsidR="00C70BF9" w:rsidRPr="003C7C28" w:rsidRDefault="00C70BF9" w:rsidP="00B31A2F">
            <w:pPr>
              <w:pStyle w:val="SingleTxtG"/>
              <w:spacing w:before="80" w:after="80"/>
              <w:ind w:left="0" w:right="0"/>
              <w:jc w:val="left"/>
            </w:pPr>
            <w:r>
              <w:rPr>
                <w:lang w:val="ru-RU"/>
              </w:rPr>
              <w:t>2078 (первая позиция)</w:t>
            </w:r>
          </w:p>
        </w:tc>
        <w:tc>
          <w:tcPr>
            <w:tcW w:w="4536" w:type="dxa"/>
          </w:tcPr>
          <w:p w:rsidR="00C70BF9" w:rsidRPr="00512100" w:rsidRDefault="00C70BF9" w:rsidP="00B7137E">
            <w:pPr>
              <w:pStyle w:val="SingleTxtG"/>
              <w:tabs>
                <w:tab w:val="left" w:pos="4961"/>
              </w:tabs>
              <w:spacing w:before="80" w:after="80"/>
              <w:ind w:left="0" w:right="426"/>
              <w:jc w:val="left"/>
              <w:rPr>
                <w:lang w:val="ru-RU"/>
              </w:rPr>
            </w:pPr>
            <w:r>
              <w:rPr>
                <w:lang w:val="ru-RU"/>
              </w:rPr>
              <w:t>ТОЛУОЛДИИЗОЦИАНАТ (и смеси изомеров) (2,4</w:t>
            </w:r>
            <w:r w:rsidR="00B7137E">
              <w:rPr>
                <w:lang w:val="ru-RU"/>
              </w:rPr>
              <w:noBreakHyphen/>
            </w:r>
            <w:r>
              <w:rPr>
                <w:lang w:val="ru-RU"/>
              </w:rPr>
              <w:t>ТОЛУОЛДИИЗОЦИАНАТ)</w:t>
            </w:r>
          </w:p>
        </w:tc>
      </w:tr>
      <w:tr w:rsidR="00C70BF9" w:rsidRPr="003C7C28" w:rsidTr="00B7137E">
        <w:tc>
          <w:tcPr>
            <w:tcW w:w="2835" w:type="dxa"/>
            <w:vAlign w:val="center"/>
          </w:tcPr>
          <w:p w:rsidR="00C70BF9" w:rsidRPr="003C7C28" w:rsidRDefault="00C70BF9" w:rsidP="00B31A2F">
            <w:pPr>
              <w:pStyle w:val="SingleTxtG"/>
              <w:spacing w:before="80" w:after="80"/>
              <w:ind w:left="0" w:right="0"/>
              <w:jc w:val="left"/>
            </w:pPr>
            <w:r>
              <w:rPr>
                <w:lang w:val="ru-RU"/>
              </w:rPr>
              <w:t>2205</w:t>
            </w:r>
          </w:p>
        </w:tc>
        <w:tc>
          <w:tcPr>
            <w:tcW w:w="4536" w:type="dxa"/>
          </w:tcPr>
          <w:p w:rsidR="00C70BF9" w:rsidRPr="003C7C28" w:rsidRDefault="00C70BF9" w:rsidP="0030670B">
            <w:pPr>
              <w:pStyle w:val="SingleTxtG"/>
              <w:tabs>
                <w:tab w:val="left" w:pos="4961"/>
              </w:tabs>
              <w:spacing w:before="80" w:after="80"/>
              <w:ind w:left="0" w:right="426"/>
            </w:pPr>
            <w:r>
              <w:rPr>
                <w:lang w:val="ru-RU"/>
              </w:rPr>
              <w:t>АДИПОНИТРИЛ</w:t>
            </w:r>
          </w:p>
        </w:tc>
      </w:tr>
      <w:tr w:rsidR="00C70BF9" w:rsidRPr="003C7C28" w:rsidTr="00B7137E">
        <w:tc>
          <w:tcPr>
            <w:tcW w:w="2835" w:type="dxa"/>
            <w:vAlign w:val="center"/>
          </w:tcPr>
          <w:p w:rsidR="00C70BF9" w:rsidRPr="003C7C28" w:rsidRDefault="00C70BF9" w:rsidP="00B31A2F">
            <w:pPr>
              <w:pStyle w:val="SingleTxtG"/>
              <w:spacing w:before="80" w:after="80"/>
              <w:ind w:left="0" w:right="0"/>
              <w:jc w:val="left"/>
            </w:pPr>
            <w:r>
              <w:rPr>
                <w:lang w:val="ru-RU"/>
              </w:rPr>
              <w:t>2259</w:t>
            </w:r>
          </w:p>
        </w:tc>
        <w:tc>
          <w:tcPr>
            <w:tcW w:w="4536" w:type="dxa"/>
          </w:tcPr>
          <w:p w:rsidR="00C70BF9" w:rsidRPr="003C7C28" w:rsidRDefault="00C70BF9" w:rsidP="0030670B">
            <w:pPr>
              <w:pStyle w:val="SingleTxtG"/>
              <w:tabs>
                <w:tab w:val="left" w:pos="4961"/>
              </w:tabs>
              <w:spacing w:before="80" w:after="80"/>
              <w:ind w:left="0" w:right="426"/>
            </w:pPr>
            <w:r>
              <w:rPr>
                <w:lang w:val="ru-RU"/>
              </w:rPr>
              <w:t>ТРИЭТИЛЕНТЕТРАМИН</w:t>
            </w:r>
          </w:p>
        </w:tc>
      </w:tr>
      <w:tr w:rsidR="00C70BF9" w:rsidRPr="003C7C28" w:rsidTr="00B7137E">
        <w:tc>
          <w:tcPr>
            <w:tcW w:w="2835" w:type="dxa"/>
            <w:vAlign w:val="center"/>
          </w:tcPr>
          <w:p w:rsidR="00C70BF9" w:rsidRPr="003C7C28" w:rsidRDefault="00C70BF9" w:rsidP="00B31A2F">
            <w:pPr>
              <w:pStyle w:val="SingleTxtG"/>
              <w:spacing w:before="80" w:after="80"/>
              <w:ind w:left="0" w:right="0"/>
              <w:jc w:val="left"/>
            </w:pPr>
            <w:r>
              <w:rPr>
                <w:lang w:val="ru-RU"/>
              </w:rPr>
              <w:t>2280 (первая позиция)</w:t>
            </w:r>
          </w:p>
        </w:tc>
        <w:tc>
          <w:tcPr>
            <w:tcW w:w="4536" w:type="dxa"/>
          </w:tcPr>
          <w:p w:rsidR="00C70BF9" w:rsidRPr="003C7C28" w:rsidRDefault="00C70BF9" w:rsidP="0030670B">
            <w:pPr>
              <w:pStyle w:val="SingleTxtG"/>
              <w:tabs>
                <w:tab w:val="left" w:pos="4961"/>
              </w:tabs>
              <w:spacing w:before="80" w:after="80"/>
              <w:ind w:left="0" w:right="426"/>
              <w:jc w:val="left"/>
            </w:pPr>
            <w:r>
              <w:rPr>
                <w:lang w:val="ru-RU"/>
              </w:rPr>
              <w:t>ГЕКСАМЕТИЛЕНДИАМИН ТВЕРДЫЙ РАСПЛАВЛЕННЫЙ</w:t>
            </w:r>
          </w:p>
        </w:tc>
      </w:tr>
      <w:tr w:rsidR="00C70BF9" w:rsidRPr="00A32C29" w:rsidTr="00B7137E">
        <w:tc>
          <w:tcPr>
            <w:tcW w:w="2835" w:type="dxa"/>
            <w:vAlign w:val="center"/>
          </w:tcPr>
          <w:p w:rsidR="00C70BF9" w:rsidRPr="003C7C28" w:rsidRDefault="00C70BF9" w:rsidP="00B31A2F">
            <w:pPr>
              <w:pStyle w:val="SingleTxtG"/>
              <w:spacing w:before="80" w:after="80"/>
              <w:ind w:left="0" w:right="0"/>
              <w:jc w:val="left"/>
            </w:pPr>
            <w:r>
              <w:rPr>
                <w:lang w:val="ru-RU"/>
              </w:rPr>
              <w:t>3446 (первая позиция)</w:t>
            </w:r>
          </w:p>
        </w:tc>
        <w:tc>
          <w:tcPr>
            <w:tcW w:w="4536" w:type="dxa"/>
          </w:tcPr>
          <w:p w:rsidR="00C70BF9" w:rsidRPr="00512100" w:rsidRDefault="00C70BF9" w:rsidP="00B7137E">
            <w:pPr>
              <w:pStyle w:val="SingleTxtG"/>
              <w:tabs>
                <w:tab w:val="left" w:pos="4961"/>
              </w:tabs>
              <w:spacing w:before="80" w:after="80"/>
              <w:ind w:left="0" w:right="426"/>
              <w:jc w:val="left"/>
              <w:rPr>
                <w:bCs/>
                <w:lang w:val="ru-RU"/>
              </w:rPr>
            </w:pPr>
            <w:r>
              <w:rPr>
                <w:lang w:val="ru-RU"/>
              </w:rPr>
              <w:t>НИТРОТОЛУОЛЫ ТВЕРДЫЕ РАСПЛАВЛЕННЫЕ (п-НИТРОТОЛУОЛ)</w:t>
            </w:r>
          </w:p>
        </w:tc>
      </w:tr>
    </w:tbl>
    <w:p w:rsidR="00C70BF9" w:rsidRPr="00512100" w:rsidRDefault="00C70BF9" w:rsidP="00283640">
      <w:pPr>
        <w:pStyle w:val="H23G"/>
        <w:pageBreakBefore/>
        <w:rPr>
          <w:lang w:val="ru-RU"/>
        </w:rPr>
      </w:pPr>
      <w:r>
        <w:rPr>
          <w:lang w:val="ru-RU"/>
        </w:rPr>
        <w:lastRenderedPageBreak/>
        <w:tab/>
        <w:t>22.</w:t>
      </w:r>
      <w:r>
        <w:rPr>
          <w:lang w:val="ru-RU"/>
        </w:rPr>
        <w:tab/>
      </w:r>
      <w:r>
        <w:rPr>
          <w:bCs/>
          <w:lang w:val="ru-RU"/>
        </w:rPr>
        <w:t>Поправка к части 3, глава 3.2, таблица C, новые позиции, № ООН 1148, колонка</w:t>
      </w:r>
      <w:r>
        <w:rPr>
          <w:bCs/>
          <w:lang w:val="en-US"/>
        </w:rPr>
        <w:t> </w:t>
      </w:r>
      <w:r>
        <w:rPr>
          <w:bCs/>
          <w:lang w:val="ru-RU"/>
        </w:rPr>
        <w:t>15</w:t>
      </w:r>
    </w:p>
    <w:p w:rsidR="00C70BF9" w:rsidRPr="0014491E" w:rsidRDefault="00C70BF9" w:rsidP="00C70BF9">
      <w:pPr>
        <w:pStyle w:val="SingleTxtG"/>
        <w:rPr>
          <w:lang w:val="ru-RU"/>
        </w:rPr>
      </w:pPr>
      <w:r>
        <w:rPr>
          <w:i/>
          <w:iCs/>
          <w:lang w:val="ru-RU"/>
        </w:rPr>
        <w:t>Вместо</w:t>
      </w:r>
      <w:r>
        <w:rPr>
          <w:lang w:val="ru-RU"/>
        </w:rPr>
        <w:t xml:space="preserve"> «T1» </w:t>
      </w:r>
      <w:r>
        <w:rPr>
          <w:i/>
          <w:iCs/>
          <w:lang w:val="ru-RU"/>
        </w:rPr>
        <w:t xml:space="preserve">читать </w:t>
      </w:r>
      <w:r>
        <w:rPr>
          <w:lang w:val="ru-RU"/>
        </w:rPr>
        <w:t>«T1</w:t>
      </w:r>
      <w:r>
        <w:rPr>
          <w:vertAlign w:val="superscript"/>
          <w:lang w:val="ru-RU"/>
        </w:rPr>
        <w:t>12)</w:t>
      </w:r>
      <w:r>
        <w:rPr>
          <w:lang w:val="ru-RU"/>
        </w:rPr>
        <w:t>».</w:t>
      </w:r>
    </w:p>
    <w:p w:rsidR="00C70BF9" w:rsidRPr="00512100" w:rsidRDefault="00C70BF9" w:rsidP="00C70BF9">
      <w:pPr>
        <w:pStyle w:val="H23G"/>
        <w:rPr>
          <w:lang w:val="ru-RU"/>
        </w:rPr>
      </w:pPr>
      <w:r>
        <w:rPr>
          <w:lang w:val="ru-RU"/>
        </w:rPr>
        <w:tab/>
        <w:t>23.</w:t>
      </w:r>
      <w:r>
        <w:rPr>
          <w:lang w:val="ru-RU"/>
        </w:rPr>
        <w:tab/>
      </w:r>
      <w:r>
        <w:rPr>
          <w:bCs/>
          <w:lang w:val="ru-RU"/>
        </w:rPr>
        <w:t>Поправка к части 3, глава 3.2, таблица C, новые позиции, № ООН 1203, колонка</w:t>
      </w:r>
      <w:r>
        <w:rPr>
          <w:bCs/>
          <w:lang w:val="en-US"/>
        </w:rPr>
        <w:t> </w:t>
      </w:r>
      <w:r>
        <w:rPr>
          <w:bCs/>
          <w:lang w:val="ru-RU"/>
        </w:rPr>
        <w:t>2</w:t>
      </w:r>
    </w:p>
    <w:p w:rsidR="00C70BF9" w:rsidRPr="00512100" w:rsidRDefault="00C70BF9" w:rsidP="00C70BF9">
      <w:pPr>
        <w:pStyle w:val="SingleTxtG"/>
        <w:tabs>
          <w:tab w:val="left" w:pos="2268"/>
        </w:tabs>
        <w:rPr>
          <w:lang w:val="ru-RU"/>
        </w:rPr>
      </w:pPr>
      <w:r>
        <w:rPr>
          <w:lang w:val="ru-RU"/>
        </w:rPr>
        <w:t>Данное исправление не касается текста на русском языке.</w:t>
      </w:r>
    </w:p>
    <w:p w:rsidR="00C70BF9" w:rsidRPr="00512100" w:rsidRDefault="00C70BF9" w:rsidP="00C70BF9">
      <w:pPr>
        <w:pStyle w:val="H23G"/>
        <w:rPr>
          <w:lang w:val="ru-RU"/>
        </w:rPr>
      </w:pPr>
      <w:r>
        <w:rPr>
          <w:lang w:val="ru-RU"/>
        </w:rPr>
        <w:tab/>
        <w:t>24.</w:t>
      </w:r>
      <w:r>
        <w:rPr>
          <w:lang w:val="ru-RU"/>
        </w:rPr>
        <w:tab/>
      </w:r>
      <w:r>
        <w:rPr>
          <w:bCs/>
          <w:lang w:val="ru-RU"/>
        </w:rPr>
        <w:t>Поправка к части 3, глава 3.2, таблица C, новые позиции, № ООН 2920, 3272 (первая позиция), колонка 15</w:t>
      </w:r>
    </w:p>
    <w:p w:rsidR="00C70BF9" w:rsidRPr="00512100" w:rsidRDefault="00C70BF9" w:rsidP="00C70BF9">
      <w:pPr>
        <w:pStyle w:val="SingleTxtG"/>
        <w:rPr>
          <w:vertAlign w:val="superscript"/>
          <w:lang w:val="ru-RU"/>
        </w:rPr>
      </w:pPr>
      <w:r>
        <w:rPr>
          <w:i/>
          <w:iCs/>
          <w:lang w:val="ru-RU"/>
        </w:rPr>
        <w:t>Вместо</w:t>
      </w:r>
      <w:r>
        <w:rPr>
          <w:lang w:val="ru-RU"/>
        </w:rPr>
        <w:t xml:space="preserve"> «T2» </w:t>
      </w:r>
      <w:r>
        <w:rPr>
          <w:i/>
          <w:iCs/>
          <w:lang w:val="ru-RU"/>
        </w:rPr>
        <w:t xml:space="preserve">читать </w:t>
      </w:r>
      <w:r>
        <w:rPr>
          <w:lang w:val="ru-RU"/>
        </w:rPr>
        <w:t>«T2</w:t>
      </w:r>
      <w:r>
        <w:rPr>
          <w:vertAlign w:val="superscript"/>
          <w:lang w:val="ru-RU"/>
        </w:rPr>
        <w:t>12)</w:t>
      </w:r>
      <w:r>
        <w:rPr>
          <w:lang w:val="ru-RU"/>
        </w:rPr>
        <w:t>».</w:t>
      </w:r>
    </w:p>
    <w:p w:rsidR="00C70BF9" w:rsidRPr="00512100" w:rsidRDefault="00C70BF9" w:rsidP="00C70BF9">
      <w:pPr>
        <w:pStyle w:val="H23G"/>
        <w:rPr>
          <w:lang w:val="ru-RU"/>
        </w:rPr>
      </w:pPr>
      <w:r>
        <w:rPr>
          <w:lang w:val="ru-RU"/>
        </w:rPr>
        <w:tab/>
        <w:t>25.</w:t>
      </w:r>
      <w:r>
        <w:rPr>
          <w:lang w:val="ru-RU"/>
        </w:rPr>
        <w:tab/>
      </w:r>
      <w:r>
        <w:rPr>
          <w:bCs/>
          <w:lang w:val="ru-RU"/>
        </w:rPr>
        <w:t>Поправка к части 3, глава 3.2, таблица C, новые позиции, № ООН 3272, колонка</w:t>
      </w:r>
      <w:r>
        <w:rPr>
          <w:bCs/>
          <w:lang w:val="en-US"/>
        </w:rPr>
        <w:t> </w:t>
      </w:r>
      <w:r>
        <w:rPr>
          <w:bCs/>
          <w:lang w:val="ru-RU"/>
        </w:rPr>
        <w:t>2</w:t>
      </w:r>
    </w:p>
    <w:p w:rsidR="00C70BF9" w:rsidRPr="00512100" w:rsidRDefault="00C70BF9" w:rsidP="00C70BF9">
      <w:pPr>
        <w:pStyle w:val="SingleTxtG"/>
        <w:rPr>
          <w:lang w:val="ru-RU"/>
        </w:rPr>
      </w:pPr>
      <w:r>
        <w:rPr>
          <w:lang w:val="ru-RU"/>
        </w:rPr>
        <w:t>Данное исправление не касается текста на русском языке.</w:t>
      </w:r>
    </w:p>
    <w:p w:rsidR="00C70BF9" w:rsidRPr="00512100" w:rsidRDefault="00C70BF9" w:rsidP="00C70BF9">
      <w:pPr>
        <w:pStyle w:val="H23G"/>
        <w:rPr>
          <w:lang w:val="ru-RU"/>
        </w:rPr>
      </w:pPr>
      <w:r>
        <w:rPr>
          <w:lang w:val="ru-RU"/>
        </w:rPr>
        <w:tab/>
        <w:t>26.</w:t>
      </w:r>
      <w:r>
        <w:rPr>
          <w:lang w:val="ru-RU"/>
        </w:rPr>
        <w:tab/>
      </w:r>
      <w:r>
        <w:rPr>
          <w:bCs/>
          <w:lang w:val="ru-RU"/>
        </w:rPr>
        <w:t>Поправка к части 3, глава 3.2, 3.2.4.3, A</w:t>
      </w:r>
    </w:p>
    <w:p w:rsidR="00C70BF9" w:rsidRPr="00512100" w:rsidRDefault="00C70BF9" w:rsidP="00C70BF9">
      <w:pPr>
        <w:pStyle w:val="SingleTxtG"/>
        <w:rPr>
          <w:i/>
          <w:iCs/>
          <w:lang w:val="ru-RU"/>
        </w:rPr>
      </w:pPr>
      <w:r>
        <w:rPr>
          <w:i/>
          <w:iCs/>
          <w:lang w:val="ru-RU"/>
        </w:rPr>
        <w:t>Заменить</w:t>
      </w:r>
      <w:r>
        <w:rPr>
          <w:lang w:val="ru-RU"/>
        </w:rPr>
        <w:t xml:space="preserve"> существующий текст следующим:</w:t>
      </w:r>
    </w:p>
    <w:p w:rsidR="00C70BF9" w:rsidRPr="00512100" w:rsidRDefault="00C70BF9" w:rsidP="00C70BF9">
      <w:pPr>
        <w:pStyle w:val="SingleTxtG"/>
        <w:rPr>
          <w:lang w:val="ru-RU"/>
        </w:rPr>
      </w:pPr>
      <w:r>
        <w:rPr>
          <w:lang w:val="ru-RU"/>
        </w:rPr>
        <w:t>«3.2.4.3, A</w:t>
      </w:r>
      <w:r>
        <w:rPr>
          <w:lang w:val="ru-RU"/>
        </w:rPr>
        <w:tab/>
        <w:t>В колонках 6, 7 и 8 заменить "при давлении срабатывания быстродействующих выпускных клапанов" на "при давлении срабатывания клапана повышенного давления/быстродействующего выпускного клапана" (10 раз).</w:t>
      </w:r>
    </w:p>
    <w:p w:rsidR="00C70BF9" w:rsidRPr="00512100" w:rsidRDefault="00C70BF9" w:rsidP="00C70BF9">
      <w:pPr>
        <w:pStyle w:val="SingleTxtG"/>
        <w:rPr>
          <w:lang w:val="ru-RU"/>
        </w:rPr>
      </w:pPr>
      <w:r>
        <w:rPr>
          <w:lang w:val="ru-RU"/>
        </w:rPr>
        <w:t>3.2.4.3, A</w:t>
      </w:r>
      <w:r>
        <w:rPr>
          <w:lang w:val="ru-RU"/>
        </w:rPr>
        <w:tab/>
        <w:t>В колонках 6, 7 и 8, пункт 3, заменить "при давлении срабатывания быстродействующих выпускных клапанов" на "при давлении срабатывания клапана повышенного давления/быстродействующего выпускного клапана".</w:t>
      </w:r>
    </w:p>
    <w:p w:rsidR="00C70BF9" w:rsidRPr="00512100" w:rsidRDefault="00C70BF9" w:rsidP="00C70BF9">
      <w:pPr>
        <w:pStyle w:val="SingleTxtG"/>
        <w:rPr>
          <w:lang w:val="ru-RU"/>
        </w:rPr>
      </w:pPr>
      <w:r>
        <w:rPr>
          <w:lang w:val="ru-RU"/>
        </w:rPr>
        <w:t>3.2.4.3, A</w:t>
      </w:r>
      <w:r>
        <w:rPr>
          <w:lang w:val="ru-RU"/>
        </w:rPr>
        <w:tab/>
        <w:t>В колонках 6, 7 и 8, пункт 4, заменить "давление срабатывания быстродействующих выпускных клапанов/предохранительных клапанов" на "давление срабатывания клапана повышенного давления/быстродействующего выпускного клапана".».</w:t>
      </w:r>
    </w:p>
    <w:p w:rsidR="00C70BF9" w:rsidRPr="00512100" w:rsidRDefault="00C70BF9" w:rsidP="00C70BF9">
      <w:pPr>
        <w:pStyle w:val="H23G"/>
        <w:rPr>
          <w:lang w:val="ru-RU"/>
        </w:rPr>
      </w:pPr>
      <w:r>
        <w:rPr>
          <w:lang w:val="ru-RU"/>
        </w:rPr>
        <w:tab/>
        <w:t>27.</w:t>
      </w:r>
      <w:r>
        <w:rPr>
          <w:lang w:val="ru-RU"/>
        </w:rPr>
        <w:tab/>
      </w:r>
      <w:r>
        <w:rPr>
          <w:bCs/>
          <w:lang w:val="ru-RU"/>
        </w:rPr>
        <w:t>Поправка к части 3, глава 3.3, специальное положение 251, подпункт a)</w:t>
      </w:r>
    </w:p>
    <w:p w:rsidR="00C70BF9" w:rsidRPr="00512100" w:rsidRDefault="00C70BF9" w:rsidP="00C70BF9">
      <w:pPr>
        <w:pStyle w:val="SingleTxtG"/>
        <w:rPr>
          <w:lang w:val="ru-RU"/>
        </w:rPr>
      </w:pPr>
      <w:r>
        <w:rPr>
          <w:lang w:val="ru-RU"/>
        </w:rPr>
        <w:t>Данное исправление не касается текста на русском языке.</w:t>
      </w:r>
    </w:p>
    <w:p w:rsidR="00C70BF9" w:rsidRPr="00512100" w:rsidRDefault="00C70BF9" w:rsidP="00C70BF9">
      <w:pPr>
        <w:pStyle w:val="H23G"/>
        <w:rPr>
          <w:lang w:val="ru-RU"/>
        </w:rPr>
      </w:pPr>
      <w:r>
        <w:rPr>
          <w:lang w:val="ru-RU"/>
        </w:rPr>
        <w:tab/>
        <w:t>28.</w:t>
      </w:r>
      <w:r>
        <w:rPr>
          <w:lang w:val="ru-RU"/>
        </w:rPr>
        <w:tab/>
      </w:r>
      <w:r>
        <w:rPr>
          <w:bCs/>
          <w:lang w:val="ru-RU"/>
        </w:rPr>
        <w:t>Поправка к части 3, глава 3.3, специальное положение 307, второе предложение</w:t>
      </w:r>
    </w:p>
    <w:p w:rsidR="00C70BF9" w:rsidRPr="00512100" w:rsidRDefault="00C70BF9" w:rsidP="00C70BF9">
      <w:pPr>
        <w:pStyle w:val="SingleTxtG"/>
        <w:rPr>
          <w:lang w:val="ru-RU"/>
        </w:rPr>
      </w:pPr>
      <w:r w:rsidRPr="00283640">
        <w:rPr>
          <w:i/>
          <w:lang w:val="ru-RU"/>
        </w:rPr>
        <w:t>Вместо</w:t>
      </w:r>
      <w:r>
        <w:rPr>
          <w:lang w:val="ru-RU"/>
        </w:rPr>
        <w:t xml:space="preserve"> «тринадцатый подпункт» </w:t>
      </w:r>
      <w:r w:rsidRPr="00283640">
        <w:rPr>
          <w:i/>
          <w:lang w:val="ru-RU"/>
        </w:rPr>
        <w:t>читать</w:t>
      </w:r>
      <w:r>
        <w:rPr>
          <w:lang w:val="ru-RU"/>
        </w:rPr>
        <w:t xml:space="preserve"> «тринадцатый и четырнадцатый подпункты».</w:t>
      </w:r>
      <w:bookmarkStart w:id="13" w:name="_Hlk521419811"/>
      <w:bookmarkEnd w:id="13"/>
    </w:p>
    <w:p w:rsidR="00C70BF9" w:rsidRPr="00512100" w:rsidRDefault="00C70BF9" w:rsidP="00C70BF9">
      <w:pPr>
        <w:pStyle w:val="H23G"/>
        <w:rPr>
          <w:lang w:val="ru-RU"/>
        </w:rPr>
      </w:pPr>
      <w:r>
        <w:rPr>
          <w:lang w:val="ru-RU"/>
        </w:rPr>
        <w:tab/>
        <w:t>29.</w:t>
      </w:r>
      <w:r>
        <w:rPr>
          <w:lang w:val="ru-RU"/>
        </w:rPr>
        <w:tab/>
      </w:r>
      <w:r>
        <w:rPr>
          <w:bCs/>
          <w:lang w:val="ru-RU"/>
        </w:rPr>
        <w:t>Поправка к части 3, глава 3.3, новое специальное положение 388, четвертый абзац</w:t>
      </w:r>
    </w:p>
    <w:p w:rsidR="00C70BF9" w:rsidRPr="00512100" w:rsidRDefault="00C70BF9" w:rsidP="00C70BF9">
      <w:pPr>
        <w:pStyle w:val="SingleTxtG"/>
        <w:rPr>
          <w:iCs/>
          <w:lang w:val="ru-RU"/>
        </w:rPr>
      </w:pPr>
      <w:r>
        <w:rPr>
          <w:lang w:val="ru-RU"/>
        </w:rPr>
        <w:t>Данное исправление не касается текста на русском языке.</w:t>
      </w:r>
    </w:p>
    <w:p w:rsidR="00C70BF9" w:rsidRPr="00512100" w:rsidRDefault="00C70BF9" w:rsidP="00C70BF9">
      <w:pPr>
        <w:pStyle w:val="H23G"/>
        <w:rPr>
          <w:lang w:val="ru-RU"/>
        </w:rPr>
      </w:pPr>
      <w:r>
        <w:rPr>
          <w:lang w:val="ru-RU"/>
        </w:rPr>
        <w:tab/>
        <w:t>30.</w:t>
      </w:r>
      <w:r>
        <w:rPr>
          <w:lang w:val="ru-RU"/>
        </w:rPr>
        <w:tab/>
      </w:r>
      <w:r>
        <w:rPr>
          <w:bCs/>
          <w:lang w:val="ru-RU"/>
        </w:rPr>
        <w:t>Поправка к части 3, глава 3.3, новое специальное положение 392, подпункт a), таблица, предпоследняя строка, вторая колонка</w:t>
      </w:r>
    </w:p>
    <w:p w:rsidR="00C70BF9" w:rsidRPr="00512100" w:rsidRDefault="00C70BF9" w:rsidP="00C70BF9">
      <w:pPr>
        <w:pStyle w:val="SingleTxtG"/>
        <w:rPr>
          <w:lang w:val="ru-RU"/>
        </w:rPr>
      </w:pPr>
      <w:r>
        <w:rPr>
          <w:i/>
          <w:iCs/>
          <w:lang w:val="ru-RU"/>
        </w:rPr>
        <w:t>Вместо</w:t>
      </w:r>
      <w:r>
        <w:rPr>
          <w:lang w:val="ru-RU"/>
        </w:rPr>
        <w:t xml:space="preserve"> «Транспортные средства, работающие на водороде и топливных элементах (ТСВТЭ)»</w:t>
      </w:r>
      <w:r>
        <w:rPr>
          <w:i/>
          <w:iCs/>
          <w:lang w:val="ru-RU"/>
        </w:rPr>
        <w:t xml:space="preserve"> читать</w:t>
      </w:r>
      <w:r>
        <w:rPr>
          <w:lang w:val="ru-RU"/>
        </w:rPr>
        <w:t xml:space="preserve"> «Единообразные предписания, касающиеся официального утверждения механических транспортных средств и их элементов оборудования в отношении связанных с обеспечением безопасности эксплуатационных характеристик транспортных средств, работающих на водороде (ТСВТЭ)».</w:t>
      </w:r>
    </w:p>
    <w:p w:rsidR="00C70BF9" w:rsidRPr="00512100" w:rsidRDefault="00C70BF9" w:rsidP="00C70BF9">
      <w:pPr>
        <w:pStyle w:val="H23G"/>
        <w:rPr>
          <w:lang w:val="ru-RU"/>
        </w:rPr>
      </w:pPr>
      <w:r>
        <w:rPr>
          <w:lang w:val="ru-RU"/>
        </w:rPr>
        <w:tab/>
        <w:t>31.</w:t>
      </w:r>
      <w:r>
        <w:rPr>
          <w:lang w:val="ru-RU"/>
        </w:rPr>
        <w:tab/>
      </w:r>
      <w:r>
        <w:rPr>
          <w:bCs/>
          <w:lang w:val="ru-RU"/>
        </w:rPr>
        <w:t>Поправка к части 3, глава 3.3, новое специальное положение 392, подпункт b), примечание 1</w:t>
      </w:r>
    </w:p>
    <w:p w:rsidR="00C70BF9" w:rsidRPr="00512100" w:rsidRDefault="00C70BF9" w:rsidP="00C70BF9">
      <w:pPr>
        <w:pStyle w:val="SingleTxtG"/>
        <w:rPr>
          <w:lang w:val="ru-RU"/>
        </w:rPr>
      </w:pPr>
      <w:r>
        <w:rPr>
          <w:i/>
          <w:iCs/>
          <w:lang w:val="ru-RU"/>
        </w:rPr>
        <w:t>Вместо</w:t>
      </w:r>
      <w:r>
        <w:rPr>
          <w:lang w:val="ru-RU"/>
        </w:rPr>
        <w:t xml:space="preserve"> «ISO 11623:2015: Переносные газовые баллоны – Периодические проверки и испытания газовых баллонов из композитных материалов» </w:t>
      </w:r>
      <w:r>
        <w:rPr>
          <w:i/>
          <w:iCs/>
          <w:lang w:val="ru-RU"/>
        </w:rPr>
        <w:t xml:space="preserve">читать </w:t>
      </w:r>
      <w:r>
        <w:rPr>
          <w:lang w:val="ru-RU"/>
        </w:rPr>
        <w:t xml:space="preserve">«ISO 11623:2015: </w:t>
      </w:r>
      <w:r>
        <w:rPr>
          <w:lang w:val="ru-RU"/>
        </w:rPr>
        <w:lastRenderedPageBreak/>
        <w:t>Газовые баллоны – Композитная конструкция – Периодические проверки и испытания».</w:t>
      </w:r>
      <w:bookmarkStart w:id="14" w:name="_Hlk515970433"/>
      <w:bookmarkStart w:id="15" w:name="_Hlk521420464"/>
      <w:bookmarkEnd w:id="14"/>
      <w:bookmarkEnd w:id="15"/>
    </w:p>
    <w:p w:rsidR="00C70BF9" w:rsidRPr="00512100" w:rsidRDefault="00C70BF9" w:rsidP="00C70BF9">
      <w:pPr>
        <w:pStyle w:val="H23G"/>
        <w:rPr>
          <w:lang w:val="ru-RU"/>
        </w:rPr>
      </w:pPr>
      <w:r>
        <w:rPr>
          <w:lang w:val="ru-RU"/>
        </w:rPr>
        <w:tab/>
        <w:t>32.</w:t>
      </w:r>
      <w:r>
        <w:rPr>
          <w:lang w:val="ru-RU"/>
        </w:rPr>
        <w:tab/>
      </w:r>
      <w:r>
        <w:rPr>
          <w:bCs/>
          <w:lang w:val="ru-RU"/>
        </w:rPr>
        <w:t>Поправка к части 3, глава 3.3, новое специальное положение 392, примеры в конце</w:t>
      </w:r>
    </w:p>
    <w:p w:rsidR="00C70BF9" w:rsidRPr="00512100" w:rsidRDefault="00C70BF9" w:rsidP="00C70BF9">
      <w:pPr>
        <w:pStyle w:val="SingleTxtG"/>
        <w:rPr>
          <w:b/>
          <w:bCs/>
          <w:lang w:val="ru-RU"/>
        </w:rPr>
      </w:pPr>
      <w:r>
        <w:rPr>
          <w:lang w:val="ru-RU"/>
        </w:rPr>
        <w:t>Данное исправление не касается текста на русском языке.</w:t>
      </w:r>
    </w:p>
    <w:p w:rsidR="00C70BF9" w:rsidRPr="00512100" w:rsidRDefault="00C70BF9" w:rsidP="00C70BF9">
      <w:pPr>
        <w:pStyle w:val="H23G"/>
        <w:rPr>
          <w:lang w:val="ru-RU"/>
        </w:rPr>
      </w:pPr>
      <w:bookmarkStart w:id="16" w:name="_Hlk521420658"/>
      <w:bookmarkStart w:id="17" w:name="_Hlk512434518"/>
      <w:r>
        <w:rPr>
          <w:lang w:val="ru-RU"/>
        </w:rPr>
        <w:tab/>
        <w:t>33.</w:t>
      </w:r>
      <w:r>
        <w:rPr>
          <w:lang w:val="ru-RU"/>
        </w:rPr>
        <w:tab/>
      </w:r>
      <w:r>
        <w:rPr>
          <w:bCs/>
          <w:lang w:val="ru-RU"/>
        </w:rPr>
        <w:t>Поправка к части 5, глава 5.2, 5.2.2.2.2, таблица, графа для образца знака № 2.1, колонка «Подкласс или категория»</w:t>
      </w:r>
    </w:p>
    <w:p w:rsidR="00C70BF9" w:rsidRPr="00512100" w:rsidRDefault="00C70BF9" w:rsidP="00C70BF9">
      <w:pPr>
        <w:pStyle w:val="SingleTxtG"/>
        <w:rPr>
          <w:lang w:val="ru-RU"/>
        </w:rPr>
      </w:pPr>
      <w:r>
        <w:rPr>
          <w:i/>
          <w:iCs/>
          <w:lang w:val="ru-RU"/>
        </w:rPr>
        <w:t>Исключить</w:t>
      </w:r>
      <w:r>
        <w:rPr>
          <w:lang w:val="ru-RU"/>
        </w:rPr>
        <w:t xml:space="preserve"> «(за исключением случаев, предусмотренных в пункте 5.2.2.2.1.6 d))».</w:t>
      </w:r>
    </w:p>
    <w:bookmarkEnd w:id="16"/>
    <w:p w:rsidR="00C70BF9" w:rsidRPr="00512100" w:rsidRDefault="00C70BF9" w:rsidP="00C70BF9">
      <w:pPr>
        <w:pStyle w:val="H23G"/>
        <w:rPr>
          <w:lang w:val="ru-RU"/>
        </w:rPr>
      </w:pPr>
      <w:r>
        <w:rPr>
          <w:lang w:val="ru-RU"/>
        </w:rPr>
        <w:tab/>
        <w:t>34.</w:t>
      </w:r>
      <w:r>
        <w:rPr>
          <w:lang w:val="ru-RU"/>
        </w:rPr>
        <w:tab/>
      </w:r>
      <w:r>
        <w:rPr>
          <w:bCs/>
          <w:lang w:val="ru-RU"/>
        </w:rPr>
        <w:t>Поправка к части 5, глава 5.2, 5.2.2.2.2, таблица, графа для образца знака № 2.1, колонки «Символ и цвет символа» и «Цифра в нижнем углу (и цвет цифры)», в</w:t>
      </w:r>
      <w:r w:rsidR="00317207">
        <w:rPr>
          <w:bCs/>
          <w:lang w:val="en-US"/>
        </w:rPr>
        <w:t> </w:t>
      </w:r>
      <w:r>
        <w:rPr>
          <w:bCs/>
          <w:lang w:val="ru-RU"/>
        </w:rPr>
        <w:t>конце</w:t>
      </w:r>
    </w:p>
    <w:p w:rsidR="00C70BF9" w:rsidRPr="00512100" w:rsidRDefault="00C70BF9" w:rsidP="00C70BF9">
      <w:pPr>
        <w:pStyle w:val="SingleTxtG"/>
        <w:rPr>
          <w:lang w:val="ru-RU"/>
        </w:rPr>
      </w:pPr>
      <w:r w:rsidRPr="005B028C">
        <w:rPr>
          <w:i/>
          <w:iCs/>
          <w:lang w:val="ru-RU"/>
        </w:rPr>
        <w:t>Включить</w:t>
      </w:r>
      <w:r>
        <w:rPr>
          <w:lang w:val="ru-RU"/>
        </w:rPr>
        <w:t xml:space="preserve"> «(за исключением случаев, предусмотренных в пункте 5.2.2.2.1.6 d))».</w:t>
      </w:r>
    </w:p>
    <w:p w:rsidR="00C70BF9" w:rsidRPr="00512100" w:rsidRDefault="00C70BF9" w:rsidP="00C70BF9">
      <w:pPr>
        <w:pStyle w:val="H23G"/>
        <w:rPr>
          <w:lang w:val="ru-RU"/>
        </w:rPr>
      </w:pPr>
      <w:r>
        <w:rPr>
          <w:lang w:val="ru-RU"/>
        </w:rPr>
        <w:tab/>
        <w:t>35.</w:t>
      </w:r>
      <w:r>
        <w:rPr>
          <w:lang w:val="ru-RU"/>
        </w:rPr>
        <w:tab/>
      </w:r>
      <w:r>
        <w:rPr>
          <w:bCs/>
          <w:lang w:val="ru-RU"/>
        </w:rPr>
        <w:t>Поправка к части 5, глава 5.2, 5.2.2.2.2, таблица, строка «Опасность класса 4.1»</w:t>
      </w:r>
      <w:r>
        <w:rPr>
          <w:lang w:val="ru-RU"/>
        </w:rPr>
        <w:t xml:space="preserve"> </w:t>
      </w:r>
    </w:p>
    <w:p w:rsidR="00C70BF9" w:rsidRPr="00512100" w:rsidRDefault="00C70BF9" w:rsidP="00C70BF9">
      <w:pPr>
        <w:pStyle w:val="SingleTxtG"/>
        <w:rPr>
          <w:lang w:val="ru-RU"/>
        </w:rPr>
      </w:pPr>
      <w:r w:rsidRPr="005B028C">
        <w:rPr>
          <w:i/>
          <w:iCs/>
          <w:lang w:val="ru-RU"/>
        </w:rPr>
        <w:t>Вместо</w:t>
      </w:r>
      <w:r>
        <w:rPr>
          <w:lang w:val="ru-RU"/>
        </w:rPr>
        <w:t xml:space="preserve"> «твердые десенсибилизированные взрывчатые вещества и полимеризующиеся вещества» </w:t>
      </w:r>
      <w:r w:rsidRPr="005B028C">
        <w:rPr>
          <w:i/>
          <w:iCs/>
          <w:lang w:val="ru-RU"/>
        </w:rPr>
        <w:t>читать</w:t>
      </w:r>
      <w:r>
        <w:rPr>
          <w:lang w:val="ru-RU"/>
        </w:rPr>
        <w:t xml:space="preserve"> «полимеризующиеся вещества и твердые десенсибилизированные взрывчатые вещества».</w:t>
      </w:r>
    </w:p>
    <w:bookmarkEnd w:id="17"/>
    <w:p w:rsidR="00C70BF9" w:rsidRPr="00512100" w:rsidRDefault="00C70BF9" w:rsidP="00C70BF9">
      <w:pPr>
        <w:pStyle w:val="H23G"/>
        <w:rPr>
          <w:lang w:val="ru-RU"/>
        </w:rPr>
      </w:pPr>
      <w:r>
        <w:rPr>
          <w:lang w:val="ru-RU"/>
        </w:rPr>
        <w:tab/>
        <w:t>36.</w:t>
      </w:r>
      <w:r>
        <w:rPr>
          <w:lang w:val="ru-RU"/>
        </w:rPr>
        <w:tab/>
      </w:r>
      <w:r>
        <w:rPr>
          <w:bCs/>
          <w:lang w:val="ru-RU"/>
        </w:rPr>
        <w:t>Поправка к части 5, глава 5.3, 5.3.1.2</w:t>
      </w:r>
    </w:p>
    <w:p w:rsidR="00C70BF9" w:rsidRPr="00512100" w:rsidRDefault="00C70BF9" w:rsidP="00C70BF9">
      <w:pPr>
        <w:pStyle w:val="SingleTxtG"/>
        <w:rPr>
          <w:i/>
          <w:lang w:val="ru-RU"/>
        </w:rPr>
      </w:pPr>
      <w:r>
        <w:rPr>
          <w:i/>
          <w:iCs/>
          <w:lang w:val="ru-RU"/>
        </w:rPr>
        <w:t>Заменить</w:t>
      </w:r>
      <w:r>
        <w:rPr>
          <w:lang w:val="ru-RU"/>
        </w:rPr>
        <w:t xml:space="preserve"> существующий текст следующим:</w:t>
      </w:r>
    </w:p>
    <w:p w:rsidR="00C70BF9" w:rsidRPr="00C35534" w:rsidRDefault="00C70BF9" w:rsidP="00C70BF9">
      <w:pPr>
        <w:pStyle w:val="SingleTxtG"/>
        <w:tabs>
          <w:tab w:val="left" w:pos="1985"/>
        </w:tabs>
        <w:rPr>
          <w:lang w:val="ru-RU"/>
        </w:rPr>
      </w:pPr>
      <w:r>
        <w:rPr>
          <w:lang w:val="ru-RU"/>
        </w:rPr>
        <w:t>«5.3.1.2</w:t>
      </w:r>
      <w:r>
        <w:rPr>
          <w:lang w:val="ru-RU"/>
        </w:rPr>
        <w:tab/>
        <w:t xml:space="preserve">В заголовке после </w:t>
      </w:r>
      <w:r w:rsidR="00317207">
        <w:rPr>
          <w:lang w:val="ru-RU"/>
        </w:rPr>
        <w:t>"</w:t>
      </w:r>
      <w:r>
        <w:rPr>
          <w:lang w:val="ru-RU"/>
        </w:rPr>
        <w:t>контейнерах,</w:t>
      </w:r>
      <w:r w:rsidR="00317207">
        <w:rPr>
          <w:lang w:val="ru-RU"/>
        </w:rPr>
        <w:t>"</w:t>
      </w:r>
      <w:r>
        <w:rPr>
          <w:lang w:val="ru-RU"/>
        </w:rPr>
        <w:t xml:space="preserve"> включить </w:t>
      </w:r>
      <w:r w:rsidR="00317207">
        <w:rPr>
          <w:lang w:val="ru-RU"/>
        </w:rPr>
        <w:t>"</w:t>
      </w:r>
      <w:r>
        <w:rPr>
          <w:lang w:val="ru-RU"/>
        </w:rPr>
        <w:t>контейнерах для массовых грузов,</w:t>
      </w:r>
      <w:r w:rsidR="00317207">
        <w:rPr>
          <w:lang w:val="ru-RU"/>
        </w:rPr>
        <w:t>"</w:t>
      </w:r>
      <w:r w:rsidR="00C35534">
        <w:rPr>
          <w:lang w:val="ru-RU"/>
        </w:rPr>
        <w:t>»</w:t>
      </w:r>
      <w:r w:rsidR="00C35534" w:rsidRPr="00C35534">
        <w:rPr>
          <w:lang w:val="ru-RU"/>
        </w:rPr>
        <w:t>.</w:t>
      </w:r>
    </w:p>
    <w:p w:rsidR="00C70BF9" w:rsidRPr="00512100" w:rsidRDefault="00C70BF9" w:rsidP="00C70BF9">
      <w:pPr>
        <w:pStyle w:val="SingleTxtG"/>
        <w:tabs>
          <w:tab w:val="left" w:pos="1985"/>
        </w:tabs>
        <w:rPr>
          <w:lang w:val="ru-RU"/>
        </w:rPr>
      </w:pPr>
      <w:r>
        <w:rPr>
          <w:lang w:val="ru-RU"/>
        </w:rPr>
        <w:t>5.3.1.2</w:t>
      </w:r>
      <w:r>
        <w:rPr>
          <w:lang w:val="ru-RU"/>
        </w:rPr>
        <w:tab/>
        <w:t>Изменить первый абзац после примечания следующим образом:</w:t>
      </w:r>
    </w:p>
    <w:p w:rsidR="00C70BF9" w:rsidRPr="00512100" w:rsidRDefault="00C35534" w:rsidP="00C70BF9">
      <w:pPr>
        <w:pStyle w:val="SingleTxtG"/>
        <w:tabs>
          <w:tab w:val="left" w:pos="1985"/>
        </w:tabs>
        <w:rPr>
          <w:lang w:val="ru-RU"/>
        </w:rPr>
      </w:pPr>
      <w:r>
        <w:rPr>
          <w:lang w:val="ru-RU"/>
        </w:rPr>
        <w:t>«</w:t>
      </w:r>
      <w:r w:rsidR="00C70BF9">
        <w:rPr>
          <w:lang w:val="ru-RU"/>
        </w:rPr>
        <w:t>Большие знаки опасности должны размещаться на обеих боковых сторонах и на каждой торцевой стороне контейнера, контейнера для массовых грузов, МЭГК, контейнера-цистерны или переносной цистерны и на двух противоположных боковых сторонах в случае мягких контейнеров для массовых грузов.».</w:t>
      </w:r>
      <w:bookmarkStart w:id="18" w:name="_Hlk521421188"/>
      <w:bookmarkEnd w:id="18"/>
    </w:p>
    <w:p w:rsidR="00C70BF9" w:rsidRPr="00512100" w:rsidRDefault="00C70BF9" w:rsidP="00C70BF9">
      <w:pPr>
        <w:pStyle w:val="H23G"/>
        <w:rPr>
          <w:rFonts w:asciiTheme="majorBidi" w:hAnsiTheme="majorBidi" w:cstheme="majorBidi"/>
          <w:lang w:val="ru-RU"/>
        </w:rPr>
      </w:pPr>
      <w:r>
        <w:rPr>
          <w:lang w:val="ru-RU"/>
        </w:rPr>
        <w:tab/>
        <w:t>37.</w:t>
      </w:r>
      <w:r>
        <w:rPr>
          <w:lang w:val="ru-RU"/>
        </w:rPr>
        <w:tab/>
      </w:r>
      <w:r>
        <w:rPr>
          <w:bCs/>
          <w:lang w:val="ru-RU"/>
        </w:rPr>
        <w:t>Поправка к части 7, глава 7.2, 7.2.3.7.1.2, в конце</w:t>
      </w:r>
    </w:p>
    <w:p w:rsidR="00C70BF9" w:rsidRDefault="00C70BF9" w:rsidP="00C70BF9">
      <w:pPr>
        <w:pStyle w:val="SingleTxtG"/>
        <w:rPr>
          <w:lang w:val="ru-RU"/>
        </w:rPr>
      </w:pPr>
      <w:r>
        <w:rPr>
          <w:i/>
          <w:iCs/>
          <w:lang w:val="ru-RU"/>
        </w:rPr>
        <w:t>Включить:</w:t>
      </w:r>
      <w:r>
        <w:rPr>
          <w:lang w:val="ru-RU"/>
        </w:rPr>
        <w:t xml:space="preserve"> </w:t>
      </w:r>
    </w:p>
    <w:p w:rsidR="00C70BF9" w:rsidRPr="00283640" w:rsidRDefault="00283640" w:rsidP="00283640">
      <w:pPr>
        <w:tabs>
          <w:tab w:val="left" w:pos="1386"/>
        </w:tabs>
        <w:spacing w:after="120"/>
        <w:ind w:left="1406" w:right="1134" w:hanging="312"/>
        <w:jc w:val="both"/>
        <w:rPr>
          <w:color w:val="000000"/>
        </w:rPr>
      </w:pPr>
      <w:bookmarkStart w:id="19" w:name="_Hlk521421242"/>
      <w:r>
        <w:t>«</w:t>
      </w:r>
      <w:r>
        <w:rPr>
          <w:rFonts w:cs="Times New Roman"/>
        </w:rPr>
        <w:t>•</w:t>
      </w:r>
      <w:r>
        <w:rPr>
          <w:rFonts w:cs="Times New Roman"/>
        </w:rPr>
        <w:tab/>
      </w:r>
      <w:r w:rsidR="00C70BF9" w:rsidRPr="00283640">
        <w:t>все выходящие наружу входы или отверстия помещений закрыты; это положение</w:t>
      </w:r>
      <w:r>
        <w:br/>
      </w:r>
      <w:r w:rsidR="00C70BF9" w:rsidRPr="00283640">
        <w:t>не применяется к отверстиям для подачи воздуха в машинное отделение и к системам вентиляции, работающим при повышенном давлении;</w:t>
      </w:r>
    </w:p>
    <w:p w:rsidR="00C70BF9" w:rsidRPr="00512100" w:rsidRDefault="00C70BF9" w:rsidP="00C70BF9">
      <w:pPr>
        <w:pStyle w:val="ListParagraph"/>
        <w:numPr>
          <w:ilvl w:val="0"/>
          <w:numId w:val="22"/>
        </w:numPr>
        <w:tabs>
          <w:tab w:val="left" w:pos="1418"/>
        </w:tabs>
        <w:spacing w:after="120"/>
        <w:ind w:left="1418" w:right="1134" w:hanging="284"/>
        <w:jc w:val="both"/>
        <w:rPr>
          <w:color w:val="000000"/>
          <w:lang w:val="ru-RU"/>
        </w:rPr>
      </w:pPr>
      <w:r>
        <w:rPr>
          <w:lang w:val="ru-RU"/>
        </w:rPr>
        <w:t>каждый член экипажа, работающий на палубе, имеет соответствующее защитное снаряжение;</w:t>
      </w:r>
    </w:p>
    <w:p w:rsidR="00C70BF9" w:rsidRPr="00512100" w:rsidRDefault="00C70BF9" w:rsidP="00C70BF9">
      <w:pPr>
        <w:pStyle w:val="ListParagraph"/>
        <w:numPr>
          <w:ilvl w:val="0"/>
          <w:numId w:val="22"/>
        </w:numPr>
        <w:tabs>
          <w:tab w:val="left" w:pos="1418"/>
        </w:tabs>
        <w:spacing w:after="120"/>
        <w:ind w:left="1418" w:right="1134" w:hanging="284"/>
        <w:jc w:val="both"/>
        <w:rPr>
          <w:color w:val="000000"/>
          <w:lang w:val="ru-RU"/>
        </w:rPr>
      </w:pPr>
      <w:r>
        <w:rPr>
          <w:lang w:val="ru-RU"/>
        </w:rPr>
        <w:t>дегазация не осуществляется в шлюзовых зонах, включая места отстоя судов, под мостам</w:t>
      </w:r>
      <w:r w:rsidR="004B27D9">
        <w:rPr>
          <w:lang w:val="ru-RU"/>
        </w:rPr>
        <w:t>и или в густонаселенных районах</w:t>
      </w:r>
      <w:r w:rsidR="004B27D9" w:rsidRPr="004B27D9">
        <w:rPr>
          <w:lang w:val="ru-RU"/>
        </w:rPr>
        <w:t>.</w:t>
      </w:r>
      <w:r>
        <w:rPr>
          <w:lang w:val="ru-RU"/>
        </w:rPr>
        <w:t>».</w:t>
      </w:r>
    </w:p>
    <w:bookmarkEnd w:id="19"/>
    <w:p w:rsidR="00C70BF9" w:rsidRPr="00512100" w:rsidRDefault="00C70BF9" w:rsidP="00C70BF9">
      <w:pPr>
        <w:pStyle w:val="H23G"/>
        <w:rPr>
          <w:rFonts w:asciiTheme="majorBidi" w:hAnsiTheme="majorBidi" w:cstheme="majorBidi"/>
          <w:lang w:val="ru-RU"/>
        </w:rPr>
      </w:pPr>
      <w:r>
        <w:rPr>
          <w:lang w:val="ru-RU"/>
        </w:rPr>
        <w:tab/>
        <w:t>38.</w:t>
      </w:r>
      <w:r>
        <w:rPr>
          <w:lang w:val="ru-RU"/>
        </w:rPr>
        <w:tab/>
      </w:r>
      <w:r>
        <w:rPr>
          <w:bCs/>
          <w:lang w:val="ru-RU"/>
        </w:rPr>
        <w:t>Поправка к части 8, глава 8.2, 8.2.2.3.3.2</w:t>
      </w:r>
    </w:p>
    <w:p w:rsidR="00C70BF9" w:rsidRPr="00512100" w:rsidRDefault="00C70BF9" w:rsidP="00C70BF9">
      <w:pPr>
        <w:pStyle w:val="SingleTxtG"/>
        <w:rPr>
          <w:i/>
          <w:iCs/>
          <w:lang w:val="ru-RU"/>
        </w:rPr>
      </w:pPr>
      <w:r>
        <w:rPr>
          <w:lang w:val="ru-RU"/>
        </w:rPr>
        <w:t>Данное исправление не касается текста на русском языке.</w:t>
      </w:r>
    </w:p>
    <w:p w:rsidR="00C70BF9" w:rsidRPr="00512100" w:rsidRDefault="00C70BF9" w:rsidP="00C70BF9">
      <w:pPr>
        <w:pStyle w:val="H23G"/>
        <w:rPr>
          <w:rFonts w:asciiTheme="majorBidi" w:hAnsiTheme="majorBidi" w:cstheme="majorBidi"/>
          <w:lang w:val="ru-RU"/>
        </w:rPr>
      </w:pPr>
      <w:r>
        <w:rPr>
          <w:lang w:val="ru-RU"/>
        </w:rPr>
        <w:tab/>
        <w:t>39.</w:t>
      </w:r>
      <w:r>
        <w:rPr>
          <w:lang w:val="ru-RU"/>
        </w:rPr>
        <w:tab/>
      </w:r>
      <w:r>
        <w:rPr>
          <w:bCs/>
          <w:lang w:val="ru-RU"/>
        </w:rPr>
        <w:t>Поправка к части 9, часть 9, сноска 2, все случаи</w:t>
      </w:r>
    </w:p>
    <w:p w:rsidR="00C70BF9" w:rsidRPr="00512100" w:rsidRDefault="00C70BF9" w:rsidP="00C70BF9">
      <w:pPr>
        <w:pStyle w:val="SingleTxtG"/>
        <w:rPr>
          <w:i/>
          <w:iCs/>
          <w:lang w:val="ru-RU"/>
        </w:rPr>
      </w:pPr>
      <w:r>
        <w:rPr>
          <w:i/>
          <w:iCs/>
          <w:lang w:val="ru-RU"/>
        </w:rPr>
        <w:t>Вместо</w:t>
      </w:r>
      <w:r>
        <w:rPr>
          <w:lang w:val="ru-RU"/>
        </w:rPr>
        <w:t xml:space="preserve"> «29 августа 2008 года» </w:t>
      </w:r>
      <w:r>
        <w:rPr>
          <w:i/>
          <w:iCs/>
          <w:lang w:val="ru-RU"/>
        </w:rPr>
        <w:t>читать</w:t>
      </w:r>
      <w:r>
        <w:rPr>
          <w:lang w:val="ru-RU"/>
        </w:rPr>
        <w:t xml:space="preserve"> «4 июня 2008 года».</w:t>
      </w:r>
    </w:p>
    <w:p w:rsidR="00C70BF9" w:rsidRPr="00512100" w:rsidRDefault="00C70BF9" w:rsidP="00C70BF9">
      <w:pPr>
        <w:pStyle w:val="H23G"/>
        <w:rPr>
          <w:rFonts w:asciiTheme="majorBidi" w:hAnsiTheme="majorBidi" w:cstheme="majorBidi"/>
          <w:lang w:val="ru-RU"/>
        </w:rPr>
      </w:pPr>
      <w:r>
        <w:rPr>
          <w:lang w:val="ru-RU"/>
        </w:rPr>
        <w:tab/>
        <w:t>40.</w:t>
      </w:r>
      <w:r>
        <w:rPr>
          <w:lang w:val="ru-RU"/>
        </w:rPr>
        <w:tab/>
      </w:r>
      <w:r>
        <w:rPr>
          <w:bCs/>
          <w:lang w:val="ru-RU"/>
        </w:rPr>
        <w:t>Поправка к части 9, глава 9.3, 9.3.1.52.6, 9.3.2.52.6 и 9.3.3.52.6, первое предложение</w:t>
      </w:r>
    </w:p>
    <w:p w:rsidR="00C70BF9" w:rsidRPr="00512100" w:rsidRDefault="00C70BF9" w:rsidP="00C70BF9">
      <w:pPr>
        <w:pStyle w:val="SingleTxtG"/>
        <w:rPr>
          <w:rFonts w:eastAsia="SimSun"/>
          <w:sz w:val="18"/>
          <w:lang w:val="ru-RU"/>
        </w:rPr>
      </w:pPr>
      <w:r w:rsidRPr="005B028C">
        <w:rPr>
          <w:i/>
          <w:iCs/>
          <w:lang w:val="ru-RU"/>
        </w:rPr>
        <w:t>Вместо</w:t>
      </w:r>
      <w:r>
        <w:rPr>
          <w:lang w:val="ru-RU"/>
        </w:rPr>
        <w:t xml:space="preserve"> «выключатель» </w:t>
      </w:r>
      <w:r w:rsidRPr="005B028C">
        <w:rPr>
          <w:i/>
          <w:iCs/>
          <w:lang w:val="ru-RU"/>
        </w:rPr>
        <w:t>читать</w:t>
      </w:r>
      <w:r>
        <w:rPr>
          <w:lang w:val="ru-RU"/>
        </w:rPr>
        <w:t xml:space="preserve"> «многополюсный выключатель».</w:t>
      </w:r>
    </w:p>
    <w:p w:rsidR="00C70BF9" w:rsidRPr="00512100" w:rsidRDefault="00C70BF9" w:rsidP="00C70BF9">
      <w:pPr>
        <w:pStyle w:val="H23G"/>
        <w:rPr>
          <w:rFonts w:asciiTheme="majorBidi" w:hAnsiTheme="majorBidi" w:cstheme="majorBidi"/>
          <w:lang w:val="ru-RU"/>
        </w:rPr>
      </w:pPr>
      <w:r>
        <w:rPr>
          <w:lang w:val="ru-RU"/>
        </w:rPr>
        <w:lastRenderedPageBreak/>
        <w:tab/>
        <w:t>41.</w:t>
      </w:r>
      <w:r>
        <w:rPr>
          <w:lang w:val="ru-RU"/>
        </w:rPr>
        <w:tab/>
      </w:r>
      <w:r>
        <w:rPr>
          <w:bCs/>
          <w:lang w:val="ru-RU"/>
        </w:rPr>
        <w:t>Поправка к части 9, глава 9.3, 9.3.3.22.4 d), последний абзац</w:t>
      </w:r>
    </w:p>
    <w:p w:rsidR="00C70BF9" w:rsidRPr="00A17EE3" w:rsidRDefault="00C70BF9" w:rsidP="005615ED">
      <w:pPr>
        <w:pStyle w:val="SingleTxtG"/>
        <w:rPr>
          <w:lang w:val="ru-RU"/>
        </w:rPr>
      </w:pPr>
      <w:r>
        <w:rPr>
          <w:lang w:val="ru-RU"/>
        </w:rPr>
        <w:t>Данное исправление не касается текста на русском языке.</w:t>
      </w:r>
    </w:p>
    <w:p w:rsidR="00C70BF9" w:rsidRPr="005615ED" w:rsidRDefault="005615ED" w:rsidP="005615ED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12C5F" w:rsidRPr="008D53B6" w:rsidRDefault="00E12C5F" w:rsidP="002E5067"/>
    <w:sectPr w:rsidR="00E12C5F" w:rsidRPr="008D53B6" w:rsidSect="00C70BF9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3385" w:rsidRPr="00A312BC" w:rsidRDefault="00993385" w:rsidP="00A312BC"/>
  </w:endnote>
  <w:endnote w:type="continuationSeparator" w:id="0">
    <w:p w:rsidR="00993385" w:rsidRPr="00A312BC" w:rsidRDefault="00993385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0BF9" w:rsidRPr="00C70BF9" w:rsidRDefault="00C70BF9">
    <w:pPr>
      <w:pStyle w:val="Footer"/>
    </w:pPr>
    <w:r w:rsidRPr="00C70BF9">
      <w:rPr>
        <w:b/>
        <w:sz w:val="18"/>
      </w:rPr>
      <w:fldChar w:fldCharType="begin"/>
    </w:r>
    <w:r w:rsidRPr="00C70BF9">
      <w:rPr>
        <w:b/>
        <w:sz w:val="18"/>
      </w:rPr>
      <w:instrText xml:space="preserve"> PAGE  \* MERGEFORMAT </w:instrText>
    </w:r>
    <w:r w:rsidRPr="00C70BF9">
      <w:rPr>
        <w:b/>
        <w:sz w:val="18"/>
      </w:rPr>
      <w:fldChar w:fldCharType="separate"/>
    </w:r>
    <w:r w:rsidR="007513B3">
      <w:rPr>
        <w:b/>
        <w:noProof/>
        <w:sz w:val="18"/>
      </w:rPr>
      <w:t>6</w:t>
    </w:r>
    <w:r w:rsidRPr="00C70BF9">
      <w:rPr>
        <w:b/>
        <w:sz w:val="18"/>
      </w:rPr>
      <w:fldChar w:fldCharType="end"/>
    </w:r>
    <w:r>
      <w:rPr>
        <w:b/>
        <w:sz w:val="18"/>
      </w:rPr>
      <w:tab/>
    </w:r>
    <w:r>
      <w:t>GE.18-16143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0BF9" w:rsidRPr="00C70BF9" w:rsidRDefault="00C70BF9" w:rsidP="00C70BF9">
    <w:pPr>
      <w:pStyle w:val="Footer"/>
      <w:tabs>
        <w:tab w:val="clear" w:pos="9639"/>
        <w:tab w:val="right" w:pos="9638"/>
      </w:tabs>
      <w:rPr>
        <w:b/>
        <w:sz w:val="18"/>
      </w:rPr>
    </w:pPr>
    <w:r>
      <w:t>GE.18-16143</w:t>
    </w:r>
    <w:r>
      <w:tab/>
    </w:r>
    <w:r w:rsidRPr="00C70BF9">
      <w:rPr>
        <w:b/>
        <w:sz w:val="18"/>
      </w:rPr>
      <w:fldChar w:fldCharType="begin"/>
    </w:r>
    <w:r w:rsidRPr="00C70BF9">
      <w:rPr>
        <w:b/>
        <w:sz w:val="18"/>
      </w:rPr>
      <w:instrText xml:space="preserve"> PAGE  \* MERGEFORMAT </w:instrText>
    </w:r>
    <w:r w:rsidRPr="00C70BF9">
      <w:rPr>
        <w:b/>
        <w:sz w:val="18"/>
      </w:rPr>
      <w:fldChar w:fldCharType="separate"/>
    </w:r>
    <w:r w:rsidR="007513B3">
      <w:rPr>
        <w:b/>
        <w:noProof/>
        <w:sz w:val="18"/>
      </w:rPr>
      <w:t>5</w:t>
    </w:r>
    <w:r w:rsidRPr="00C70BF9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B72" w:rsidRPr="00C70BF9" w:rsidRDefault="00C70BF9" w:rsidP="00C70BF9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18-16143  (R)</w:t>
    </w:r>
    <w:r w:rsidR="004A69F1">
      <w:rPr>
        <w:lang w:val="en-US"/>
      </w:rPr>
      <w:t xml:space="preserve">  111018  12</w:t>
    </w:r>
    <w:r>
      <w:rPr>
        <w:lang w:val="en-US"/>
      </w:rPr>
      <w:t>1018</w:t>
    </w:r>
    <w:r>
      <w:br/>
    </w:r>
    <w:r w:rsidRPr="00C70BF9">
      <w:rPr>
        <w:rFonts w:ascii="C39T30Lfz" w:hAnsi="C39T30Lfz"/>
        <w:kern w:val="14"/>
        <w:sz w:val="56"/>
      </w:rPr>
      <w:t></w:t>
    </w:r>
    <w:r w:rsidRPr="00C70BF9">
      <w:rPr>
        <w:rFonts w:ascii="C39T30Lfz" w:hAnsi="C39T30Lfz"/>
        <w:kern w:val="14"/>
        <w:sz w:val="56"/>
      </w:rPr>
      <w:t></w:t>
    </w:r>
    <w:r w:rsidRPr="00C70BF9">
      <w:rPr>
        <w:rFonts w:ascii="C39T30Lfz" w:hAnsi="C39T30Lfz"/>
        <w:kern w:val="14"/>
        <w:sz w:val="56"/>
      </w:rPr>
      <w:t></w:t>
    </w:r>
    <w:r w:rsidRPr="00C70BF9">
      <w:rPr>
        <w:rFonts w:ascii="C39T30Lfz" w:hAnsi="C39T30Lfz"/>
        <w:kern w:val="14"/>
        <w:sz w:val="56"/>
      </w:rPr>
      <w:t></w:t>
    </w:r>
    <w:r w:rsidRPr="00C70BF9">
      <w:rPr>
        <w:rFonts w:ascii="C39T30Lfz" w:hAnsi="C39T30Lfz"/>
        <w:kern w:val="14"/>
        <w:sz w:val="56"/>
      </w:rPr>
      <w:t></w:t>
    </w:r>
    <w:r w:rsidRPr="00C70BF9">
      <w:rPr>
        <w:rFonts w:ascii="C39T30Lfz" w:hAnsi="C39T30Lfz"/>
        <w:kern w:val="14"/>
        <w:sz w:val="56"/>
      </w:rPr>
      <w:t></w:t>
    </w:r>
    <w:r w:rsidRPr="00C70BF9">
      <w:rPr>
        <w:rFonts w:ascii="C39T30Lfz" w:hAnsi="C39T30Lfz"/>
        <w:kern w:val="14"/>
        <w:sz w:val="56"/>
      </w:rPr>
      <w:t></w:t>
    </w:r>
    <w:r w:rsidRPr="00C70BF9">
      <w:rPr>
        <w:rFonts w:ascii="C39T30Lfz" w:hAnsi="C39T30Lfz"/>
        <w:kern w:val="14"/>
        <w:sz w:val="56"/>
      </w:rPr>
      <w:t></w:t>
    </w:r>
    <w:r w:rsidRPr="00C70BF9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ADN/45/Corr.1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ADN/45/Corr.1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3385" w:rsidRPr="001075E9" w:rsidRDefault="00993385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993385" w:rsidRDefault="00993385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C70BF9" w:rsidRPr="00421B35" w:rsidRDefault="00C70BF9" w:rsidP="00C70BF9">
      <w:pPr>
        <w:pStyle w:val="FootnoteText"/>
      </w:pPr>
      <w:r>
        <w:tab/>
      </w:r>
      <w:r w:rsidRPr="00AB57BD">
        <w:rPr>
          <w:szCs w:val="18"/>
        </w:rPr>
        <w:t>*</w:t>
      </w:r>
      <w:r>
        <w:tab/>
        <w:t>Распространено на немецком языке Центральной комиссией судоходства по Рейну в качестве документа CCNR-ZKR/ADN/45/Corr.1.</w:t>
      </w:r>
    </w:p>
  </w:footnote>
  <w:footnote w:id="2">
    <w:p w:rsidR="00C70BF9" w:rsidRPr="00421B35" w:rsidRDefault="00C70BF9" w:rsidP="00C70BF9">
      <w:pPr>
        <w:pStyle w:val="FootnoteText"/>
        <w:rPr>
          <w:i/>
          <w:lang w:val="en-US"/>
        </w:rPr>
      </w:pPr>
      <w:r>
        <w:tab/>
      </w:r>
      <w:r w:rsidRPr="00C70BF9">
        <w:rPr>
          <w:vertAlign w:val="superscript"/>
          <w:lang w:val="en-US"/>
        </w:rPr>
        <w:t>2</w:t>
      </w:r>
      <w:r w:rsidRPr="00421B35">
        <w:rPr>
          <w:lang w:val="en-US"/>
        </w:rPr>
        <w:t xml:space="preserve"> </w:t>
      </w:r>
      <w:r w:rsidRPr="00421B35">
        <w:rPr>
          <w:lang w:val="en-US"/>
        </w:rPr>
        <w:tab/>
      </w:r>
      <w:r w:rsidRPr="00421B35">
        <w:rPr>
          <w:i/>
          <w:iCs/>
          <w:lang w:val="en-US"/>
        </w:rPr>
        <w:t xml:space="preserve">Official Journal of the European Union No. L 96 of 29 March 2014, </w:t>
      </w:r>
      <w:r>
        <w:rPr>
          <w:i/>
          <w:iCs/>
        </w:rPr>
        <w:t>р</w:t>
      </w:r>
      <w:r w:rsidRPr="00421B35">
        <w:rPr>
          <w:i/>
          <w:iCs/>
          <w:lang w:val="en-US"/>
        </w:rPr>
        <w:t>. 309.</w:t>
      </w:r>
    </w:p>
  </w:footnote>
  <w:footnote w:id="3">
    <w:p w:rsidR="00C70BF9" w:rsidRPr="00421B35" w:rsidRDefault="00C70BF9" w:rsidP="00C70BF9">
      <w:pPr>
        <w:pStyle w:val="FootnoteText"/>
        <w:rPr>
          <w:i/>
          <w:lang w:val="en-US"/>
        </w:rPr>
      </w:pPr>
      <w:r w:rsidRPr="00421B35">
        <w:rPr>
          <w:lang w:val="en-US"/>
        </w:rPr>
        <w:tab/>
      </w:r>
      <w:r w:rsidRPr="00C70BF9">
        <w:rPr>
          <w:vertAlign w:val="superscript"/>
          <w:lang w:val="en-US"/>
        </w:rPr>
        <w:t>5</w:t>
      </w:r>
      <w:r>
        <w:rPr>
          <w:lang w:val="en-US"/>
        </w:rPr>
        <w:tab/>
      </w:r>
      <w:hyperlink r:id="rId1" w:history="1">
        <w:r w:rsidRPr="004A69F1">
          <w:rPr>
            <w:rStyle w:val="Hyperlink"/>
            <w:i/>
            <w:lang w:val="en-US"/>
          </w:rPr>
          <w:t>http://iecex.com/rules</w:t>
        </w:r>
      </w:hyperlink>
      <w:r w:rsidRPr="00421B35">
        <w:rPr>
          <w:i/>
          <w:iCs/>
          <w:lang w:val="en-U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0BF9" w:rsidRPr="00C70BF9" w:rsidRDefault="008E7B59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7513B3">
      <w:t>ECE/ADN/45/Corr.1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0BF9" w:rsidRPr="00C70BF9" w:rsidRDefault="008E7B59" w:rsidP="00C70BF9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7513B3">
      <w:t>ECE/ADN/45/Corr.1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CD2FA4"/>
    <w:multiLevelType w:val="hybridMultilevel"/>
    <w:tmpl w:val="B1361968"/>
    <w:lvl w:ilvl="0" w:tplc="80442CEC">
      <w:start w:val="1"/>
      <w:numFmt w:val="bullet"/>
      <w:lvlText w:val="•"/>
      <w:lvlJc w:val="left"/>
      <w:pPr>
        <w:ind w:left="4613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8090003" w:tentative="1">
      <w:start w:val="1"/>
      <w:numFmt w:val="bullet"/>
      <w:lvlText w:val="o"/>
      <w:lvlJc w:val="left"/>
      <w:pPr>
        <w:ind w:left="5333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60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7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4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2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9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6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373" w:hanging="360"/>
      </w:pPr>
      <w:rPr>
        <w:rFonts w:ascii="Wingdings" w:hAnsi="Wingdings" w:hint="default"/>
      </w:rPr>
    </w:lvl>
  </w:abstractNum>
  <w:abstractNum w:abstractNumId="11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2"/>
  </w:num>
  <w:num w:numId="3">
    <w:abstractNumId w:val="11"/>
  </w:num>
  <w:num w:numId="4">
    <w:abstractNumId w:val="18"/>
  </w:num>
  <w:num w:numId="5">
    <w:abstractNumId w:val="1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3"/>
  </w:num>
  <w:num w:numId="18">
    <w:abstractNumId w:val="15"/>
  </w:num>
  <w:num w:numId="19">
    <w:abstractNumId w:val="16"/>
  </w:num>
  <w:num w:numId="20">
    <w:abstractNumId w:val="13"/>
  </w:num>
  <w:num w:numId="21">
    <w:abstractNumId w:val="15"/>
  </w:num>
  <w:num w:numId="22">
    <w:abstractNumId w:val="10"/>
    <w:lvlOverride w:ilvl="0">
      <w:lvl w:ilvl="0" w:tplc="80442CEC">
        <w:start w:val="1"/>
        <w:numFmt w:val="bullet"/>
        <w:lvlText w:val="•"/>
        <w:lvlJc w:val="left"/>
        <w:pPr>
          <w:ind w:left="4613" w:hanging="360"/>
        </w:pPr>
        <w:rPr>
          <w:rFonts w:ascii="Times New Roman" w:hAnsi="Times New Roman" w:cs="Times New Roman" w:hint="default"/>
          <w:b w:val="0"/>
          <w:i w:val="0"/>
          <w:sz w:val="20"/>
        </w:rPr>
      </w:lvl>
    </w:lvlOverride>
  </w:num>
  <w:num w:numId="23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385"/>
    <w:rsid w:val="00033EE1"/>
    <w:rsid w:val="00042B72"/>
    <w:rsid w:val="000558BD"/>
    <w:rsid w:val="00082C26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1D5D82"/>
    <w:rsid w:val="00255343"/>
    <w:rsid w:val="00257991"/>
    <w:rsid w:val="0027151D"/>
    <w:rsid w:val="00273D3C"/>
    <w:rsid w:val="00283640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207"/>
    <w:rsid w:val="00317339"/>
    <w:rsid w:val="00322004"/>
    <w:rsid w:val="00334B68"/>
    <w:rsid w:val="003402C2"/>
    <w:rsid w:val="00381C24"/>
    <w:rsid w:val="00387CD4"/>
    <w:rsid w:val="003958D0"/>
    <w:rsid w:val="003A0D43"/>
    <w:rsid w:val="003A48CE"/>
    <w:rsid w:val="003B00E5"/>
    <w:rsid w:val="00407B78"/>
    <w:rsid w:val="00415816"/>
    <w:rsid w:val="00424203"/>
    <w:rsid w:val="00452493"/>
    <w:rsid w:val="00453318"/>
    <w:rsid w:val="00454AF2"/>
    <w:rsid w:val="00454E07"/>
    <w:rsid w:val="00462888"/>
    <w:rsid w:val="00472C5C"/>
    <w:rsid w:val="00483821"/>
    <w:rsid w:val="004A69F1"/>
    <w:rsid w:val="004B27D9"/>
    <w:rsid w:val="004E05B7"/>
    <w:rsid w:val="0050108D"/>
    <w:rsid w:val="00513081"/>
    <w:rsid w:val="00517901"/>
    <w:rsid w:val="00526683"/>
    <w:rsid w:val="005615ED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2371A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13B3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E7B59"/>
    <w:rsid w:val="008F7609"/>
    <w:rsid w:val="00906890"/>
    <w:rsid w:val="00911BE4"/>
    <w:rsid w:val="00951972"/>
    <w:rsid w:val="009608F3"/>
    <w:rsid w:val="00984A01"/>
    <w:rsid w:val="00993385"/>
    <w:rsid w:val="009A24AC"/>
    <w:rsid w:val="009C59D7"/>
    <w:rsid w:val="009C6FE6"/>
    <w:rsid w:val="009D7E7D"/>
    <w:rsid w:val="00A14DA8"/>
    <w:rsid w:val="00A17EE3"/>
    <w:rsid w:val="00A312BC"/>
    <w:rsid w:val="00A84021"/>
    <w:rsid w:val="00A84D35"/>
    <w:rsid w:val="00A917B3"/>
    <w:rsid w:val="00AB4B51"/>
    <w:rsid w:val="00AB57BD"/>
    <w:rsid w:val="00AE0A72"/>
    <w:rsid w:val="00B10CC7"/>
    <w:rsid w:val="00B31A2F"/>
    <w:rsid w:val="00B36DF7"/>
    <w:rsid w:val="00B539E7"/>
    <w:rsid w:val="00B62458"/>
    <w:rsid w:val="00B7137E"/>
    <w:rsid w:val="00BC18B2"/>
    <w:rsid w:val="00BD33EE"/>
    <w:rsid w:val="00BE1CC7"/>
    <w:rsid w:val="00C106D6"/>
    <w:rsid w:val="00C119AE"/>
    <w:rsid w:val="00C35534"/>
    <w:rsid w:val="00C60F0C"/>
    <w:rsid w:val="00C64C9E"/>
    <w:rsid w:val="00C70BF9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D78D1"/>
    <w:rsid w:val="00DE047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B3823F84-75F0-4509-9F82-A50E8ACA4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C59D7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617A4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617A43"/>
    <w:pPr>
      <w:numPr>
        <w:numId w:val="21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99"/>
    <w:rsid w:val="00984A01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R,5_G"/>
    <w:basedOn w:val="Normal"/>
    <w:link w:val="FootnoteTextChar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R Char,5_G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R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617A43"/>
    <w:rPr>
      <w:color w:val="800080" w:themeColor="followedHyperlink"/>
      <w:u w:val="none"/>
    </w:rPr>
  </w:style>
  <w:style w:type="paragraph" w:customStyle="1" w:styleId="HChG">
    <w:name w:val="_ H _Ch_G"/>
    <w:basedOn w:val="Normal"/>
    <w:next w:val="Normal"/>
    <w:link w:val="HChGChar"/>
    <w:rsid w:val="00C70BF9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val="fr-CH"/>
    </w:rPr>
  </w:style>
  <w:style w:type="paragraph" w:customStyle="1" w:styleId="H1G">
    <w:name w:val="_ H_1_G"/>
    <w:basedOn w:val="Normal"/>
    <w:next w:val="Normal"/>
    <w:link w:val="H1GChar"/>
    <w:rsid w:val="00C70BF9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val="fr-CH"/>
    </w:rPr>
  </w:style>
  <w:style w:type="paragraph" w:customStyle="1" w:styleId="H23G">
    <w:name w:val="_ H_2/3_G"/>
    <w:basedOn w:val="Normal"/>
    <w:next w:val="Normal"/>
    <w:link w:val="H23GChar"/>
    <w:qFormat/>
    <w:rsid w:val="00C70B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val="fr-CH"/>
    </w:rPr>
  </w:style>
  <w:style w:type="paragraph" w:customStyle="1" w:styleId="SingleTxtG">
    <w:name w:val="_ Single Txt_G"/>
    <w:basedOn w:val="Normal"/>
    <w:link w:val="SingleTxtGChar"/>
    <w:qFormat/>
    <w:rsid w:val="00C70BF9"/>
    <w:pPr>
      <w:spacing w:after="120"/>
      <w:ind w:left="1134" w:right="1134"/>
      <w:jc w:val="both"/>
    </w:pPr>
    <w:rPr>
      <w:rFonts w:eastAsia="Times New Roman" w:cs="Times New Roman"/>
      <w:szCs w:val="20"/>
      <w:lang w:val="fr-CH"/>
    </w:rPr>
  </w:style>
  <w:style w:type="character" w:customStyle="1" w:styleId="H1GChar">
    <w:name w:val="_ H_1_G Char"/>
    <w:link w:val="H1G"/>
    <w:rsid w:val="00C70BF9"/>
    <w:rPr>
      <w:b/>
      <w:sz w:val="24"/>
      <w:lang w:val="fr-CH" w:eastAsia="en-US"/>
    </w:rPr>
  </w:style>
  <w:style w:type="character" w:customStyle="1" w:styleId="SingleTxtGChar">
    <w:name w:val="_ Single Txt_G Char"/>
    <w:link w:val="SingleTxtG"/>
    <w:qFormat/>
    <w:locked/>
    <w:rsid w:val="00C70BF9"/>
    <w:rPr>
      <w:lang w:val="fr-CH" w:eastAsia="en-US"/>
    </w:rPr>
  </w:style>
  <w:style w:type="character" w:customStyle="1" w:styleId="H23GChar">
    <w:name w:val="_ H_2/3_G Char"/>
    <w:link w:val="H23G"/>
    <w:rsid w:val="00C70BF9"/>
    <w:rPr>
      <w:b/>
      <w:lang w:val="fr-CH" w:eastAsia="en-US"/>
    </w:rPr>
  </w:style>
  <w:style w:type="character" w:customStyle="1" w:styleId="HChGChar">
    <w:name w:val="_ H _Ch_G Char"/>
    <w:link w:val="HChG"/>
    <w:rsid w:val="00C70BF9"/>
    <w:rPr>
      <w:b/>
      <w:sz w:val="28"/>
      <w:lang w:val="fr-CH" w:eastAsia="en-US"/>
    </w:rPr>
  </w:style>
  <w:style w:type="paragraph" w:styleId="ListParagraph">
    <w:name w:val="List Paragraph"/>
    <w:basedOn w:val="Normal"/>
    <w:uiPriority w:val="34"/>
    <w:qFormat/>
    <w:rsid w:val="00C70BF9"/>
    <w:pPr>
      <w:ind w:left="720"/>
      <w:contextualSpacing/>
    </w:pPr>
    <w:rPr>
      <w:rFonts w:eastAsia="Times New Roman" w:cs="Times New Roman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iecex.com/rul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1601</Words>
  <Characters>9126</Characters>
  <Application>Microsoft Office Word</Application>
  <DocSecurity>0</DocSecurity>
  <Lines>76</Lines>
  <Paragraphs>21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ECE/ADN/45/Corr.1</vt:lpstr>
      <vt:lpstr>ECE/ADN/45/Corr.1</vt:lpstr>
      <vt:lpstr>A/</vt:lpstr>
    </vt:vector>
  </TitlesOfParts>
  <Company>DCM</Company>
  <LinksUpToDate>false</LinksUpToDate>
  <CharactersWithSpaces>10706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ECE/ADN/45/Corr.1</dc:title>
  <dc:subject/>
  <dc:creator>Tatiana SHARKINA</dc:creator>
  <cp:keywords/>
  <cp:lastModifiedBy>Secretariat</cp:lastModifiedBy>
  <cp:revision>2</cp:revision>
  <cp:lastPrinted>2018-10-12T06:45:00Z</cp:lastPrinted>
  <dcterms:created xsi:type="dcterms:W3CDTF">2018-10-23T07:52:00Z</dcterms:created>
  <dcterms:modified xsi:type="dcterms:W3CDTF">2018-10-23T07:52:00Z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