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B0C85" w:rsidRPr="00AC0D47" w:rsidTr="00D751D5">
        <w:trPr>
          <w:cantSplit/>
          <w:trHeight w:hRule="exact" w:val="851"/>
        </w:trPr>
        <w:tc>
          <w:tcPr>
            <w:tcW w:w="1276" w:type="dxa"/>
            <w:tcBorders>
              <w:bottom w:val="single" w:sz="4" w:space="0" w:color="auto"/>
            </w:tcBorders>
            <w:shd w:val="clear" w:color="auto" w:fill="auto"/>
            <w:vAlign w:val="bottom"/>
          </w:tcPr>
          <w:p w:rsidR="002B0C85" w:rsidRPr="00AC0D47" w:rsidRDefault="002B0C85" w:rsidP="002B0C85">
            <w:pPr>
              <w:spacing w:after="80"/>
            </w:pPr>
          </w:p>
        </w:tc>
        <w:tc>
          <w:tcPr>
            <w:tcW w:w="2268" w:type="dxa"/>
            <w:tcBorders>
              <w:bottom w:val="single" w:sz="4" w:space="0" w:color="auto"/>
            </w:tcBorders>
            <w:shd w:val="clear" w:color="auto" w:fill="auto"/>
            <w:vAlign w:val="bottom"/>
          </w:tcPr>
          <w:p w:rsidR="002B0C85" w:rsidRPr="00AC0D47" w:rsidRDefault="002B0C85" w:rsidP="002B0C85">
            <w:pPr>
              <w:spacing w:after="80" w:line="300" w:lineRule="exact"/>
              <w:rPr>
                <w:b/>
                <w:sz w:val="24"/>
                <w:szCs w:val="24"/>
              </w:rPr>
            </w:pPr>
            <w:r w:rsidRPr="00AC0D47">
              <w:rPr>
                <w:sz w:val="28"/>
                <w:szCs w:val="28"/>
              </w:rPr>
              <w:t>United Nations</w:t>
            </w:r>
          </w:p>
        </w:tc>
        <w:tc>
          <w:tcPr>
            <w:tcW w:w="6095" w:type="dxa"/>
            <w:gridSpan w:val="2"/>
            <w:tcBorders>
              <w:bottom w:val="single" w:sz="4" w:space="0" w:color="auto"/>
            </w:tcBorders>
            <w:shd w:val="clear" w:color="auto" w:fill="auto"/>
            <w:vAlign w:val="bottom"/>
          </w:tcPr>
          <w:p w:rsidR="002B0C85" w:rsidRPr="00AC0D47" w:rsidRDefault="002B0C85" w:rsidP="00171DAC">
            <w:pPr>
              <w:suppressAutoHyphens w:val="0"/>
              <w:spacing w:after="20"/>
              <w:jc w:val="right"/>
            </w:pPr>
            <w:bookmarkStart w:id="0" w:name="_Hlk516735518"/>
            <w:r w:rsidRPr="00AC0D47">
              <w:rPr>
                <w:sz w:val="40"/>
              </w:rPr>
              <w:t>ECE</w:t>
            </w:r>
            <w:r w:rsidR="00C17E19">
              <w:t>/</w:t>
            </w:r>
            <w:r w:rsidR="007B4DDE">
              <w:t>ADN/45/Add.1</w:t>
            </w:r>
            <w:bookmarkEnd w:id="0"/>
          </w:p>
        </w:tc>
      </w:tr>
      <w:tr w:rsidR="002B0C85" w:rsidRPr="007B7B86" w:rsidTr="00D751D5">
        <w:trPr>
          <w:cantSplit/>
          <w:trHeight w:hRule="exact" w:val="2835"/>
        </w:trPr>
        <w:tc>
          <w:tcPr>
            <w:tcW w:w="1276" w:type="dxa"/>
            <w:tcBorders>
              <w:top w:val="single" w:sz="4" w:space="0" w:color="auto"/>
              <w:bottom w:val="single" w:sz="12" w:space="0" w:color="auto"/>
            </w:tcBorders>
            <w:shd w:val="clear" w:color="auto" w:fill="auto"/>
          </w:tcPr>
          <w:p w:rsidR="002B0C85" w:rsidRPr="00AC0D47" w:rsidRDefault="00AB3EF4" w:rsidP="002B0C85">
            <w:pPr>
              <w:spacing w:before="120"/>
            </w:pPr>
            <w:r>
              <w:rPr>
                <w:noProof/>
                <w:lang w:val="en-US"/>
              </w:rPr>
              <w:drawing>
                <wp:inline distT="0" distB="0" distL="0" distR="0">
                  <wp:extent cx="716280" cy="593725"/>
                  <wp:effectExtent l="0" t="0" r="762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2B0C85" w:rsidRPr="00AC0D47" w:rsidRDefault="002B0C85" w:rsidP="002B0C85">
            <w:pPr>
              <w:spacing w:before="120" w:line="420" w:lineRule="exact"/>
              <w:rPr>
                <w:sz w:val="40"/>
                <w:szCs w:val="40"/>
              </w:rPr>
            </w:pPr>
            <w:proofErr w:type="spellStart"/>
            <w:r w:rsidRPr="00AC0D47">
              <w:rPr>
                <w:b/>
                <w:sz w:val="40"/>
                <w:szCs w:val="40"/>
              </w:rPr>
              <w:t>Economic</w:t>
            </w:r>
            <w:proofErr w:type="spellEnd"/>
            <w:r w:rsidRPr="00AC0D47">
              <w:rPr>
                <w:b/>
                <w:sz w:val="40"/>
                <w:szCs w:val="40"/>
              </w:rPr>
              <w:t xml:space="preserve"> and Social Council</w:t>
            </w:r>
          </w:p>
        </w:tc>
        <w:tc>
          <w:tcPr>
            <w:tcW w:w="2835" w:type="dxa"/>
            <w:tcBorders>
              <w:top w:val="single" w:sz="4" w:space="0" w:color="auto"/>
              <w:bottom w:val="single" w:sz="12" w:space="0" w:color="auto"/>
            </w:tcBorders>
            <w:shd w:val="clear" w:color="auto" w:fill="auto"/>
          </w:tcPr>
          <w:p w:rsidR="002B0C85" w:rsidRPr="00C17E19" w:rsidRDefault="002B0C85" w:rsidP="002B0C85">
            <w:pPr>
              <w:suppressAutoHyphens w:val="0"/>
              <w:spacing w:before="240" w:line="240" w:lineRule="exact"/>
              <w:rPr>
                <w:lang w:val="en-GB"/>
              </w:rPr>
            </w:pPr>
            <w:r w:rsidRPr="00C17E19">
              <w:rPr>
                <w:lang w:val="en-GB"/>
              </w:rPr>
              <w:t>Distr.: General</w:t>
            </w:r>
          </w:p>
          <w:p w:rsidR="002B0C85" w:rsidRPr="00C17E19" w:rsidRDefault="007B4DDE" w:rsidP="002B0C85">
            <w:pPr>
              <w:suppressAutoHyphens w:val="0"/>
              <w:rPr>
                <w:lang w:val="en-GB"/>
              </w:rPr>
            </w:pPr>
            <w:r>
              <w:rPr>
                <w:lang w:val="en-GB"/>
              </w:rPr>
              <w:t>29</w:t>
            </w:r>
            <w:r w:rsidRPr="00B842E5">
              <w:rPr>
                <w:lang w:val="en-GB"/>
              </w:rPr>
              <w:t xml:space="preserve"> </w:t>
            </w:r>
            <w:r>
              <w:rPr>
                <w:lang w:val="en-GB"/>
              </w:rPr>
              <w:t>August</w:t>
            </w:r>
            <w:r w:rsidRPr="00B842E5">
              <w:rPr>
                <w:lang w:val="en-GB"/>
              </w:rPr>
              <w:t xml:space="preserve"> </w:t>
            </w:r>
            <w:r w:rsidR="002B0C85" w:rsidRPr="00B842E5">
              <w:rPr>
                <w:lang w:val="en-GB"/>
              </w:rPr>
              <w:t>201</w:t>
            </w:r>
            <w:r w:rsidR="00673687" w:rsidRPr="00B842E5">
              <w:rPr>
                <w:lang w:val="en-GB"/>
              </w:rPr>
              <w:t>8</w:t>
            </w:r>
          </w:p>
          <w:p w:rsidR="002B0C85" w:rsidRPr="00C17E19" w:rsidRDefault="002B0C85" w:rsidP="002B0C85">
            <w:pPr>
              <w:suppressAutoHyphens w:val="0"/>
              <w:rPr>
                <w:lang w:val="en-GB"/>
              </w:rPr>
            </w:pPr>
            <w:r w:rsidRPr="00C17E19">
              <w:rPr>
                <w:lang w:val="en-GB"/>
              </w:rPr>
              <w:t>English</w:t>
            </w:r>
          </w:p>
          <w:p w:rsidR="002B0C85" w:rsidRPr="00C17E19" w:rsidRDefault="002B0C85" w:rsidP="002B0C85">
            <w:pPr>
              <w:suppressAutoHyphens w:val="0"/>
              <w:rPr>
                <w:lang w:val="en-GB"/>
              </w:rPr>
            </w:pPr>
            <w:r w:rsidRPr="00C17E19">
              <w:rPr>
                <w:lang w:val="en-GB"/>
              </w:rPr>
              <w:t>Original: English and French</w:t>
            </w:r>
          </w:p>
        </w:tc>
      </w:tr>
    </w:tbl>
    <w:p w:rsidR="002B0C85" w:rsidRPr="002B0C85" w:rsidRDefault="002B0C85" w:rsidP="002B0C85">
      <w:pPr>
        <w:spacing w:before="120"/>
        <w:rPr>
          <w:b/>
          <w:sz w:val="28"/>
          <w:szCs w:val="28"/>
          <w:lang w:val="en-GB"/>
        </w:rPr>
      </w:pPr>
      <w:r w:rsidRPr="002B0C85">
        <w:rPr>
          <w:b/>
          <w:sz w:val="28"/>
          <w:szCs w:val="28"/>
          <w:lang w:val="en-GB"/>
        </w:rPr>
        <w:t>Economic Commission for Europe</w:t>
      </w:r>
    </w:p>
    <w:p w:rsidR="007B4DDE" w:rsidRPr="007B7B86" w:rsidRDefault="007B4DDE" w:rsidP="007B4DDE">
      <w:pPr>
        <w:spacing w:before="120"/>
        <w:rPr>
          <w:b/>
          <w:bCs/>
          <w:lang w:val="en-GB"/>
        </w:rPr>
      </w:pPr>
      <w:r w:rsidRPr="007B7B86">
        <w:rPr>
          <w:b/>
          <w:bCs/>
          <w:lang w:val="en-GB"/>
        </w:rPr>
        <w:t xml:space="preserve">Administrative Committee of the European Agreement </w:t>
      </w:r>
      <w:r w:rsidRPr="007B7B86">
        <w:rPr>
          <w:b/>
          <w:bCs/>
          <w:lang w:val="en-GB"/>
        </w:rPr>
        <w:br/>
        <w:t>Concerning the International Carriage of Dangerous</w:t>
      </w:r>
      <w:r w:rsidRPr="007B7B86">
        <w:rPr>
          <w:b/>
          <w:bCs/>
          <w:lang w:val="en-GB"/>
        </w:rPr>
        <w:br/>
        <w:t>Goods by Inland Waterways (ADN)</w:t>
      </w:r>
    </w:p>
    <w:p w:rsidR="007B4DDE" w:rsidRPr="007B7B86" w:rsidRDefault="007B4DDE" w:rsidP="007B4DDE">
      <w:pPr>
        <w:pStyle w:val="HChG"/>
        <w:jc w:val="both"/>
        <w:rPr>
          <w:lang w:val="en-GB"/>
        </w:rPr>
      </w:pPr>
      <w:r w:rsidRPr="007B7B86">
        <w:rPr>
          <w:lang w:val="en-GB"/>
        </w:rPr>
        <w:tab/>
      </w:r>
      <w:r w:rsidRPr="007B7B86">
        <w:rPr>
          <w:lang w:val="en-GB"/>
        </w:rPr>
        <w:tab/>
        <w:t xml:space="preserve">European Agreement concerning the International Carriage of Dangerous Goods by Inland Waterways </w:t>
      </w:r>
      <w:r w:rsidRPr="00D86818">
        <w:rPr>
          <w:bCs/>
          <w:lang w:val="en-US"/>
        </w:rPr>
        <w:t>(ADN)</w:t>
      </w:r>
    </w:p>
    <w:p w:rsidR="007B4DDE" w:rsidRPr="007B7B86" w:rsidRDefault="007B4DDE" w:rsidP="007B4DDE">
      <w:pPr>
        <w:pStyle w:val="HChG"/>
        <w:jc w:val="both"/>
        <w:rPr>
          <w:lang w:val="en-GB"/>
        </w:rPr>
      </w:pPr>
      <w:r w:rsidRPr="007B7B86">
        <w:rPr>
          <w:lang w:val="en-GB"/>
        </w:rPr>
        <w:tab/>
      </w:r>
      <w:r w:rsidRPr="007B7B86">
        <w:rPr>
          <w:lang w:val="en-GB"/>
        </w:rPr>
        <w:tab/>
        <w:t>Draft amendments to the Regulations annexed to ADN</w:t>
      </w:r>
      <w:r w:rsidRPr="007B7B86">
        <w:rPr>
          <w:rStyle w:val="FootnoteReference"/>
          <w:sz w:val="22"/>
          <w:szCs w:val="22"/>
          <w:lang w:val="en-GB"/>
        </w:rPr>
        <w:footnoteReference w:customMarkFollows="1" w:id="2"/>
        <w:t>*</w:t>
      </w:r>
    </w:p>
    <w:p w:rsidR="007B4DDE" w:rsidRPr="007B7B86" w:rsidRDefault="007B4DDE" w:rsidP="007B4DDE">
      <w:pPr>
        <w:pStyle w:val="H23G"/>
        <w:rPr>
          <w:lang w:val="en-GB"/>
        </w:rPr>
      </w:pPr>
      <w:r w:rsidRPr="007B7B86">
        <w:rPr>
          <w:lang w:val="en-GB"/>
        </w:rPr>
        <w:tab/>
      </w:r>
      <w:r w:rsidRPr="007B7B86">
        <w:rPr>
          <w:lang w:val="en-GB"/>
        </w:rPr>
        <w:tab/>
        <w:t>Addendum</w:t>
      </w:r>
    </w:p>
    <w:p w:rsidR="003C302E" w:rsidRPr="003C302E" w:rsidRDefault="003C302E" w:rsidP="000E4758">
      <w:pPr>
        <w:pStyle w:val="HChG"/>
        <w:rPr>
          <w:lang w:val="en-GB"/>
        </w:rPr>
      </w:pPr>
      <w:r w:rsidRPr="007B7B86">
        <w:rPr>
          <w:lang w:val="en-GB"/>
        </w:rPr>
        <w:tab/>
      </w:r>
      <w:r w:rsidRPr="007B7B86">
        <w:rPr>
          <w:lang w:val="en-GB"/>
        </w:rPr>
        <w:tab/>
      </w:r>
      <w:r w:rsidRPr="003C302E">
        <w:rPr>
          <w:lang w:val="en-GB"/>
        </w:rPr>
        <w:t>Chapter 1.2</w:t>
      </w:r>
    </w:p>
    <w:p w:rsidR="003C302E" w:rsidRPr="003C302E" w:rsidRDefault="003C302E" w:rsidP="003C302E">
      <w:pPr>
        <w:pStyle w:val="SingleTxtG"/>
        <w:rPr>
          <w:lang w:val="en-GB"/>
        </w:rPr>
      </w:pPr>
      <w:r w:rsidRPr="003C302E">
        <w:rPr>
          <w:lang w:val="en-GB"/>
        </w:rPr>
        <w:t>1.2.1</w:t>
      </w:r>
      <w:r w:rsidRPr="003C302E">
        <w:rPr>
          <w:lang w:val="en-GB"/>
        </w:rPr>
        <w:tab/>
        <w:t>Add the following definition:</w:t>
      </w:r>
    </w:p>
    <w:p w:rsidR="003C302E" w:rsidRPr="003C302E" w:rsidRDefault="003C302E" w:rsidP="003C302E">
      <w:pPr>
        <w:pStyle w:val="SingleTxtG"/>
        <w:rPr>
          <w:lang w:val="en-GB"/>
        </w:rPr>
      </w:pPr>
      <w:r w:rsidRPr="003C302E">
        <w:rPr>
          <w:i/>
          <w:lang w:val="en-GB"/>
        </w:rPr>
        <w:t xml:space="preserve">"UN Regulation </w:t>
      </w:r>
      <w:r w:rsidRPr="003C302E">
        <w:rPr>
          <w:lang w:val="en-GB"/>
        </w:rPr>
        <w:t xml:space="preserve">means a regulation annexed to the Agreement concerning the adoption of uniform technical prescriptions for wheeled vehicles equipment and parts which can be fitted and or used on wheeled vehicles and the conditions for reciprocal recognition of approvals granted </w:t>
      </w:r>
      <w:proofErr w:type="gramStart"/>
      <w:r w:rsidRPr="003C302E">
        <w:rPr>
          <w:lang w:val="en-GB"/>
        </w:rPr>
        <w:t>on the basis of</w:t>
      </w:r>
      <w:proofErr w:type="gramEnd"/>
      <w:r w:rsidRPr="003C302E">
        <w:rPr>
          <w:lang w:val="en-GB"/>
        </w:rPr>
        <w:t xml:space="preserve"> these prescriptions (1958 Agreement, as amended);</w:t>
      </w:r>
      <w:r w:rsidR="000E4758">
        <w:rPr>
          <w:lang w:val="en-GB"/>
        </w:rPr>
        <w:t>"</w:t>
      </w:r>
      <w:r w:rsidRPr="003C302E">
        <w:rPr>
          <w:lang w:val="en-GB"/>
        </w:rPr>
        <w:t>.</w:t>
      </w:r>
    </w:p>
    <w:p w:rsidR="003C302E" w:rsidRPr="003C302E" w:rsidRDefault="003C302E" w:rsidP="000E4758">
      <w:pPr>
        <w:pStyle w:val="HChG"/>
        <w:rPr>
          <w:lang w:val="en-GB"/>
        </w:rPr>
      </w:pPr>
      <w:r w:rsidRPr="00042773">
        <w:rPr>
          <w:lang w:val="en-GB"/>
        </w:rPr>
        <w:tab/>
      </w:r>
      <w:r w:rsidRPr="00042773">
        <w:rPr>
          <w:lang w:val="en-GB"/>
        </w:rPr>
        <w:tab/>
      </w:r>
      <w:bookmarkStart w:id="1" w:name="_Toc499903683"/>
      <w:r w:rsidRPr="003C302E">
        <w:rPr>
          <w:lang w:val="en-GB"/>
        </w:rPr>
        <w:t>Chapter 1.6</w:t>
      </w:r>
      <w:bookmarkEnd w:id="1"/>
    </w:p>
    <w:p w:rsidR="003C302E" w:rsidRPr="003C302E" w:rsidRDefault="003C302E" w:rsidP="003C302E">
      <w:pPr>
        <w:pStyle w:val="SingleTxtG"/>
        <w:rPr>
          <w:lang w:val="en-GB"/>
        </w:rPr>
      </w:pPr>
      <w:r w:rsidRPr="003C302E">
        <w:rPr>
          <w:lang w:val="en-GB"/>
        </w:rPr>
        <w:t>1.6.1</w:t>
      </w:r>
      <w:r w:rsidRPr="003C302E">
        <w:rPr>
          <w:lang w:val="en-GB"/>
        </w:rPr>
        <w:tab/>
        <w:t>Add the following transitional provision:</w:t>
      </w:r>
    </w:p>
    <w:p w:rsidR="003C302E" w:rsidRPr="003C302E" w:rsidRDefault="003C302E" w:rsidP="003C302E">
      <w:pPr>
        <w:pStyle w:val="SingleTxtG"/>
        <w:rPr>
          <w:lang w:val="en-GB"/>
        </w:rPr>
      </w:pPr>
      <w:r w:rsidRPr="003C302E">
        <w:rPr>
          <w:lang w:val="en-GB"/>
        </w:rPr>
        <w:t>"1.6.1.47</w:t>
      </w:r>
      <w:r w:rsidRPr="003C302E">
        <w:rPr>
          <w:lang w:val="en-GB"/>
        </w:rPr>
        <w:tab/>
        <w:t>Lithium cells and batteries not meeting the requirements of 2.2.9.1.7 (g) may continue to be carried until 31 December 2019."</w:t>
      </w:r>
    </w:p>
    <w:p w:rsidR="003C302E" w:rsidRPr="003C302E" w:rsidRDefault="003C302E" w:rsidP="003C302E">
      <w:pPr>
        <w:pStyle w:val="SingleTxtG"/>
        <w:tabs>
          <w:tab w:val="left" w:pos="1985"/>
        </w:tabs>
        <w:rPr>
          <w:iCs/>
          <w:lang w:val="en-GB"/>
        </w:rPr>
      </w:pPr>
      <w:bookmarkStart w:id="2" w:name="_Hlk516574050"/>
      <w:r w:rsidRPr="003C302E">
        <w:rPr>
          <w:iCs/>
          <w:lang w:val="en-GB"/>
        </w:rPr>
        <w:t>1.6.7.4.2</w:t>
      </w:r>
      <w:r w:rsidRPr="003C302E">
        <w:rPr>
          <w:iCs/>
          <w:lang w:val="en-GB"/>
        </w:rPr>
        <w:tab/>
        <w:t xml:space="preserve">Delete and insert </w:t>
      </w:r>
      <w:r w:rsidR="000E4758">
        <w:rPr>
          <w:iCs/>
          <w:lang w:val="en-GB"/>
        </w:rPr>
        <w:t>"</w:t>
      </w:r>
      <w:r w:rsidRPr="003C302E">
        <w:rPr>
          <w:iCs/>
          <w:lang w:val="en-GB"/>
        </w:rPr>
        <w:t>1.6.7.4.2</w:t>
      </w:r>
      <w:r w:rsidRPr="003C302E">
        <w:rPr>
          <w:iCs/>
          <w:lang w:val="en-GB"/>
        </w:rPr>
        <w:tab/>
      </w:r>
      <w:r w:rsidR="00CB5269" w:rsidRPr="00CB5269">
        <w:rPr>
          <w:i/>
          <w:lang w:val="en-GB"/>
        </w:rPr>
        <w:t>(</w:t>
      </w:r>
      <w:r w:rsidRPr="00CB5269">
        <w:rPr>
          <w:i/>
          <w:lang w:val="en-GB"/>
        </w:rPr>
        <w:t>Deleted</w:t>
      </w:r>
      <w:r w:rsidR="000E4758" w:rsidRPr="00CB5269">
        <w:rPr>
          <w:i/>
          <w:lang w:val="en-GB"/>
        </w:rPr>
        <w:t>)</w:t>
      </w:r>
      <w:r w:rsidR="000E4758">
        <w:rPr>
          <w:iCs/>
          <w:lang w:val="en-GB"/>
        </w:rPr>
        <w:t>"</w:t>
      </w:r>
      <w:r w:rsidR="000E4758" w:rsidRPr="003C302E">
        <w:rPr>
          <w:iCs/>
          <w:lang w:val="en-GB"/>
        </w:rPr>
        <w:t>.</w:t>
      </w:r>
    </w:p>
    <w:bookmarkEnd w:id="2"/>
    <w:p w:rsidR="003C302E" w:rsidRPr="007B7B86" w:rsidRDefault="003C302E" w:rsidP="000E4758">
      <w:pPr>
        <w:pStyle w:val="HChG"/>
        <w:rPr>
          <w:lang w:val="en-GB"/>
        </w:rPr>
      </w:pPr>
      <w:r w:rsidRPr="007B7B86">
        <w:rPr>
          <w:lang w:val="en-GB"/>
        </w:rPr>
        <w:tab/>
      </w:r>
      <w:r w:rsidRPr="007B7B86">
        <w:rPr>
          <w:lang w:val="en-GB"/>
        </w:rPr>
        <w:tab/>
      </w:r>
      <w:bookmarkStart w:id="3" w:name="_Toc499903691"/>
      <w:r w:rsidRPr="007B7B86">
        <w:rPr>
          <w:lang w:val="en-GB"/>
        </w:rPr>
        <w:t>Chapter 2.1</w:t>
      </w:r>
      <w:bookmarkEnd w:id="3"/>
    </w:p>
    <w:p w:rsidR="003C302E" w:rsidRPr="003C302E" w:rsidRDefault="003C302E" w:rsidP="003C302E">
      <w:pPr>
        <w:pStyle w:val="SingleTxtG"/>
        <w:tabs>
          <w:tab w:val="left" w:pos="1985"/>
        </w:tabs>
        <w:rPr>
          <w:lang w:val="en-GB"/>
        </w:rPr>
      </w:pPr>
      <w:r w:rsidRPr="003C302E">
        <w:rPr>
          <w:lang w:val="en-GB"/>
        </w:rPr>
        <w:t>2.1.5</w:t>
      </w:r>
      <w:r w:rsidRPr="003C302E">
        <w:rPr>
          <w:lang w:val="en-GB"/>
        </w:rPr>
        <w:tab/>
        <w:t>Add the following Note at the beginning:</w:t>
      </w:r>
    </w:p>
    <w:p w:rsidR="003C302E" w:rsidRPr="003C302E" w:rsidRDefault="000E4758" w:rsidP="003C302E">
      <w:pPr>
        <w:pStyle w:val="SingleTxtG"/>
        <w:rPr>
          <w:i/>
          <w:lang w:val="en-GB"/>
        </w:rPr>
      </w:pPr>
      <w:r>
        <w:rPr>
          <w:b/>
          <w:i/>
          <w:lang w:val="en-GB"/>
        </w:rPr>
        <w:t>"</w:t>
      </w:r>
      <w:r w:rsidR="003C302E" w:rsidRPr="003C302E">
        <w:rPr>
          <w:b/>
          <w:i/>
          <w:lang w:val="en-GB"/>
        </w:rPr>
        <w:t>NOTE 1:</w:t>
      </w:r>
      <w:r w:rsidR="003C302E" w:rsidRPr="003C302E">
        <w:rPr>
          <w:i/>
          <w:lang w:val="en-GB"/>
        </w:rPr>
        <w:tab/>
        <w:t xml:space="preserve">For articles which do not have a proper shipping name, other than UN 3537 to 3548 and which contain only dangerous goods within the permitted limited quantity </w:t>
      </w:r>
      <w:r w:rsidR="003C302E" w:rsidRPr="003C302E">
        <w:rPr>
          <w:i/>
          <w:lang w:val="en-GB"/>
        </w:rPr>
        <w:lastRenderedPageBreak/>
        <w:t>amounts specified in Column (7a) of Table A of Chapter 3.2, see UN No. 3363 and special provisions 301 and 672 of Chapter 3.3.</w:t>
      </w:r>
      <w:r>
        <w:rPr>
          <w:i/>
          <w:lang w:val="en-GB"/>
        </w:rPr>
        <w:t>"</w:t>
      </w:r>
      <w:r w:rsidR="00083A44">
        <w:rPr>
          <w:i/>
          <w:lang w:val="en-GB"/>
        </w:rPr>
        <w:t>.</w:t>
      </w:r>
    </w:p>
    <w:p w:rsidR="003C302E" w:rsidRPr="007B7B86" w:rsidRDefault="003C302E" w:rsidP="000E4758">
      <w:pPr>
        <w:pStyle w:val="HChG"/>
        <w:rPr>
          <w:lang w:val="en-GB"/>
        </w:rPr>
      </w:pPr>
      <w:r w:rsidRPr="007B7B86">
        <w:rPr>
          <w:lang w:val="en-GB"/>
        </w:rPr>
        <w:tab/>
      </w:r>
      <w:r w:rsidRPr="007B7B86">
        <w:rPr>
          <w:lang w:val="en-GB"/>
        </w:rPr>
        <w:tab/>
        <w:t>Chapter 2.2</w:t>
      </w:r>
    </w:p>
    <w:p w:rsidR="003C302E" w:rsidRPr="003C302E" w:rsidRDefault="003C302E" w:rsidP="007E579B">
      <w:pPr>
        <w:pStyle w:val="SingleTxtG"/>
        <w:tabs>
          <w:tab w:val="left" w:pos="1985"/>
        </w:tabs>
        <w:rPr>
          <w:lang w:val="en-GB"/>
        </w:rPr>
      </w:pPr>
      <w:r w:rsidRPr="003C302E">
        <w:rPr>
          <w:lang w:val="en-GB"/>
        </w:rPr>
        <w:t>2.2.9.2</w:t>
      </w:r>
      <w:r w:rsidRPr="003C302E">
        <w:rPr>
          <w:lang w:val="en-GB"/>
        </w:rPr>
        <w:tab/>
        <w:t xml:space="preserve">In the first indent, replace </w:t>
      </w:r>
      <w:r w:rsidR="000E4758">
        <w:rPr>
          <w:lang w:val="en-GB"/>
        </w:rPr>
        <w:t>"</w:t>
      </w:r>
      <w:r w:rsidRPr="003C302E">
        <w:rPr>
          <w:lang w:val="en-GB"/>
        </w:rPr>
        <w:t>special provisions 188, 230, 310 or 636 of Chapter 3.3</w:t>
      </w:r>
      <w:r w:rsidR="000E4758">
        <w:rPr>
          <w:lang w:val="en-GB"/>
        </w:rPr>
        <w:t>"</w:t>
      </w:r>
      <w:r w:rsidRPr="003C302E">
        <w:rPr>
          <w:lang w:val="en-GB"/>
        </w:rPr>
        <w:t xml:space="preserve"> by </w:t>
      </w:r>
      <w:r w:rsidR="000E4758">
        <w:rPr>
          <w:lang w:val="en-GB"/>
        </w:rPr>
        <w:t>"</w:t>
      </w:r>
      <w:r w:rsidRPr="003C302E">
        <w:rPr>
          <w:lang w:val="en-GB"/>
        </w:rPr>
        <w:t>special provisions 188, 230, 310, 636 or 670 of Chapter 3.3</w:t>
      </w:r>
      <w:r w:rsidR="000E4758">
        <w:rPr>
          <w:lang w:val="en-GB"/>
        </w:rPr>
        <w:t>"</w:t>
      </w:r>
      <w:r w:rsidRPr="003C302E">
        <w:rPr>
          <w:lang w:val="en-GB"/>
        </w:rPr>
        <w:t>.</w:t>
      </w:r>
    </w:p>
    <w:p w:rsidR="003C302E" w:rsidRPr="003C302E" w:rsidRDefault="003C302E" w:rsidP="000E4758">
      <w:pPr>
        <w:pStyle w:val="HChG"/>
        <w:rPr>
          <w:lang w:val="en-GB"/>
        </w:rPr>
      </w:pPr>
      <w:r w:rsidRPr="003C302E">
        <w:rPr>
          <w:lang w:val="en-GB"/>
        </w:rPr>
        <w:tab/>
      </w:r>
      <w:r w:rsidRPr="003C302E">
        <w:rPr>
          <w:lang w:val="en-GB"/>
        </w:rPr>
        <w:tab/>
      </w:r>
      <w:bookmarkStart w:id="4" w:name="_Toc499903692"/>
      <w:r w:rsidRPr="003C302E">
        <w:rPr>
          <w:lang w:val="en-GB"/>
        </w:rPr>
        <w:t>Chapter 3.2, Table A</w:t>
      </w:r>
      <w:bookmarkEnd w:id="4"/>
    </w:p>
    <w:p w:rsidR="003C302E" w:rsidRPr="003C302E" w:rsidRDefault="003C302E" w:rsidP="003C302E">
      <w:pPr>
        <w:pStyle w:val="SingleTxtG"/>
        <w:rPr>
          <w:lang w:val="en-GB"/>
        </w:rPr>
      </w:pPr>
      <w:r w:rsidRPr="003C302E">
        <w:rPr>
          <w:lang w:val="en-GB"/>
        </w:rPr>
        <w:t xml:space="preserve">For UN Nos. 1002, 1006, 1013, 1046, 1056, 1058, 1065, 1066, 1952, 1956, 3070, 3163, 3297, 3298 and 3299, insert </w:t>
      </w:r>
      <w:r w:rsidR="000E4758">
        <w:rPr>
          <w:lang w:val="en-GB"/>
        </w:rPr>
        <w:t>"</w:t>
      </w:r>
      <w:r w:rsidRPr="003C302E">
        <w:rPr>
          <w:lang w:val="en-GB"/>
        </w:rPr>
        <w:t>660</w:t>
      </w:r>
      <w:r w:rsidR="000E4758">
        <w:rPr>
          <w:lang w:val="en-GB"/>
        </w:rPr>
        <w:t>"</w:t>
      </w:r>
      <w:r w:rsidRPr="003C302E">
        <w:rPr>
          <w:lang w:val="en-GB"/>
        </w:rPr>
        <w:t xml:space="preserve"> in column (6).</w:t>
      </w:r>
    </w:p>
    <w:p w:rsidR="00BD5D55" w:rsidRPr="007B7B86" w:rsidRDefault="00BD52F5" w:rsidP="003C302E">
      <w:pPr>
        <w:pStyle w:val="SingleTxtG"/>
        <w:rPr>
          <w:lang w:val="en-GB"/>
        </w:rPr>
      </w:pPr>
      <w:r w:rsidRPr="007B7B86">
        <w:rPr>
          <w:lang w:val="en-GB"/>
        </w:rPr>
        <w:t>For UN No. 2071, in column (6) delete "186".</w:t>
      </w:r>
    </w:p>
    <w:p w:rsidR="003C302E" w:rsidRPr="003C302E" w:rsidRDefault="003C302E" w:rsidP="000E4758">
      <w:pPr>
        <w:pStyle w:val="HChG"/>
        <w:rPr>
          <w:lang w:val="en-GB"/>
        </w:rPr>
      </w:pPr>
      <w:r w:rsidRPr="00042773">
        <w:rPr>
          <w:lang w:val="en-GB"/>
        </w:rPr>
        <w:tab/>
      </w:r>
      <w:r w:rsidRPr="00042773">
        <w:rPr>
          <w:lang w:val="en-GB"/>
        </w:rPr>
        <w:tab/>
      </w:r>
      <w:r w:rsidRPr="003C302E">
        <w:rPr>
          <w:lang w:val="en-GB"/>
        </w:rPr>
        <w:t>Chapter 5.2</w:t>
      </w:r>
    </w:p>
    <w:p w:rsidR="003C302E" w:rsidRPr="003C302E" w:rsidRDefault="003C302E" w:rsidP="00B842E5">
      <w:pPr>
        <w:pStyle w:val="SingleTxtG"/>
        <w:keepNext/>
        <w:keepLines/>
        <w:rPr>
          <w:lang w:val="en-GB"/>
        </w:rPr>
      </w:pPr>
      <w:r w:rsidRPr="003C302E">
        <w:rPr>
          <w:lang w:val="en-GB"/>
        </w:rPr>
        <w:t>5.2.1.5</w:t>
      </w:r>
      <w:r w:rsidRPr="003C302E">
        <w:rPr>
          <w:lang w:val="en-GB"/>
        </w:rPr>
        <w:tab/>
      </w:r>
      <w:r w:rsidR="00E11978">
        <w:rPr>
          <w:lang w:val="en-GB"/>
        </w:rPr>
        <w:tab/>
      </w:r>
      <w:r w:rsidRPr="003C302E">
        <w:rPr>
          <w:lang w:val="en-GB"/>
        </w:rPr>
        <w:t>Amend the second sentence to read as follows:</w:t>
      </w:r>
    </w:p>
    <w:p w:rsidR="003C302E" w:rsidRPr="003C302E" w:rsidRDefault="003C302E" w:rsidP="00B842E5">
      <w:pPr>
        <w:pStyle w:val="SingleTxtG"/>
        <w:keepNext/>
        <w:keepLines/>
        <w:rPr>
          <w:lang w:val="en-GB"/>
        </w:rPr>
      </w:pPr>
      <w:r w:rsidRPr="003C302E">
        <w:rPr>
          <w:lang w:val="en-GB"/>
        </w:rPr>
        <w:t>"The mark, which shall be clearly legible and indelible, shall be in one or more languages, one of which must be French, German or English, unless any agreements concluded between the countries concerned in the transport operation provide otherwise.".</w:t>
      </w:r>
    </w:p>
    <w:p w:rsidR="003C302E" w:rsidRPr="003C302E" w:rsidRDefault="003C302E" w:rsidP="003C302E">
      <w:pPr>
        <w:pStyle w:val="SingleTxtG"/>
        <w:tabs>
          <w:tab w:val="left" w:pos="2410"/>
        </w:tabs>
        <w:rPr>
          <w:lang w:val="en-GB"/>
        </w:rPr>
      </w:pPr>
      <w:r w:rsidRPr="003C302E">
        <w:rPr>
          <w:lang w:val="en-GB"/>
        </w:rPr>
        <w:t>5.2.2.2.1.1.2</w:t>
      </w:r>
      <w:r w:rsidRPr="003C302E">
        <w:rPr>
          <w:lang w:val="en-GB"/>
        </w:rPr>
        <w:tab/>
        <w:t xml:space="preserve">Replace the second and third sentences by </w:t>
      </w:r>
      <w:r w:rsidR="000E4758">
        <w:rPr>
          <w:lang w:val="en-GB"/>
        </w:rPr>
        <w:t>"</w:t>
      </w:r>
      <w:r w:rsidRPr="003C302E">
        <w:rPr>
          <w:lang w:val="en-GB"/>
        </w:rPr>
        <w:t>The minimum dimensions shall be 100 mm x 100 mm. There shall be a line inside the edge forming the diamond which shall be parallel and approximately 5 mm from the outside of that line to the edge of the label.</w:t>
      </w:r>
      <w:r w:rsidR="000E4758">
        <w:rPr>
          <w:lang w:val="en-GB"/>
        </w:rPr>
        <w:t>"</w:t>
      </w:r>
      <w:r w:rsidRPr="003C302E">
        <w:rPr>
          <w:lang w:val="en-GB"/>
        </w:rPr>
        <w:t>.</w:t>
      </w:r>
    </w:p>
    <w:p w:rsidR="003C302E" w:rsidRPr="003C302E" w:rsidRDefault="003C302E" w:rsidP="003C302E">
      <w:pPr>
        <w:pStyle w:val="SingleTxtG"/>
        <w:rPr>
          <w:bCs/>
          <w:lang w:val="en-GB"/>
        </w:rPr>
      </w:pPr>
      <w:r w:rsidRPr="003C302E">
        <w:rPr>
          <w:bCs/>
          <w:lang w:val="en-GB"/>
        </w:rPr>
        <w:t>5.2.2.2.1.6 (d)</w:t>
      </w:r>
      <w:r w:rsidRPr="003C302E">
        <w:rPr>
          <w:bCs/>
          <w:lang w:val="en-GB"/>
        </w:rPr>
        <w:tab/>
      </w:r>
      <w:r w:rsidR="004B6380">
        <w:rPr>
          <w:bCs/>
          <w:lang w:val="en-GB"/>
        </w:rPr>
        <w:tab/>
      </w:r>
      <w:r w:rsidRPr="003C302E">
        <w:rPr>
          <w:bCs/>
          <w:lang w:val="en-GB"/>
        </w:rPr>
        <w:t xml:space="preserve">Replace </w:t>
      </w:r>
      <w:r w:rsidR="000E4758">
        <w:rPr>
          <w:bCs/>
          <w:lang w:val="en-GB"/>
        </w:rPr>
        <w:t>"</w:t>
      </w:r>
      <w:r w:rsidRPr="003C302E">
        <w:rPr>
          <w:bCs/>
          <w:lang w:val="en-GB"/>
        </w:rPr>
        <w:t>for gases of UN Nos. 1011, 1075, 1965 and 1978</w:t>
      </w:r>
      <w:r w:rsidR="000E4758">
        <w:rPr>
          <w:bCs/>
          <w:lang w:val="en-GB"/>
        </w:rPr>
        <w:t>"</w:t>
      </w:r>
      <w:r w:rsidRPr="003C302E">
        <w:rPr>
          <w:bCs/>
          <w:lang w:val="en-GB"/>
        </w:rPr>
        <w:t xml:space="preserve"> by </w:t>
      </w:r>
      <w:r w:rsidR="000E4758">
        <w:rPr>
          <w:bCs/>
          <w:lang w:val="en-GB"/>
        </w:rPr>
        <w:t>"</w:t>
      </w:r>
      <w:r w:rsidRPr="003C302E">
        <w:rPr>
          <w:bCs/>
          <w:lang w:val="en-GB"/>
        </w:rPr>
        <w:t>for liquefied petroleum gases</w:t>
      </w:r>
      <w:r w:rsidR="000E4758">
        <w:rPr>
          <w:bCs/>
          <w:lang w:val="en-GB"/>
        </w:rPr>
        <w:t>"</w:t>
      </w:r>
      <w:r w:rsidRPr="003C302E">
        <w:rPr>
          <w:bCs/>
          <w:lang w:val="en-GB"/>
        </w:rPr>
        <w:t>.</w:t>
      </w:r>
    </w:p>
    <w:p w:rsidR="003C302E" w:rsidRPr="007B7B86" w:rsidRDefault="003C302E" w:rsidP="000E4758">
      <w:pPr>
        <w:pStyle w:val="HChG"/>
        <w:rPr>
          <w:lang w:val="en-GB"/>
        </w:rPr>
      </w:pPr>
      <w:r w:rsidRPr="007B7B86">
        <w:rPr>
          <w:lang w:val="en-GB"/>
        </w:rPr>
        <w:tab/>
      </w:r>
      <w:r w:rsidRPr="007B7B86">
        <w:rPr>
          <w:lang w:val="en-GB"/>
        </w:rPr>
        <w:tab/>
        <w:t>Chapter 5.3</w:t>
      </w:r>
    </w:p>
    <w:p w:rsidR="003C302E" w:rsidRPr="003C302E" w:rsidRDefault="003C302E" w:rsidP="003C302E">
      <w:pPr>
        <w:pStyle w:val="SingleTxtG"/>
        <w:rPr>
          <w:lang w:val="en-GB"/>
        </w:rPr>
      </w:pPr>
      <w:r w:rsidRPr="003C302E">
        <w:rPr>
          <w:lang w:val="en-GB"/>
        </w:rPr>
        <w:t>5.3.1.7.1</w:t>
      </w:r>
      <w:r w:rsidRPr="003C302E">
        <w:rPr>
          <w:lang w:val="en-GB"/>
        </w:rPr>
        <w:tab/>
        <w:t>The amendments to the second paragraph in the French version do not apply to the English text.</w:t>
      </w:r>
    </w:p>
    <w:p w:rsidR="003C302E" w:rsidRPr="003C302E" w:rsidRDefault="003C302E" w:rsidP="003C302E">
      <w:pPr>
        <w:pStyle w:val="SingleTxtG"/>
        <w:rPr>
          <w:lang w:val="en-GB"/>
        </w:rPr>
      </w:pPr>
      <w:r w:rsidRPr="003C302E">
        <w:rPr>
          <w:lang w:val="en-GB"/>
        </w:rPr>
        <w:t>5.3.1.7.1</w:t>
      </w:r>
      <w:r w:rsidRPr="003C302E">
        <w:rPr>
          <w:lang w:val="en-GB"/>
        </w:rPr>
        <w:tab/>
        <w:t>At the end, add the following sentence: "The deviations specified in 5.2.2.2.1, second sentence, 5.2.2.2.1.3, third sentence and 5.2.2.2.1.5 for danger labels also apply to placards."</w:t>
      </w:r>
    </w:p>
    <w:p w:rsidR="003C302E" w:rsidRPr="003C302E" w:rsidRDefault="003C302E" w:rsidP="003C302E">
      <w:pPr>
        <w:pStyle w:val="SingleTxtG"/>
        <w:rPr>
          <w:lang w:val="en-GB"/>
        </w:rPr>
      </w:pPr>
      <w:r w:rsidRPr="003C302E">
        <w:rPr>
          <w:lang w:val="en-GB"/>
        </w:rPr>
        <w:t>5.3.2.3.2</w:t>
      </w:r>
      <w:r w:rsidRPr="003C302E">
        <w:rPr>
          <w:lang w:val="en-GB"/>
        </w:rPr>
        <w:tab/>
      </w:r>
      <w:r w:rsidR="006C1F26">
        <w:rPr>
          <w:lang w:val="en-GB"/>
        </w:rPr>
        <w:t>A</w:t>
      </w:r>
      <w:r w:rsidRPr="003C302E">
        <w:rPr>
          <w:lang w:val="en-GB"/>
        </w:rPr>
        <w:t>mendment</w:t>
      </w:r>
      <w:r w:rsidR="006C1F26">
        <w:rPr>
          <w:lang w:val="en-GB"/>
        </w:rPr>
        <w:t>s to the French version do</w:t>
      </w:r>
      <w:r w:rsidRPr="003C302E">
        <w:rPr>
          <w:lang w:val="en-GB"/>
        </w:rPr>
        <w:t xml:space="preserve"> not apply to the English text.</w:t>
      </w:r>
    </w:p>
    <w:p w:rsidR="003C302E" w:rsidRPr="003C302E" w:rsidRDefault="003C302E" w:rsidP="003C302E">
      <w:pPr>
        <w:pStyle w:val="SingleTxtG"/>
        <w:rPr>
          <w:lang w:val="en-GB"/>
        </w:rPr>
      </w:pPr>
      <w:r w:rsidRPr="003C302E">
        <w:rPr>
          <w:lang w:val="en-GB"/>
        </w:rPr>
        <w:t>5.3.3</w:t>
      </w:r>
      <w:r w:rsidRPr="003C302E">
        <w:rPr>
          <w:lang w:val="en-GB"/>
        </w:rPr>
        <w:tab/>
        <w:t>The amendment to the French version does not apply to the English text.</w:t>
      </w:r>
    </w:p>
    <w:p w:rsidR="001F3881" w:rsidRPr="007B7B86" w:rsidRDefault="001F3881" w:rsidP="000E4758">
      <w:pPr>
        <w:pStyle w:val="HChG"/>
        <w:rPr>
          <w:lang w:val="en-GB"/>
        </w:rPr>
      </w:pPr>
      <w:r>
        <w:tab/>
      </w:r>
      <w:r>
        <w:tab/>
      </w:r>
      <w:r w:rsidRPr="007B7B86">
        <w:rPr>
          <w:lang w:val="en-GB"/>
        </w:rPr>
        <w:t>Chapter 5.4</w:t>
      </w:r>
    </w:p>
    <w:p w:rsidR="001F3881" w:rsidRPr="007B7B86" w:rsidRDefault="001F3881" w:rsidP="001F3881">
      <w:pPr>
        <w:pStyle w:val="SingleTxtG"/>
        <w:rPr>
          <w:lang w:val="en-GB"/>
        </w:rPr>
      </w:pPr>
      <w:r w:rsidRPr="007B7B86">
        <w:rPr>
          <w:lang w:val="en-GB"/>
        </w:rPr>
        <w:t>5.4.2</w:t>
      </w:r>
      <w:r w:rsidRPr="007B7B86">
        <w:rPr>
          <w:lang w:val="en-GB"/>
        </w:rPr>
        <w:tab/>
        <w:t>Add the following Note after the heading:</w:t>
      </w:r>
    </w:p>
    <w:p w:rsidR="001F3881" w:rsidRPr="007B7B86" w:rsidRDefault="001F3881" w:rsidP="001F3881">
      <w:pPr>
        <w:pStyle w:val="SingleTxtG"/>
        <w:rPr>
          <w:i/>
          <w:iCs/>
          <w:lang w:val="en-GB"/>
        </w:rPr>
      </w:pPr>
      <w:r w:rsidRPr="007B7B86">
        <w:rPr>
          <w:b/>
          <w:bCs/>
          <w:i/>
          <w:iCs/>
          <w:lang w:val="en-GB"/>
        </w:rPr>
        <w:t xml:space="preserve">"NOTE: </w:t>
      </w:r>
      <w:r w:rsidRPr="007B7B86">
        <w:rPr>
          <w:i/>
          <w:iCs/>
          <w:lang w:val="en-GB"/>
        </w:rPr>
        <w:t>For the purposes of this section the term "vehicle" includes wagon.".</w:t>
      </w:r>
    </w:p>
    <w:p w:rsidR="003C302E" w:rsidRPr="007B7B86" w:rsidRDefault="003C302E" w:rsidP="000E4758">
      <w:pPr>
        <w:pStyle w:val="HChG"/>
        <w:rPr>
          <w:lang w:val="en-GB"/>
        </w:rPr>
      </w:pPr>
      <w:r w:rsidRPr="007B7B86">
        <w:rPr>
          <w:lang w:val="en-GB"/>
        </w:rPr>
        <w:tab/>
      </w:r>
      <w:r w:rsidRPr="007B7B86">
        <w:rPr>
          <w:lang w:val="en-GB"/>
        </w:rPr>
        <w:tab/>
        <w:t>Chapter 7.1</w:t>
      </w:r>
    </w:p>
    <w:p w:rsidR="003C302E" w:rsidRDefault="003C302E" w:rsidP="003C302E">
      <w:pPr>
        <w:pStyle w:val="SingleTxtG"/>
        <w:tabs>
          <w:tab w:val="left" w:pos="1985"/>
        </w:tabs>
        <w:rPr>
          <w:lang w:val="en-GB"/>
        </w:rPr>
      </w:pPr>
      <w:bookmarkStart w:id="5" w:name="_Hlk511232695"/>
      <w:r w:rsidRPr="003C302E">
        <w:rPr>
          <w:lang w:val="en-GB"/>
        </w:rPr>
        <w:t>7.1.0.1</w:t>
      </w:r>
      <w:r w:rsidRPr="003C302E">
        <w:rPr>
          <w:lang w:val="en-GB"/>
        </w:rPr>
        <w:tab/>
        <w:t xml:space="preserve">Replace </w:t>
      </w:r>
      <w:r w:rsidR="000E4758">
        <w:rPr>
          <w:lang w:val="en-GB"/>
        </w:rPr>
        <w:t>"</w:t>
      </w:r>
      <w:r w:rsidRPr="003C302E">
        <w:rPr>
          <w:lang w:val="en-GB"/>
        </w:rPr>
        <w:t>7.1.6</w:t>
      </w:r>
      <w:r w:rsidR="000E4758">
        <w:rPr>
          <w:lang w:val="en-GB"/>
        </w:rPr>
        <w:t>"</w:t>
      </w:r>
      <w:r w:rsidRPr="003C302E">
        <w:rPr>
          <w:lang w:val="en-GB"/>
        </w:rPr>
        <w:t xml:space="preserve"> by </w:t>
      </w:r>
      <w:r w:rsidR="000E4758">
        <w:rPr>
          <w:lang w:val="en-GB"/>
        </w:rPr>
        <w:t>"</w:t>
      </w:r>
      <w:r w:rsidRPr="003C302E">
        <w:rPr>
          <w:lang w:val="en-GB"/>
        </w:rPr>
        <w:t>7.1.7</w:t>
      </w:r>
      <w:r w:rsidR="000E4758">
        <w:rPr>
          <w:lang w:val="en-GB"/>
        </w:rPr>
        <w:t>"</w:t>
      </w:r>
      <w:bookmarkStart w:id="6" w:name="_GoBack"/>
      <w:bookmarkEnd w:id="6"/>
      <w:r w:rsidRPr="003C302E">
        <w:rPr>
          <w:lang w:val="en-GB"/>
        </w:rPr>
        <w:t>.</w:t>
      </w:r>
    </w:p>
    <w:p w:rsidR="00BD52F5" w:rsidRPr="003C302E" w:rsidRDefault="00BD52F5" w:rsidP="003C302E">
      <w:pPr>
        <w:pStyle w:val="SingleTxtG"/>
        <w:tabs>
          <w:tab w:val="left" w:pos="1985"/>
        </w:tabs>
        <w:rPr>
          <w:lang w:val="en-GB"/>
        </w:rPr>
      </w:pPr>
      <w:r w:rsidRPr="00CA2B2B">
        <w:rPr>
          <w:lang w:val="en-GB"/>
        </w:rPr>
        <w:lastRenderedPageBreak/>
        <w:t>7.1.6</w:t>
      </w:r>
      <w:r w:rsidRPr="00CA2B2B">
        <w:rPr>
          <w:lang w:val="en-GB"/>
        </w:rPr>
        <w:tab/>
        <w:t>Replace "</w:t>
      </w:r>
      <w:r w:rsidRPr="00CA2B2B">
        <w:rPr>
          <w:bCs/>
          <w:lang w:val="en-GB"/>
        </w:rPr>
        <w:t xml:space="preserve">7.1.6.17 to 7.1.7.99 </w:t>
      </w:r>
      <w:r w:rsidRPr="00CA2B2B">
        <w:rPr>
          <w:bCs/>
          <w:i/>
          <w:lang w:val="en-GB"/>
        </w:rPr>
        <w:t>(Reserved)</w:t>
      </w:r>
      <w:r w:rsidRPr="00CA2B2B">
        <w:rPr>
          <w:lang w:val="en-GB"/>
        </w:rPr>
        <w:t xml:space="preserve">" </w:t>
      </w:r>
      <w:r w:rsidRPr="00CA2B2B">
        <w:rPr>
          <w:bCs/>
          <w:i/>
          <w:lang w:val="en-GB"/>
        </w:rPr>
        <w:t xml:space="preserve">by </w:t>
      </w:r>
      <w:r w:rsidRPr="00CA2B2B">
        <w:rPr>
          <w:lang w:val="en-GB"/>
        </w:rPr>
        <w:t>"</w:t>
      </w:r>
      <w:r w:rsidRPr="00CA2B2B">
        <w:rPr>
          <w:bCs/>
          <w:lang w:val="en-GB"/>
        </w:rPr>
        <w:t xml:space="preserve">7.1.6.17 </w:t>
      </w:r>
      <w:r w:rsidRPr="007B7B86">
        <w:rPr>
          <w:bCs/>
          <w:lang w:val="en-GB"/>
        </w:rPr>
        <w:t>to</w:t>
      </w:r>
      <w:r w:rsidRPr="00CA2B2B">
        <w:rPr>
          <w:bCs/>
          <w:lang w:val="en-GB"/>
        </w:rPr>
        <w:t xml:space="preserve"> 7.1.6.99 </w:t>
      </w:r>
      <w:r w:rsidRPr="00CA2B2B">
        <w:rPr>
          <w:bCs/>
          <w:i/>
          <w:lang w:val="en-GB"/>
        </w:rPr>
        <w:t>(</w:t>
      </w:r>
      <w:r w:rsidRPr="007B7B86">
        <w:rPr>
          <w:bCs/>
          <w:i/>
          <w:lang w:val="en-GB"/>
        </w:rPr>
        <w:t>Reserved</w:t>
      </w:r>
      <w:r w:rsidRPr="00CA2B2B">
        <w:rPr>
          <w:bCs/>
          <w:i/>
          <w:lang w:val="en-GB"/>
        </w:rPr>
        <w:t>)</w:t>
      </w:r>
      <w:r w:rsidRPr="007B7B86">
        <w:rPr>
          <w:lang w:val="en-GB"/>
        </w:rPr>
        <w:t>"</w:t>
      </w:r>
      <w:r w:rsidRPr="00CA2B2B">
        <w:rPr>
          <w:lang w:val="en-GB"/>
        </w:rPr>
        <w:t>.</w:t>
      </w:r>
    </w:p>
    <w:bookmarkEnd w:id="5"/>
    <w:p w:rsidR="003C302E" w:rsidRPr="003C302E" w:rsidRDefault="003C302E" w:rsidP="003C302E">
      <w:pPr>
        <w:pStyle w:val="SingleTxtG"/>
        <w:tabs>
          <w:tab w:val="left" w:pos="1985"/>
        </w:tabs>
        <w:rPr>
          <w:lang w:val="en-GB"/>
        </w:rPr>
      </w:pPr>
      <w:r w:rsidRPr="003C302E">
        <w:rPr>
          <w:lang w:val="en-GB"/>
        </w:rPr>
        <w:t>7.1</w:t>
      </w:r>
      <w:r w:rsidRPr="003C302E">
        <w:rPr>
          <w:lang w:val="en-GB"/>
        </w:rPr>
        <w:tab/>
        <w:t>Add the following new 7.1.7:</w:t>
      </w:r>
    </w:p>
    <w:p w:rsidR="003C302E" w:rsidRPr="003C302E" w:rsidRDefault="003C302E" w:rsidP="003C302E">
      <w:pPr>
        <w:pStyle w:val="SingleTxtG"/>
        <w:tabs>
          <w:tab w:val="left" w:pos="1985"/>
        </w:tabs>
        <w:rPr>
          <w:lang w:val="en-GB"/>
        </w:rPr>
      </w:pPr>
      <w:r w:rsidRPr="003C302E">
        <w:rPr>
          <w:lang w:val="en-GB"/>
        </w:rPr>
        <w:t>“</w:t>
      </w:r>
      <w:r w:rsidRPr="003C302E">
        <w:rPr>
          <w:b/>
          <w:lang w:val="en-GB"/>
        </w:rPr>
        <w:t>7.1.7</w:t>
      </w:r>
      <w:r w:rsidRPr="003C302E">
        <w:rPr>
          <w:b/>
          <w:lang w:val="en-GB"/>
        </w:rPr>
        <w:tab/>
        <w:t>Special provisions applicable to the carriage of self-reactive substances of Class 4.1, organic peroxides of Class 5.2 and substances stabilized by temperature control (other than self-reactive substances and organic peroxides)</w:t>
      </w:r>
    </w:p>
    <w:p w:rsidR="003C302E" w:rsidRPr="003C302E" w:rsidRDefault="003C302E" w:rsidP="003C302E">
      <w:pPr>
        <w:pStyle w:val="SingleTxtG"/>
        <w:tabs>
          <w:tab w:val="left" w:pos="1985"/>
        </w:tabs>
        <w:rPr>
          <w:lang w:val="en-GB"/>
        </w:rPr>
      </w:pPr>
      <w:r w:rsidRPr="003C302E">
        <w:rPr>
          <w:lang w:val="en-GB"/>
        </w:rPr>
        <w:t>7.1.7.1</w:t>
      </w:r>
      <w:r w:rsidRPr="003C302E">
        <w:rPr>
          <w:lang w:val="en-GB"/>
        </w:rPr>
        <w:tab/>
        <w:t>All self-reactive substances, organic peroxides and polymerizing substances shall be protected from direct sunlight and all sources of heat, and placed in adequately ventilated areas.</w:t>
      </w:r>
    </w:p>
    <w:p w:rsidR="003C302E" w:rsidRPr="003C302E" w:rsidRDefault="003C302E" w:rsidP="003C302E">
      <w:pPr>
        <w:pStyle w:val="SingleTxtG"/>
        <w:tabs>
          <w:tab w:val="left" w:pos="1985"/>
        </w:tabs>
        <w:rPr>
          <w:lang w:val="en-GB"/>
        </w:rPr>
      </w:pPr>
      <w:r w:rsidRPr="003C302E">
        <w:rPr>
          <w:lang w:val="en-GB"/>
        </w:rPr>
        <w:t>7.1.7.2</w:t>
      </w:r>
      <w:r w:rsidRPr="003C302E">
        <w:rPr>
          <w:lang w:val="en-GB"/>
        </w:rPr>
        <w:tab/>
        <w:t xml:space="preserve">Where </w:t>
      </w:r>
      <w:proofErr w:type="gramStart"/>
      <w:r w:rsidRPr="003C302E">
        <w:rPr>
          <w:lang w:val="en-GB"/>
        </w:rPr>
        <w:t>a number of</w:t>
      </w:r>
      <w:proofErr w:type="gramEnd"/>
      <w:r w:rsidRPr="003C302E">
        <w:rPr>
          <w:lang w:val="en-GB"/>
        </w:rPr>
        <w:t xml:space="preserve"> packages are assembled in a container or closed vehicle, the total quantity of substance, the type and number of packages and the stacking arrangement shall not create an explosion hazard.</w:t>
      </w:r>
    </w:p>
    <w:p w:rsidR="003C302E" w:rsidRPr="003C302E" w:rsidRDefault="003C302E" w:rsidP="003C302E">
      <w:pPr>
        <w:pStyle w:val="SingleTxtG"/>
        <w:tabs>
          <w:tab w:val="left" w:pos="1985"/>
        </w:tabs>
        <w:rPr>
          <w:lang w:val="en-GB"/>
        </w:rPr>
      </w:pPr>
      <w:r w:rsidRPr="003C302E">
        <w:rPr>
          <w:lang w:val="en-GB"/>
        </w:rPr>
        <w:t>7.1.7.3</w:t>
      </w:r>
      <w:r w:rsidRPr="003C302E">
        <w:rPr>
          <w:lang w:val="en-GB"/>
        </w:rPr>
        <w:tab/>
      </w:r>
      <w:r w:rsidRPr="003C302E">
        <w:rPr>
          <w:i/>
          <w:lang w:val="en-GB"/>
        </w:rPr>
        <w:t>Temperature control provisions</w:t>
      </w:r>
    </w:p>
    <w:p w:rsidR="003C302E" w:rsidRPr="003C302E" w:rsidRDefault="003C302E" w:rsidP="003C302E">
      <w:pPr>
        <w:pStyle w:val="SingleTxtG"/>
        <w:tabs>
          <w:tab w:val="left" w:pos="1985"/>
        </w:tabs>
        <w:rPr>
          <w:lang w:val="en-GB"/>
        </w:rPr>
      </w:pPr>
      <w:r w:rsidRPr="003C302E">
        <w:rPr>
          <w:lang w:val="en-GB"/>
        </w:rPr>
        <w:t>7.1.7.3.1</w:t>
      </w:r>
      <w:r w:rsidRPr="003C302E">
        <w:rPr>
          <w:lang w:val="en-GB"/>
        </w:rPr>
        <w:tab/>
        <w:t>These provisions apply to certain self-reactive substances when required by 2.2.41.1.17, and certain organic peroxides when required by 2.2.52.1.15 and certain polymerizing substances when required by 2.2.41.1.21 or special provision 386 of Chapter 3.3 which may only be carried under conditions where the temperature is controlled.</w:t>
      </w:r>
    </w:p>
    <w:p w:rsidR="003C302E" w:rsidRPr="003C302E" w:rsidRDefault="003C302E" w:rsidP="003C302E">
      <w:pPr>
        <w:pStyle w:val="SingleTxtG"/>
        <w:tabs>
          <w:tab w:val="left" w:pos="1985"/>
        </w:tabs>
        <w:rPr>
          <w:lang w:val="en-GB"/>
        </w:rPr>
      </w:pPr>
      <w:r w:rsidRPr="003C302E">
        <w:rPr>
          <w:lang w:val="en-GB"/>
        </w:rPr>
        <w:t>7.1.7.3.2</w:t>
      </w:r>
      <w:r w:rsidRPr="003C302E">
        <w:rPr>
          <w:lang w:val="en-GB"/>
        </w:rPr>
        <w:tab/>
        <w:t>These provisions also apply to the carriage of substances for which:</w:t>
      </w:r>
    </w:p>
    <w:p w:rsidR="003C302E" w:rsidRPr="003C302E" w:rsidRDefault="003C302E" w:rsidP="003C302E">
      <w:pPr>
        <w:pStyle w:val="SingleTxtG"/>
        <w:tabs>
          <w:tab w:val="left" w:pos="2552"/>
        </w:tabs>
        <w:ind w:left="2552" w:hanging="567"/>
        <w:rPr>
          <w:lang w:val="en-GB"/>
        </w:rPr>
      </w:pPr>
      <w:r w:rsidRPr="003C302E">
        <w:rPr>
          <w:lang w:val="en-GB"/>
        </w:rPr>
        <w:t>(a)</w:t>
      </w:r>
      <w:r w:rsidRPr="003C302E">
        <w:rPr>
          <w:lang w:val="en-GB"/>
        </w:rPr>
        <w:tab/>
        <w:t xml:space="preserve">The proper shipping name as indicated in column (2) of Table A of Chapter 3.2 or according to 3.1.2.6 contains the word </w:t>
      </w:r>
      <w:r w:rsidR="000E4758">
        <w:rPr>
          <w:lang w:val="en-GB"/>
        </w:rPr>
        <w:t>"</w:t>
      </w:r>
      <w:r w:rsidRPr="003C302E">
        <w:rPr>
          <w:lang w:val="en-GB"/>
        </w:rPr>
        <w:t>STABILIZED</w:t>
      </w:r>
      <w:r w:rsidR="000E4758">
        <w:rPr>
          <w:lang w:val="en-GB"/>
        </w:rPr>
        <w:t>"</w:t>
      </w:r>
      <w:r w:rsidRPr="003C302E">
        <w:rPr>
          <w:lang w:val="en-GB"/>
        </w:rPr>
        <w:t>; and</w:t>
      </w:r>
    </w:p>
    <w:p w:rsidR="003C302E" w:rsidRPr="003C302E" w:rsidRDefault="003C302E" w:rsidP="003C302E">
      <w:pPr>
        <w:pStyle w:val="SingleTxtG"/>
        <w:tabs>
          <w:tab w:val="left" w:pos="2552"/>
        </w:tabs>
        <w:ind w:left="2552" w:hanging="567"/>
        <w:rPr>
          <w:lang w:val="en-GB"/>
        </w:rPr>
      </w:pPr>
      <w:r w:rsidRPr="003C302E">
        <w:rPr>
          <w:lang w:val="en-GB"/>
        </w:rPr>
        <w:t>(b)</w:t>
      </w:r>
      <w:r w:rsidRPr="003C302E">
        <w:rPr>
          <w:lang w:val="en-GB"/>
        </w:rPr>
        <w:tab/>
        <w:t>The SADT or SAPT determined for the substance (with or without chemical stabilization) as offered for carriage is:</w:t>
      </w:r>
    </w:p>
    <w:p w:rsidR="003C302E" w:rsidRPr="003C302E" w:rsidRDefault="003C302E" w:rsidP="003C302E">
      <w:pPr>
        <w:pStyle w:val="SingleTxtG"/>
        <w:tabs>
          <w:tab w:val="left" w:pos="1985"/>
          <w:tab w:val="left" w:pos="3119"/>
        </w:tabs>
        <w:ind w:left="2552"/>
        <w:rPr>
          <w:lang w:val="en-GB"/>
        </w:rPr>
      </w:pPr>
      <w:r w:rsidRPr="003C302E">
        <w:rPr>
          <w:lang w:val="en-GB"/>
        </w:rPr>
        <w:t>(</w:t>
      </w:r>
      <w:proofErr w:type="spellStart"/>
      <w:r w:rsidRPr="003C302E">
        <w:rPr>
          <w:lang w:val="en-GB"/>
        </w:rPr>
        <w:t>i</w:t>
      </w:r>
      <w:proofErr w:type="spellEnd"/>
      <w:r w:rsidRPr="003C302E">
        <w:rPr>
          <w:lang w:val="en-GB"/>
        </w:rPr>
        <w:t>)</w:t>
      </w:r>
      <w:r w:rsidRPr="003C302E">
        <w:rPr>
          <w:lang w:val="en-GB"/>
        </w:rPr>
        <w:tab/>
        <w:t xml:space="preserve">50 °C or less for single </w:t>
      </w:r>
      <w:proofErr w:type="spellStart"/>
      <w:r w:rsidRPr="003C302E">
        <w:rPr>
          <w:lang w:val="en-GB"/>
        </w:rPr>
        <w:t>packagings</w:t>
      </w:r>
      <w:proofErr w:type="spellEnd"/>
      <w:r w:rsidRPr="003C302E">
        <w:rPr>
          <w:lang w:val="en-GB"/>
        </w:rPr>
        <w:t xml:space="preserve"> and IBCs; or</w:t>
      </w:r>
    </w:p>
    <w:p w:rsidR="003C302E" w:rsidRPr="003C302E" w:rsidRDefault="003C302E" w:rsidP="003C302E">
      <w:pPr>
        <w:pStyle w:val="SingleTxtG"/>
        <w:tabs>
          <w:tab w:val="left" w:pos="1985"/>
          <w:tab w:val="left" w:pos="3119"/>
        </w:tabs>
        <w:ind w:left="2552"/>
        <w:rPr>
          <w:lang w:val="en-GB"/>
        </w:rPr>
      </w:pPr>
      <w:r w:rsidRPr="003C302E">
        <w:rPr>
          <w:lang w:val="en-GB"/>
        </w:rPr>
        <w:t>(ii)</w:t>
      </w:r>
      <w:r w:rsidRPr="003C302E">
        <w:rPr>
          <w:lang w:val="en-GB"/>
        </w:rPr>
        <w:tab/>
        <w:t>45 °C or less for tanks.</w:t>
      </w:r>
    </w:p>
    <w:p w:rsidR="003C302E" w:rsidRPr="003C302E" w:rsidRDefault="003C302E" w:rsidP="003C302E">
      <w:pPr>
        <w:pStyle w:val="SingleTxtG"/>
        <w:rPr>
          <w:lang w:val="en-GB"/>
        </w:rPr>
      </w:pPr>
      <w:r w:rsidRPr="003C302E">
        <w:rPr>
          <w:lang w:val="en-GB"/>
        </w:rPr>
        <w:t xml:space="preserve">When chemical inhibition is not used to stabilize a reactive </w:t>
      </w:r>
      <w:proofErr w:type="gramStart"/>
      <w:r w:rsidRPr="003C302E">
        <w:rPr>
          <w:lang w:val="en-GB"/>
        </w:rPr>
        <w:t>substance</w:t>
      </w:r>
      <w:proofErr w:type="gramEnd"/>
      <w:r w:rsidRPr="003C302E">
        <w:rPr>
          <w:lang w:val="en-GB"/>
        </w:rPr>
        <w:t xml:space="preserve"> which may generate dangerous amounts of heat and gas, or vapour, under normal carriage conditions, this substance needs to be carried under temperature control. These provisions do not apply to substances which are stabilized by the addition of chemical inhibitors such that the SADT or the SAPT is greater than that prescribed in (b) (</w:t>
      </w:r>
      <w:proofErr w:type="spellStart"/>
      <w:r w:rsidRPr="003C302E">
        <w:rPr>
          <w:lang w:val="en-GB"/>
        </w:rPr>
        <w:t>i</w:t>
      </w:r>
      <w:proofErr w:type="spellEnd"/>
      <w:r w:rsidRPr="003C302E">
        <w:rPr>
          <w:lang w:val="en-GB"/>
        </w:rPr>
        <w:t>) or (ii), above.</w:t>
      </w:r>
    </w:p>
    <w:p w:rsidR="003C302E" w:rsidRPr="003C302E" w:rsidRDefault="003C302E" w:rsidP="003C302E">
      <w:pPr>
        <w:pStyle w:val="SingleTxtG"/>
        <w:rPr>
          <w:lang w:val="en-GB"/>
        </w:rPr>
      </w:pPr>
      <w:r w:rsidRPr="003C302E">
        <w:rPr>
          <w:lang w:val="en-GB"/>
        </w:rPr>
        <w:t>7.1.7.3.3</w:t>
      </w:r>
      <w:r w:rsidRPr="003C302E">
        <w:rPr>
          <w:lang w:val="en-GB"/>
        </w:rPr>
        <w:tab/>
        <w:t xml:space="preserve">In addition, if a self-reactive substance or organic peroxide or a substance the proper shipping name of which contains the word “STABILIZED” and which is not normally required to be carried under temperature control is carried under conditions where the temperature may exceed 55 °C, it may require temperature control. </w:t>
      </w:r>
    </w:p>
    <w:p w:rsidR="003C302E" w:rsidRPr="003C302E" w:rsidRDefault="003C302E" w:rsidP="003C302E">
      <w:pPr>
        <w:pStyle w:val="SingleTxtG"/>
        <w:rPr>
          <w:lang w:val="en-GB"/>
        </w:rPr>
      </w:pPr>
      <w:r w:rsidRPr="003C302E">
        <w:rPr>
          <w:lang w:val="en-GB"/>
        </w:rPr>
        <w:t>7.1.7.3.4</w:t>
      </w:r>
      <w:r w:rsidRPr="003C302E">
        <w:rPr>
          <w:lang w:val="en-GB"/>
        </w:rPr>
        <w:tab/>
        <w:t xml:space="preserve">The </w:t>
      </w:r>
      <w:r w:rsidR="000E4758">
        <w:rPr>
          <w:lang w:val="en-GB"/>
        </w:rPr>
        <w:t>"</w:t>
      </w:r>
      <w:r w:rsidRPr="003C302E">
        <w:rPr>
          <w:lang w:val="en-GB"/>
        </w:rPr>
        <w:t>control temperature</w:t>
      </w:r>
      <w:r w:rsidR="000E4758">
        <w:rPr>
          <w:lang w:val="en-GB"/>
        </w:rPr>
        <w:t>"</w:t>
      </w:r>
      <w:r w:rsidRPr="003C302E">
        <w:rPr>
          <w:lang w:val="en-GB"/>
        </w:rPr>
        <w:t xml:space="preserve"> is the maximum temperature at which the substance can be safely carried. It is assumed that during carriage the temperature of the immediate surroundings of the package does not exceed 55 °C and attains this value for a relatively short time only during each period of 24 hours. In the event of loss of temperature control, it may be necessary to implement emergency procedures. The </w:t>
      </w:r>
      <w:r w:rsidR="000E4758">
        <w:rPr>
          <w:lang w:val="en-GB"/>
        </w:rPr>
        <w:t>"</w:t>
      </w:r>
      <w:r w:rsidRPr="003C302E">
        <w:rPr>
          <w:lang w:val="en-GB"/>
        </w:rPr>
        <w:t>emergency temperature</w:t>
      </w:r>
      <w:r w:rsidR="000E4758">
        <w:rPr>
          <w:lang w:val="en-GB"/>
        </w:rPr>
        <w:t>"</w:t>
      </w:r>
      <w:r w:rsidRPr="003C302E">
        <w:rPr>
          <w:lang w:val="en-GB"/>
        </w:rPr>
        <w:t xml:space="preserve"> is the temperature at which such procedures shall be implemented.</w:t>
      </w:r>
    </w:p>
    <w:p w:rsidR="003C302E" w:rsidRPr="003C302E" w:rsidRDefault="003C302E" w:rsidP="001A2BD6">
      <w:pPr>
        <w:pStyle w:val="SingleTxtG"/>
        <w:rPr>
          <w:lang w:val="en-GB"/>
        </w:rPr>
      </w:pPr>
      <w:r w:rsidRPr="003C302E">
        <w:rPr>
          <w:lang w:val="en-GB"/>
        </w:rPr>
        <w:t>7.1.7.3.5</w:t>
      </w:r>
      <w:r w:rsidRPr="003C302E">
        <w:rPr>
          <w:lang w:val="en-GB"/>
        </w:rPr>
        <w:tab/>
        <w:t>Derivation of control and emergency temperatures</w:t>
      </w:r>
    </w:p>
    <w:tbl>
      <w:tblPr>
        <w:tblStyle w:val="Tabellenraster2"/>
        <w:tblW w:w="0" w:type="auto"/>
        <w:tblInd w:w="534" w:type="dxa"/>
        <w:tblLook w:val="04A0" w:firstRow="1" w:lastRow="0" w:firstColumn="1" w:lastColumn="0" w:noHBand="0" w:noVBand="1"/>
      </w:tblPr>
      <w:tblGrid>
        <w:gridCol w:w="1559"/>
        <w:gridCol w:w="1984"/>
        <w:gridCol w:w="2552"/>
        <w:gridCol w:w="2583"/>
      </w:tblGrid>
      <w:tr w:rsidR="003C302E" w:rsidRPr="00AD16CB" w:rsidTr="000F6040">
        <w:tc>
          <w:tcPr>
            <w:tcW w:w="1559" w:type="dxa"/>
          </w:tcPr>
          <w:p w:rsidR="003C302E" w:rsidRPr="00AD16CB" w:rsidRDefault="003C302E" w:rsidP="000F6040">
            <w:pPr>
              <w:spacing w:line="276" w:lineRule="auto"/>
              <w:rPr>
                <w:lang w:val="en-GB"/>
              </w:rPr>
            </w:pPr>
            <w:r w:rsidRPr="00AD16CB">
              <w:rPr>
                <w:lang w:val="en-GB"/>
              </w:rPr>
              <w:t>Type of receptacle</w:t>
            </w:r>
          </w:p>
        </w:tc>
        <w:tc>
          <w:tcPr>
            <w:tcW w:w="1984" w:type="dxa"/>
          </w:tcPr>
          <w:p w:rsidR="003C302E" w:rsidRPr="00AD16CB" w:rsidRDefault="003C302E" w:rsidP="000F6040">
            <w:pPr>
              <w:spacing w:line="276" w:lineRule="auto"/>
              <w:rPr>
                <w:lang w:val="en-GB"/>
              </w:rPr>
            </w:pPr>
            <w:proofErr w:type="spellStart"/>
            <w:r w:rsidRPr="00AD16CB">
              <w:rPr>
                <w:lang w:val="en-GB"/>
              </w:rPr>
              <w:t>SADT</w:t>
            </w:r>
            <w:r w:rsidRPr="00AD16CB">
              <w:rPr>
                <w:vertAlign w:val="superscript"/>
                <w:lang w:val="en-GB"/>
              </w:rPr>
              <w:t>a</w:t>
            </w:r>
            <w:proofErr w:type="spellEnd"/>
            <w:r w:rsidRPr="00AD16CB">
              <w:rPr>
                <w:vertAlign w:val="superscript"/>
                <w:lang w:val="en-GB"/>
              </w:rPr>
              <w:t xml:space="preserve"> </w:t>
            </w:r>
            <w:r w:rsidRPr="00AD16CB">
              <w:rPr>
                <w:lang w:val="en-GB"/>
              </w:rPr>
              <w:t>/</w:t>
            </w:r>
            <w:proofErr w:type="spellStart"/>
            <w:r w:rsidRPr="00AD16CB">
              <w:rPr>
                <w:lang w:val="en-GB"/>
              </w:rPr>
              <w:t>SAPT</w:t>
            </w:r>
            <w:r w:rsidRPr="00AD16CB">
              <w:rPr>
                <w:vertAlign w:val="superscript"/>
                <w:lang w:val="en-GB"/>
              </w:rPr>
              <w:t>a</w:t>
            </w:r>
            <w:proofErr w:type="spellEnd"/>
          </w:p>
        </w:tc>
        <w:tc>
          <w:tcPr>
            <w:tcW w:w="2552" w:type="dxa"/>
          </w:tcPr>
          <w:p w:rsidR="003C302E" w:rsidRPr="00AD16CB" w:rsidRDefault="003C302E" w:rsidP="000F6040">
            <w:pPr>
              <w:spacing w:line="276" w:lineRule="auto"/>
              <w:rPr>
                <w:lang w:val="en-GB"/>
              </w:rPr>
            </w:pPr>
            <w:r w:rsidRPr="00AD16CB">
              <w:rPr>
                <w:lang w:val="en-GB"/>
              </w:rPr>
              <w:t xml:space="preserve">Control temperature </w:t>
            </w:r>
          </w:p>
        </w:tc>
        <w:tc>
          <w:tcPr>
            <w:tcW w:w="2583" w:type="dxa"/>
          </w:tcPr>
          <w:p w:rsidR="003C302E" w:rsidRPr="00AD16CB" w:rsidRDefault="003C302E" w:rsidP="000F6040">
            <w:pPr>
              <w:spacing w:line="276" w:lineRule="auto"/>
              <w:rPr>
                <w:lang w:val="en-GB"/>
              </w:rPr>
            </w:pPr>
            <w:r w:rsidRPr="00AD16CB">
              <w:rPr>
                <w:lang w:val="en-GB"/>
              </w:rPr>
              <w:t>Emergency temperature</w:t>
            </w:r>
          </w:p>
        </w:tc>
      </w:tr>
      <w:tr w:rsidR="003C302E" w:rsidRPr="00AD16CB" w:rsidTr="000F6040">
        <w:tc>
          <w:tcPr>
            <w:tcW w:w="1559" w:type="dxa"/>
          </w:tcPr>
          <w:p w:rsidR="003C302E" w:rsidRPr="00AD16CB" w:rsidRDefault="003C302E" w:rsidP="000F6040">
            <w:pPr>
              <w:spacing w:line="276" w:lineRule="auto"/>
              <w:rPr>
                <w:lang w:val="en-GB"/>
              </w:rPr>
            </w:pPr>
            <w:r w:rsidRPr="00AD16CB">
              <w:rPr>
                <w:lang w:val="en-GB"/>
              </w:rPr>
              <w:t xml:space="preserve">Single </w:t>
            </w:r>
            <w:proofErr w:type="spellStart"/>
            <w:r w:rsidRPr="00AD16CB">
              <w:rPr>
                <w:lang w:val="en-GB"/>
              </w:rPr>
              <w:t>packagings</w:t>
            </w:r>
            <w:proofErr w:type="spellEnd"/>
            <w:r w:rsidRPr="00AD16CB">
              <w:rPr>
                <w:lang w:val="en-GB"/>
              </w:rPr>
              <w:t xml:space="preserve"> and IBCs</w:t>
            </w:r>
          </w:p>
        </w:tc>
        <w:tc>
          <w:tcPr>
            <w:tcW w:w="1984" w:type="dxa"/>
          </w:tcPr>
          <w:p w:rsidR="003C302E" w:rsidRPr="00AD16CB" w:rsidRDefault="003C302E" w:rsidP="000F6040">
            <w:pPr>
              <w:spacing w:line="276" w:lineRule="auto"/>
              <w:rPr>
                <w:lang w:val="en-GB"/>
              </w:rPr>
            </w:pPr>
            <w:r w:rsidRPr="00AD16CB">
              <w:rPr>
                <w:lang w:val="en-GB"/>
              </w:rPr>
              <w:t>20 °C or less</w:t>
            </w:r>
          </w:p>
          <w:p w:rsidR="003C302E" w:rsidRPr="00AD16CB" w:rsidRDefault="003C302E" w:rsidP="000F6040">
            <w:pPr>
              <w:spacing w:line="276" w:lineRule="auto"/>
              <w:rPr>
                <w:lang w:val="en-GB"/>
              </w:rPr>
            </w:pPr>
            <w:r w:rsidRPr="00AD16CB">
              <w:rPr>
                <w:lang w:val="en-GB"/>
              </w:rPr>
              <w:t>over 20 °C to 35 °C</w:t>
            </w:r>
          </w:p>
          <w:p w:rsidR="003C302E" w:rsidRPr="00AD16CB" w:rsidRDefault="003C302E" w:rsidP="000F6040">
            <w:pPr>
              <w:spacing w:line="276" w:lineRule="auto"/>
              <w:rPr>
                <w:lang w:val="en-GB"/>
              </w:rPr>
            </w:pPr>
            <w:r w:rsidRPr="00AD16CB">
              <w:rPr>
                <w:lang w:val="en-GB"/>
              </w:rPr>
              <w:t>over 35 °C</w:t>
            </w:r>
          </w:p>
        </w:tc>
        <w:tc>
          <w:tcPr>
            <w:tcW w:w="2552" w:type="dxa"/>
          </w:tcPr>
          <w:p w:rsidR="003C302E" w:rsidRPr="00AD16CB" w:rsidRDefault="003C302E" w:rsidP="000F6040">
            <w:pPr>
              <w:spacing w:line="276" w:lineRule="auto"/>
              <w:rPr>
                <w:lang w:val="en-GB"/>
              </w:rPr>
            </w:pPr>
            <w:r w:rsidRPr="00AD16CB">
              <w:rPr>
                <w:lang w:val="en-GB"/>
              </w:rPr>
              <w:t>20 °C below SADT/SAPT</w:t>
            </w:r>
          </w:p>
          <w:p w:rsidR="003C302E" w:rsidRPr="00AD16CB" w:rsidRDefault="003C302E" w:rsidP="000F6040">
            <w:pPr>
              <w:spacing w:line="276" w:lineRule="auto"/>
              <w:rPr>
                <w:lang w:val="en-GB"/>
              </w:rPr>
            </w:pPr>
            <w:r w:rsidRPr="00AD16CB">
              <w:rPr>
                <w:lang w:val="en-GB"/>
              </w:rPr>
              <w:t>15 °C below SADT/SAPT</w:t>
            </w:r>
          </w:p>
          <w:p w:rsidR="003C302E" w:rsidRPr="00AD16CB" w:rsidRDefault="003C302E" w:rsidP="000F6040">
            <w:pPr>
              <w:spacing w:line="276" w:lineRule="auto"/>
              <w:rPr>
                <w:lang w:val="en-GB"/>
              </w:rPr>
            </w:pPr>
            <w:r w:rsidRPr="00AD16CB">
              <w:rPr>
                <w:lang w:val="en-GB"/>
              </w:rPr>
              <w:t>10 °C below SADT/SAPT</w:t>
            </w:r>
          </w:p>
        </w:tc>
        <w:tc>
          <w:tcPr>
            <w:tcW w:w="2583" w:type="dxa"/>
          </w:tcPr>
          <w:p w:rsidR="003C302E" w:rsidRPr="00AD16CB" w:rsidRDefault="003C302E" w:rsidP="000F6040">
            <w:pPr>
              <w:spacing w:line="276" w:lineRule="auto"/>
              <w:rPr>
                <w:lang w:val="en-GB"/>
              </w:rPr>
            </w:pPr>
            <w:r w:rsidRPr="00AD16CB">
              <w:rPr>
                <w:lang w:val="en-GB"/>
              </w:rPr>
              <w:t xml:space="preserve">10 °C below SADT/SAPT </w:t>
            </w:r>
          </w:p>
          <w:p w:rsidR="003C302E" w:rsidRPr="00AD16CB" w:rsidRDefault="003C302E" w:rsidP="000F6040">
            <w:pPr>
              <w:spacing w:line="276" w:lineRule="auto"/>
              <w:rPr>
                <w:lang w:val="en-GB"/>
              </w:rPr>
            </w:pPr>
            <w:r w:rsidRPr="00AD16CB">
              <w:rPr>
                <w:lang w:val="en-GB"/>
              </w:rPr>
              <w:t xml:space="preserve">10 °C below SADT/SAPT </w:t>
            </w:r>
          </w:p>
          <w:p w:rsidR="003C302E" w:rsidRPr="00AD16CB" w:rsidRDefault="003C302E" w:rsidP="000F6040">
            <w:pPr>
              <w:spacing w:line="276" w:lineRule="auto"/>
              <w:rPr>
                <w:lang w:val="en-GB"/>
              </w:rPr>
            </w:pPr>
            <w:r w:rsidRPr="00AD16CB">
              <w:rPr>
                <w:lang w:val="en-GB"/>
              </w:rPr>
              <w:t>5 °C below SADT/SAPT</w:t>
            </w:r>
          </w:p>
        </w:tc>
      </w:tr>
      <w:tr w:rsidR="003C302E" w:rsidRPr="00AD16CB" w:rsidTr="000F6040">
        <w:tc>
          <w:tcPr>
            <w:tcW w:w="1559" w:type="dxa"/>
          </w:tcPr>
          <w:p w:rsidR="003C302E" w:rsidRPr="00AD16CB" w:rsidRDefault="003C302E" w:rsidP="000F6040">
            <w:pPr>
              <w:spacing w:line="276" w:lineRule="auto"/>
              <w:rPr>
                <w:lang w:val="en-GB"/>
              </w:rPr>
            </w:pPr>
            <w:r w:rsidRPr="00AD16CB">
              <w:rPr>
                <w:lang w:val="en-GB"/>
              </w:rPr>
              <w:lastRenderedPageBreak/>
              <w:t>Tanks</w:t>
            </w:r>
          </w:p>
        </w:tc>
        <w:tc>
          <w:tcPr>
            <w:tcW w:w="1984" w:type="dxa"/>
          </w:tcPr>
          <w:p w:rsidR="003C302E" w:rsidRPr="00AD16CB" w:rsidRDefault="003C302E" w:rsidP="000F6040">
            <w:pPr>
              <w:spacing w:line="276" w:lineRule="auto"/>
              <w:rPr>
                <w:lang w:val="en-GB"/>
              </w:rPr>
            </w:pPr>
            <w:r w:rsidRPr="00AD16CB">
              <w:t>≤ 45 °C</w:t>
            </w:r>
          </w:p>
        </w:tc>
        <w:tc>
          <w:tcPr>
            <w:tcW w:w="2552" w:type="dxa"/>
          </w:tcPr>
          <w:p w:rsidR="003C302E" w:rsidRPr="00AD16CB" w:rsidRDefault="003C302E" w:rsidP="000F6040">
            <w:pPr>
              <w:spacing w:line="276" w:lineRule="auto"/>
              <w:rPr>
                <w:lang w:val="en-GB"/>
              </w:rPr>
            </w:pPr>
            <w:r w:rsidRPr="00AD16CB">
              <w:rPr>
                <w:lang w:val="en-GB"/>
              </w:rPr>
              <w:t>10 °C below SADT/SAPT</w:t>
            </w:r>
          </w:p>
        </w:tc>
        <w:tc>
          <w:tcPr>
            <w:tcW w:w="2583" w:type="dxa"/>
          </w:tcPr>
          <w:p w:rsidR="003C302E" w:rsidRPr="00AD16CB" w:rsidRDefault="003C302E" w:rsidP="000F6040">
            <w:pPr>
              <w:spacing w:line="276" w:lineRule="auto"/>
              <w:rPr>
                <w:lang w:val="en-GB"/>
              </w:rPr>
            </w:pPr>
            <w:r w:rsidRPr="00AD16CB">
              <w:rPr>
                <w:lang w:val="en-GB"/>
              </w:rPr>
              <w:t>5 °C below SADT/SAPT</w:t>
            </w:r>
          </w:p>
        </w:tc>
      </w:tr>
    </w:tbl>
    <w:p w:rsidR="003C302E" w:rsidRPr="003C302E" w:rsidRDefault="003C302E" w:rsidP="003C302E">
      <w:pPr>
        <w:pStyle w:val="SingleTxtG"/>
        <w:spacing w:before="120"/>
        <w:rPr>
          <w:lang w:val="en-GB"/>
        </w:rPr>
      </w:pPr>
      <w:proofErr w:type="spellStart"/>
      <w:r w:rsidRPr="003C302E">
        <w:rPr>
          <w:vertAlign w:val="superscript"/>
          <w:lang w:val="en-GB"/>
        </w:rPr>
        <w:t>a</w:t>
      </w:r>
      <w:proofErr w:type="spellEnd"/>
      <w:r w:rsidRPr="003C302E">
        <w:rPr>
          <w:vertAlign w:val="superscript"/>
          <w:lang w:val="en-GB"/>
        </w:rPr>
        <w:tab/>
      </w:r>
      <w:r w:rsidRPr="003C302E">
        <w:rPr>
          <w:lang w:val="en-GB"/>
        </w:rPr>
        <w:t>i.e. the SADT/SAPT of the substance as packed for carriage.</w:t>
      </w:r>
    </w:p>
    <w:p w:rsidR="003C302E" w:rsidRPr="003C302E" w:rsidRDefault="003C302E" w:rsidP="003C302E">
      <w:pPr>
        <w:pStyle w:val="SingleTxtG"/>
        <w:rPr>
          <w:lang w:val="en-GB"/>
        </w:rPr>
      </w:pPr>
      <w:r w:rsidRPr="003C302E">
        <w:rPr>
          <w:lang w:val="en-GB"/>
        </w:rPr>
        <w:t>7.1.7.3.6</w:t>
      </w:r>
      <w:r w:rsidRPr="003C302E">
        <w:rPr>
          <w:lang w:val="en-GB"/>
        </w:rPr>
        <w:tab/>
        <w:t xml:space="preserve">The control and emergency temperatures are derived using the table in 7.1.7.3.5 from the SADT or from the SAPT which are defined as the lowest temperatures at which self-accelerating decomposition or self-accelerating polymerization may occur with a substance in the packaging, IBC or tank as used in carriage. An SADT or SAPT shall be determined </w:t>
      </w:r>
      <w:proofErr w:type="gramStart"/>
      <w:r w:rsidRPr="003C302E">
        <w:rPr>
          <w:lang w:val="en-GB"/>
        </w:rPr>
        <w:t>in order to</w:t>
      </w:r>
      <w:proofErr w:type="gramEnd"/>
      <w:r w:rsidRPr="003C302E">
        <w:rPr>
          <w:lang w:val="en-GB"/>
        </w:rPr>
        <w:t xml:space="preserve"> decide if a substance shall be subjected to temperature control during carriage. Provisions for the determination of the SADT and SAPT are given in Part II, section 28 of the Manual of Tests and Criteria.</w:t>
      </w:r>
    </w:p>
    <w:p w:rsidR="003C302E" w:rsidRPr="003C302E" w:rsidRDefault="003C302E" w:rsidP="003C302E">
      <w:pPr>
        <w:pStyle w:val="SingleTxtG"/>
        <w:rPr>
          <w:strike/>
          <w:lang w:val="en-GB"/>
        </w:rPr>
      </w:pPr>
      <w:r w:rsidRPr="003C302E">
        <w:rPr>
          <w:lang w:val="en-GB"/>
        </w:rPr>
        <w:t>7.1.7.3.7</w:t>
      </w:r>
      <w:r w:rsidRPr="003C302E">
        <w:rPr>
          <w:lang w:val="en-GB"/>
        </w:rPr>
        <w:tab/>
        <w:t>Control and emergency temperatures, where appropriate, are provided for currently assigned self-reactive substances in 2.2.41.4 and for currently assigned organic peroxide formulations in 2.2.52.4.</w:t>
      </w:r>
    </w:p>
    <w:p w:rsidR="003C302E" w:rsidRPr="003C302E" w:rsidRDefault="003C302E" w:rsidP="003C302E">
      <w:pPr>
        <w:pStyle w:val="SingleTxtG"/>
        <w:rPr>
          <w:lang w:val="en-GB"/>
        </w:rPr>
      </w:pPr>
      <w:r w:rsidRPr="003C302E">
        <w:rPr>
          <w:lang w:val="en-GB"/>
        </w:rPr>
        <w:t>7.1.7.3.8</w:t>
      </w:r>
      <w:r w:rsidRPr="003C302E">
        <w:rPr>
          <w:lang w:val="en-GB"/>
        </w:rPr>
        <w:tab/>
        <w:t xml:space="preserve">The actual carriage temperature may be lower than the control temperature but shall be selected </w:t>
      </w:r>
      <w:proofErr w:type="gramStart"/>
      <w:r w:rsidRPr="003C302E">
        <w:rPr>
          <w:lang w:val="en-GB"/>
        </w:rPr>
        <w:t>so as to</w:t>
      </w:r>
      <w:proofErr w:type="gramEnd"/>
      <w:r w:rsidRPr="003C302E">
        <w:rPr>
          <w:lang w:val="en-GB"/>
        </w:rPr>
        <w:t xml:space="preserve"> avoid dangerous separation of phases.</w:t>
      </w:r>
    </w:p>
    <w:p w:rsidR="003C302E" w:rsidRPr="003C302E" w:rsidRDefault="003C302E" w:rsidP="003C302E">
      <w:pPr>
        <w:pStyle w:val="SingleTxtG"/>
        <w:rPr>
          <w:lang w:val="en-GB"/>
        </w:rPr>
      </w:pPr>
      <w:r w:rsidRPr="003C302E">
        <w:rPr>
          <w:lang w:val="en-GB"/>
        </w:rPr>
        <w:t>7.1.7.4</w:t>
      </w:r>
      <w:r w:rsidRPr="003C302E">
        <w:rPr>
          <w:lang w:val="en-GB"/>
        </w:rPr>
        <w:tab/>
      </w:r>
      <w:r w:rsidR="00B842E5">
        <w:rPr>
          <w:lang w:val="en-GB"/>
        </w:rPr>
        <w:tab/>
      </w:r>
      <w:r w:rsidRPr="003C302E">
        <w:rPr>
          <w:i/>
          <w:lang w:val="en-GB"/>
        </w:rPr>
        <w:t>Carriage under temperature control</w:t>
      </w:r>
    </w:p>
    <w:p w:rsidR="003C302E" w:rsidRPr="003C302E" w:rsidRDefault="003C302E" w:rsidP="003C302E">
      <w:pPr>
        <w:pStyle w:val="SingleTxtG"/>
        <w:rPr>
          <w:lang w:val="en-GB"/>
        </w:rPr>
      </w:pPr>
      <w:r w:rsidRPr="003C302E">
        <w:rPr>
          <w:lang w:val="en-GB"/>
        </w:rPr>
        <w:t>7.1.7.4.1</w:t>
      </w:r>
      <w:r w:rsidRPr="003C302E">
        <w:rPr>
          <w:lang w:val="en-GB"/>
        </w:rPr>
        <w:tab/>
        <w:t>Maintenance of the prescribed temperature is an essential feature of the safe carriage of substances stabilized by temperature control. In general, there shall be:</w:t>
      </w:r>
    </w:p>
    <w:p w:rsidR="003C302E" w:rsidRPr="003C302E" w:rsidRDefault="003C302E" w:rsidP="003C302E">
      <w:pPr>
        <w:pStyle w:val="SingleTxtG"/>
        <w:tabs>
          <w:tab w:val="left" w:pos="2552"/>
        </w:tabs>
        <w:ind w:left="2552" w:hanging="567"/>
        <w:rPr>
          <w:lang w:val="en-GB"/>
        </w:rPr>
      </w:pPr>
      <w:r w:rsidRPr="003C302E">
        <w:rPr>
          <w:lang w:val="en-GB"/>
        </w:rPr>
        <w:t>(a)</w:t>
      </w:r>
      <w:r w:rsidRPr="003C302E">
        <w:rPr>
          <w:lang w:val="en-GB"/>
        </w:rPr>
        <w:tab/>
        <w:t>Thorough inspection of the cargo transport unit prior to loading;</w:t>
      </w:r>
    </w:p>
    <w:p w:rsidR="003C302E" w:rsidRPr="003C302E" w:rsidRDefault="003C302E" w:rsidP="003C302E">
      <w:pPr>
        <w:pStyle w:val="SingleTxtG"/>
        <w:tabs>
          <w:tab w:val="left" w:pos="2552"/>
        </w:tabs>
        <w:ind w:left="2552" w:hanging="567"/>
        <w:rPr>
          <w:lang w:val="en-GB"/>
        </w:rPr>
      </w:pPr>
      <w:r w:rsidRPr="003C302E">
        <w:rPr>
          <w:lang w:val="en-GB"/>
        </w:rPr>
        <w:t>(b)</w:t>
      </w:r>
      <w:r w:rsidRPr="003C302E">
        <w:rPr>
          <w:lang w:val="en-GB"/>
        </w:rPr>
        <w:tab/>
        <w:t xml:space="preserve">Instructions to the carrier about the operation of the refrigeration system including a list of the suppliers of coolant available </w:t>
      </w:r>
      <w:proofErr w:type="spellStart"/>
      <w:r w:rsidRPr="003C302E">
        <w:rPr>
          <w:lang w:val="en-GB"/>
        </w:rPr>
        <w:t>en</w:t>
      </w:r>
      <w:proofErr w:type="spellEnd"/>
      <w:r w:rsidRPr="003C302E">
        <w:rPr>
          <w:lang w:val="en-GB"/>
        </w:rPr>
        <w:t xml:space="preserve"> route;</w:t>
      </w:r>
    </w:p>
    <w:p w:rsidR="003C302E" w:rsidRPr="003C302E" w:rsidRDefault="003C302E" w:rsidP="003C302E">
      <w:pPr>
        <w:pStyle w:val="SingleTxtG"/>
        <w:tabs>
          <w:tab w:val="left" w:pos="2552"/>
        </w:tabs>
        <w:ind w:left="2552" w:hanging="567"/>
        <w:rPr>
          <w:lang w:val="en-GB"/>
        </w:rPr>
      </w:pPr>
      <w:r w:rsidRPr="003C302E">
        <w:rPr>
          <w:lang w:val="en-GB"/>
        </w:rPr>
        <w:t>(c)</w:t>
      </w:r>
      <w:r w:rsidRPr="003C302E">
        <w:rPr>
          <w:lang w:val="en-GB"/>
        </w:rPr>
        <w:tab/>
        <w:t>Procedures to be followed in the event of loss of control;</w:t>
      </w:r>
    </w:p>
    <w:p w:rsidR="003C302E" w:rsidRPr="003C302E" w:rsidRDefault="003C302E" w:rsidP="003C302E">
      <w:pPr>
        <w:pStyle w:val="SingleTxtG"/>
        <w:tabs>
          <w:tab w:val="left" w:pos="2552"/>
        </w:tabs>
        <w:ind w:left="2552" w:hanging="567"/>
        <w:rPr>
          <w:lang w:val="en-GB"/>
        </w:rPr>
      </w:pPr>
      <w:r w:rsidRPr="003C302E">
        <w:rPr>
          <w:lang w:val="en-GB"/>
        </w:rPr>
        <w:t>(d)</w:t>
      </w:r>
      <w:r w:rsidRPr="003C302E">
        <w:rPr>
          <w:lang w:val="en-GB"/>
        </w:rPr>
        <w:tab/>
        <w:t>Regular monitoring of operating temperatures; and</w:t>
      </w:r>
    </w:p>
    <w:p w:rsidR="003C302E" w:rsidRPr="003C302E" w:rsidRDefault="003C302E" w:rsidP="003C302E">
      <w:pPr>
        <w:pStyle w:val="SingleTxtG"/>
        <w:tabs>
          <w:tab w:val="left" w:pos="2552"/>
        </w:tabs>
        <w:ind w:left="2552" w:hanging="567"/>
        <w:rPr>
          <w:lang w:val="en-GB"/>
        </w:rPr>
      </w:pPr>
      <w:r w:rsidRPr="003C302E">
        <w:rPr>
          <w:lang w:val="en-GB"/>
        </w:rPr>
        <w:t>(e)</w:t>
      </w:r>
      <w:r w:rsidRPr="003C302E">
        <w:rPr>
          <w:lang w:val="en-GB"/>
        </w:rPr>
        <w:tab/>
        <w:t>Provision of a back-up refrigeration system or spare parts.</w:t>
      </w:r>
    </w:p>
    <w:p w:rsidR="003C302E" w:rsidRPr="003C302E" w:rsidRDefault="003C302E" w:rsidP="003C302E">
      <w:pPr>
        <w:pStyle w:val="SingleTxtG"/>
        <w:rPr>
          <w:lang w:val="en-GB"/>
        </w:rPr>
      </w:pPr>
      <w:r w:rsidRPr="003C302E">
        <w:rPr>
          <w:lang w:val="en-GB"/>
        </w:rPr>
        <w:t>7.1.7.4.2</w:t>
      </w:r>
      <w:r w:rsidRPr="003C302E">
        <w:rPr>
          <w:lang w:val="en-GB"/>
        </w:rPr>
        <w:tab/>
        <w:t>Any control and temperature sensing devices in the refrigeration system shall be readily accessible and all electrical connections weather-proof. The temperature of air space within the cargo transport unit shall be measured by two independent sensors and the output shall be recorded so that temperature changes are readily detectable. The temperature shall be checked every four to six hours and logged. When substances having a control temperature of less than +25 °C are carried, the cargo transport unit shall be equipped with visible and audible alarms, powered independently of the refrigeration system, set to operate at or below the control temperature.</w:t>
      </w:r>
    </w:p>
    <w:p w:rsidR="003C302E" w:rsidRPr="003C302E" w:rsidRDefault="003C302E" w:rsidP="003C302E">
      <w:pPr>
        <w:pStyle w:val="SingleTxtG"/>
        <w:rPr>
          <w:lang w:val="en-GB"/>
        </w:rPr>
      </w:pPr>
      <w:r w:rsidRPr="003C302E">
        <w:rPr>
          <w:lang w:val="en-GB"/>
        </w:rPr>
        <w:t>7.1.7.4.3</w:t>
      </w:r>
      <w:r w:rsidRPr="003C302E">
        <w:rPr>
          <w:lang w:val="en-GB"/>
        </w:rPr>
        <w:tab/>
        <w:t>If during carriage the control temperature is exceeded, an alert procedure shall be initiated involving any necessary repairs to the refrigeration equipment or an increase in the cooling capacity (e.g. by adding liquid or solid refrigerants). The temperature shall also be checked frequently and preparations made for implementation of the emergency procedures. If the emergency temperature is reached, the emergency procedures shall be initiated.</w:t>
      </w:r>
    </w:p>
    <w:p w:rsidR="003C302E" w:rsidRPr="003C302E" w:rsidRDefault="003C302E" w:rsidP="003C302E">
      <w:pPr>
        <w:pStyle w:val="SingleTxtG"/>
        <w:rPr>
          <w:lang w:val="en-GB"/>
        </w:rPr>
      </w:pPr>
      <w:r w:rsidRPr="003C302E">
        <w:rPr>
          <w:lang w:val="en-GB"/>
        </w:rPr>
        <w:t>7.1.7.4.4</w:t>
      </w:r>
      <w:r w:rsidRPr="003C302E">
        <w:rPr>
          <w:lang w:val="en-GB"/>
        </w:rPr>
        <w:tab/>
        <w:t xml:space="preserve">The suitability of a </w:t>
      </w:r>
      <w:proofErr w:type="gramStart"/>
      <w:r w:rsidRPr="003C302E">
        <w:rPr>
          <w:lang w:val="en-GB"/>
        </w:rPr>
        <w:t>particular means</w:t>
      </w:r>
      <w:proofErr w:type="gramEnd"/>
      <w:r w:rsidRPr="003C302E">
        <w:rPr>
          <w:lang w:val="en-GB"/>
        </w:rPr>
        <w:t xml:space="preserve"> of temperature control for carriage depends on a number of factors. Factors to be considered include:</w:t>
      </w:r>
    </w:p>
    <w:p w:rsidR="003C302E" w:rsidRPr="003C302E" w:rsidRDefault="003C302E" w:rsidP="003C302E">
      <w:pPr>
        <w:pStyle w:val="SingleTxtG"/>
        <w:tabs>
          <w:tab w:val="left" w:pos="2552"/>
        </w:tabs>
        <w:ind w:left="2552" w:hanging="567"/>
        <w:rPr>
          <w:lang w:val="en-GB"/>
        </w:rPr>
      </w:pPr>
      <w:r w:rsidRPr="003C302E">
        <w:rPr>
          <w:lang w:val="en-GB"/>
        </w:rPr>
        <w:t>(a)</w:t>
      </w:r>
      <w:r w:rsidRPr="003C302E">
        <w:rPr>
          <w:lang w:val="en-GB"/>
        </w:rPr>
        <w:tab/>
        <w:t>The control temperature(s) of the substance(s) to be carried;</w:t>
      </w:r>
    </w:p>
    <w:p w:rsidR="003C302E" w:rsidRPr="003C302E" w:rsidRDefault="003C302E" w:rsidP="003C302E">
      <w:pPr>
        <w:pStyle w:val="SingleTxtG"/>
        <w:tabs>
          <w:tab w:val="left" w:pos="2552"/>
        </w:tabs>
        <w:ind w:left="2552" w:hanging="567"/>
        <w:rPr>
          <w:lang w:val="en-GB"/>
        </w:rPr>
      </w:pPr>
      <w:r w:rsidRPr="003C302E">
        <w:rPr>
          <w:lang w:val="en-GB"/>
        </w:rPr>
        <w:t>(b)</w:t>
      </w:r>
      <w:r w:rsidRPr="003C302E">
        <w:rPr>
          <w:lang w:val="en-GB"/>
        </w:rPr>
        <w:tab/>
        <w:t>The difference between the control temperature and the anticipated ambient temperature conditions;</w:t>
      </w:r>
    </w:p>
    <w:p w:rsidR="003C302E" w:rsidRPr="003C302E" w:rsidRDefault="003C302E" w:rsidP="003C302E">
      <w:pPr>
        <w:pStyle w:val="SingleTxtG"/>
        <w:tabs>
          <w:tab w:val="left" w:pos="2552"/>
        </w:tabs>
        <w:ind w:left="2552" w:hanging="567"/>
        <w:rPr>
          <w:lang w:val="en-GB"/>
        </w:rPr>
      </w:pPr>
      <w:r w:rsidRPr="003C302E">
        <w:rPr>
          <w:lang w:val="en-GB"/>
        </w:rPr>
        <w:t>(c)</w:t>
      </w:r>
      <w:r w:rsidRPr="003C302E">
        <w:rPr>
          <w:lang w:val="en-GB"/>
        </w:rPr>
        <w:tab/>
        <w:t>The effectiveness of the thermal insulation;</w:t>
      </w:r>
    </w:p>
    <w:p w:rsidR="003C302E" w:rsidRPr="003C302E" w:rsidRDefault="003C302E" w:rsidP="003C302E">
      <w:pPr>
        <w:pStyle w:val="SingleTxtG"/>
        <w:tabs>
          <w:tab w:val="left" w:pos="2552"/>
        </w:tabs>
        <w:ind w:left="2552" w:hanging="567"/>
        <w:rPr>
          <w:lang w:val="en-GB"/>
        </w:rPr>
      </w:pPr>
      <w:r w:rsidRPr="003C302E">
        <w:rPr>
          <w:lang w:val="en-GB"/>
        </w:rPr>
        <w:t>(d)</w:t>
      </w:r>
      <w:r w:rsidRPr="003C302E">
        <w:rPr>
          <w:lang w:val="en-GB"/>
        </w:rPr>
        <w:tab/>
        <w:t>The duration of carriage; and</w:t>
      </w:r>
    </w:p>
    <w:p w:rsidR="003C302E" w:rsidRPr="003C302E" w:rsidRDefault="003C302E" w:rsidP="003C302E">
      <w:pPr>
        <w:pStyle w:val="SingleTxtG"/>
        <w:tabs>
          <w:tab w:val="left" w:pos="2552"/>
        </w:tabs>
        <w:ind w:left="2552" w:hanging="567"/>
        <w:rPr>
          <w:lang w:val="en-GB"/>
        </w:rPr>
      </w:pPr>
      <w:r w:rsidRPr="003C302E">
        <w:rPr>
          <w:lang w:val="en-GB"/>
        </w:rPr>
        <w:lastRenderedPageBreak/>
        <w:t>(e)</w:t>
      </w:r>
      <w:r w:rsidRPr="003C302E">
        <w:rPr>
          <w:lang w:val="en-GB"/>
        </w:rPr>
        <w:tab/>
        <w:t>Allowance of a safety margin for delays.</w:t>
      </w:r>
    </w:p>
    <w:p w:rsidR="003C302E" w:rsidRPr="003C302E" w:rsidRDefault="003C302E" w:rsidP="003C302E">
      <w:pPr>
        <w:pStyle w:val="SingleTxtG"/>
        <w:rPr>
          <w:lang w:val="en-GB"/>
        </w:rPr>
      </w:pPr>
      <w:r w:rsidRPr="003C302E">
        <w:rPr>
          <w:lang w:val="en-GB"/>
        </w:rPr>
        <w:t>7.1.7.4.5</w:t>
      </w:r>
      <w:r w:rsidRPr="003C302E">
        <w:rPr>
          <w:lang w:val="en-GB"/>
        </w:rPr>
        <w:tab/>
        <w:t>Suitable methods for preventing the control temperature being exceeded are, in order of increasing control capability:</w:t>
      </w:r>
    </w:p>
    <w:p w:rsidR="003C302E" w:rsidRPr="003C302E" w:rsidRDefault="003C302E" w:rsidP="003C302E">
      <w:pPr>
        <w:pStyle w:val="SingleTxtG"/>
        <w:tabs>
          <w:tab w:val="left" w:pos="2552"/>
        </w:tabs>
        <w:ind w:left="2552" w:hanging="567"/>
        <w:rPr>
          <w:lang w:val="en-GB"/>
        </w:rPr>
      </w:pPr>
      <w:r w:rsidRPr="003C302E">
        <w:rPr>
          <w:lang w:val="en-GB"/>
        </w:rPr>
        <w:t>(a)</w:t>
      </w:r>
      <w:r w:rsidRPr="003C302E">
        <w:rPr>
          <w:lang w:val="en-GB"/>
        </w:rPr>
        <w:tab/>
        <w:t>Thermal insulation provided that the initial temperature of the substance(s) to be carried is sufficiently below the control temperature;</w:t>
      </w:r>
    </w:p>
    <w:p w:rsidR="003C302E" w:rsidRPr="003C302E" w:rsidRDefault="003C302E" w:rsidP="003C302E">
      <w:pPr>
        <w:pStyle w:val="SingleTxtG"/>
        <w:tabs>
          <w:tab w:val="left" w:pos="2552"/>
        </w:tabs>
        <w:ind w:left="2552" w:hanging="567"/>
        <w:rPr>
          <w:lang w:val="en-GB"/>
        </w:rPr>
      </w:pPr>
      <w:r w:rsidRPr="003C302E">
        <w:rPr>
          <w:lang w:val="en-GB"/>
        </w:rPr>
        <w:t>(b)</w:t>
      </w:r>
      <w:r w:rsidRPr="003C302E">
        <w:rPr>
          <w:lang w:val="en-GB"/>
        </w:rPr>
        <w:tab/>
        <w:t>Thermal insulation with coolant system provided that:</w:t>
      </w:r>
    </w:p>
    <w:p w:rsidR="003C302E" w:rsidRPr="003C302E" w:rsidRDefault="003C302E" w:rsidP="003C302E">
      <w:pPr>
        <w:pStyle w:val="SingleTxtG"/>
        <w:tabs>
          <w:tab w:val="left" w:pos="1985"/>
          <w:tab w:val="left" w:pos="3119"/>
        </w:tabs>
        <w:ind w:left="3119" w:hanging="567"/>
        <w:rPr>
          <w:lang w:val="en-GB"/>
        </w:rPr>
      </w:pPr>
      <w:r w:rsidRPr="003C302E">
        <w:rPr>
          <w:lang w:val="en-GB"/>
        </w:rPr>
        <w:t>(</w:t>
      </w:r>
      <w:proofErr w:type="spellStart"/>
      <w:r w:rsidRPr="003C302E">
        <w:rPr>
          <w:lang w:val="en-GB"/>
        </w:rPr>
        <w:t>i</w:t>
      </w:r>
      <w:proofErr w:type="spellEnd"/>
      <w:r w:rsidRPr="003C302E">
        <w:rPr>
          <w:lang w:val="en-GB"/>
        </w:rPr>
        <w:t>)</w:t>
      </w:r>
      <w:r w:rsidRPr="003C302E">
        <w:rPr>
          <w:lang w:val="en-GB"/>
        </w:rPr>
        <w:tab/>
        <w:t>An adequate quantity of non-flammable coolant (e.g. liquid nitrogen or solid carbon dioxide), allowing a reasonable margin for delay, is carried or a means of replenishment is assured;</w:t>
      </w:r>
    </w:p>
    <w:p w:rsidR="003C302E" w:rsidRPr="003C302E" w:rsidRDefault="003C302E" w:rsidP="003C302E">
      <w:pPr>
        <w:pStyle w:val="SingleTxtG"/>
        <w:tabs>
          <w:tab w:val="left" w:pos="1985"/>
          <w:tab w:val="left" w:pos="3119"/>
        </w:tabs>
        <w:ind w:left="3119" w:hanging="567"/>
        <w:rPr>
          <w:lang w:val="en-GB"/>
        </w:rPr>
      </w:pPr>
      <w:r w:rsidRPr="003C302E">
        <w:rPr>
          <w:lang w:val="en-GB"/>
        </w:rPr>
        <w:t>(ii)</w:t>
      </w:r>
      <w:r w:rsidRPr="003C302E">
        <w:rPr>
          <w:lang w:val="en-GB"/>
        </w:rPr>
        <w:tab/>
        <w:t>Liquid oxygen or air is not used as coolant;</w:t>
      </w:r>
    </w:p>
    <w:p w:rsidR="003C302E" w:rsidRPr="003C302E" w:rsidRDefault="003C302E" w:rsidP="003C302E">
      <w:pPr>
        <w:pStyle w:val="SingleTxtG"/>
        <w:tabs>
          <w:tab w:val="left" w:pos="1985"/>
          <w:tab w:val="left" w:pos="3119"/>
        </w:tabs>
        <w:ind w:left="3119" w:hanging="567"/>
        <w:rPr>
          <w:lang w:val="en-GB"/>
        </w:rPr>
      </w:pPr>
      <w:r w:rsidRPr="003C302E">
        <w:rPr>
          <w:lang w:val="en-GB"/>
        </w:rPr>
        <w:t>(iii)</w:t>
      </w:r>
      <w:r w:rsidRPr="003C302E">
        <w:rPr>
          <w:lang w:val="en-GB"/>
        </w:rPr>
        <w:tab/>
        <w:t>There is a uniform cooling effect even when most of the coolant has been consumed; and</w:t>
      </w:r>
    </w:p>
    <w:p w:rsidR="003C302E" w:rsidRPr="003C302E" w:rsidRDefault="003C302E" w:rsidP="003C302E">
      <w:pPr>
        <w:pStyle w:val="SingleTxtG"/>
        <w:tabs>
          <w:tab w:val="left" w:pos="1985"/>
          <w:tab w:val="left" w:pos="3119"/>
        </w:tabs>
        <w:ind w:left="3119" w:hanging="567"/>
        <w:rPr>
          <w:lang w:val="en-GB"/>
        </w:rPr>
      </w:pPr>
      <w:r w:rsidRPr="003C302E">
        <w:rPr>
          <w:lang w:val="en-GB"/>
        </w:rPr>
        <w:t>(iv)</w:t>
      </w:r>
      <w:r w:rsidRPr="003C302E">
        <w:rPr>
          <w:lang w:val="en-GB"/>
        </w:rPr>
        <w:tab/>
        <w:t>The need to ventilate the transport unit before entering is clearly indicated by a warning on the door(s) of the transport unit;</w:t>
      </w:r>
    </w:p>
    <w:p w:rsidR="003C302E" w:rsidRPr="003C302E" w:rsidRDefault="003C302E" w:rsidP="003C302E">
      <w:pPr>
        <w:pStyle w:val="SingleTxtG"/>
        <w:tabs>
          <w:tab w:val="left" w:pos="2552"/>
        </w:tabs>
        <w:ind w:left="2552" w:hanging="567"/>
        <w:rPr>
          <w:lang w:val="en-GB"/>
        </w:rPr>
      </w:pPr>
      <w:r w:rsidRPr="003C302E">
        <w:rPr>
          <w:lang w:val="en-GB"/>
        </w:rPr>
        <w:t>(c)</w:t>
      </w:r>
      <w:r w:rsidRPr="003C302E">
        <w:rPr>
          <w:lang w:val="en-GB"/>
        </w:rPr>
        <w:tab/>
        <w:t xml:space="preserve">Thermal insulation and single mechanical refrigeration provided that for substance(s) to be carried with a flash point lower than the sum of the emergency temperature plus 5 °C explosion-proof electrical fittings, </w:t>
      </w:r>
      <w:proofErr w:type="spellStart"/>
      <w:r w:rsidRPr="003C302E">
        <w:rPr>
          <w:lang w:val="en-GB"/>
        </w:rPr>
        <w:t>EEx</w:t>
      </w:r>
      <w:proofErr w:type="spellEnd"/>
      <w:r w:rsidRPr="003C302E">
        <w:rPr>
          <w:lang w:val="en-GB"/>
        </w:rPr>
        <w:t xml:space="preserve"> IIB T3 are used within the cooling compartment to prevent ignition of flammable vapours from the substances;</w:t>
      </w:r>
    </w:p>
    <w:p w:rsidR="003C302E" w:rsidRPr="003C302E" w:rsidRDefault="003C302E" w:rsidP="003C302E">
      <w:pPr>
        <w:pStyle w:val="SingleTxtG"/>
        <w:tabs>
          <w:tab w:val="left" w:pos="2552"/>
        </w:tabs>
        <w:ind w:left="2552" w:hanging="567"/>
        <w:rPr>
          <w:lang w:val="en-GB"/>
        </w:rPr>
      </w:pPr>
      <w:r w:rsidRPr="003C302E">
        <w:rPr>
          <w:lang w:val="en-GB"/>
        </w:rPr>
        <w:t>(d)</w:t>
      </w:r>
      <w:r w:rsidRPr="003C302E">
        <w:rPr>
          <w:lang w:val="en-GB"/>
        </w:rPr>
        <w:tab/>
        <w:t>Thermal insulation and combined mechanical refrigeration system with coolant system; provided that:</w:t>
      </w:r>
    </w:p>
    <w:p w:rsidR="003C302E" w:rsidRPr="003C302E" w:rsidRDefault="003C302E" w:rsidP="003C302E">
      <w:pPr>
        <w:pStyle w:val="SingleTxtG"/>
        <w:tabs>
          <w:tab w:val="left" w:pos="1985"/>
          <w:tab w:val="left" w:pos="3119"/>
        </w:tabs>
        <w:ind w:left="3119" w:hanging="567"/>
        <w:rPr>
          <w:lang w:val="en-GB"/>
        </w:rPr>
      </w:pPr>
      <w:r w:rsidRPr="003C302E">
        <w:rPr>
          <w:lang w:val="en-GB"/>
        </w:rPr>
        <w:t>(</w:t>
      </w:r>
      <w:proofErr w:type="spellStart"/>
      <w:r w:rsidRPr="003C302E">
        <w:rPr>
          <w:lang w:val="en-GB"/>
        </w:rPr>
        <w:t>i</w:t>
      </w:r>
      <w:proofErr w:type="spellEnd"/>
      <w:r w:rsidRPr="003C302E">
        <w:rPr>
          <w:lang w:val="en-GB"/>
        </w:rPr>
        <w:t>)</w:t>
      </w:r>
      <w:r w:rsidRPr="003C302E">
        <w:rPr>
          <w:lang w:val="en-GB"/>
        </w:rPr>
        <w:tab/>
        <w:t>The two systems are independent of one another;</w:t>
      </w:r>
    </w:p>
    <w:p w:rsidR="003C302E" w:rsidRPr="003C302E" w:rsidRDefault="003C302E" w:rsidP="003C302E">
      <w:pPr>
        <w:pStyle w:val="SingleTxtG"/>
        <w:tabs>
          <w:tab w:val="left" w:pos="1985"/>
          <w:tab w:val="left" w:pos="3119"/>
        </w:tabs>
        <w:ind w:left="3119" w:hanging="567"/>
        <w:rPr>
          <w:lang w:val="en-GB"/>
        </w:rPr>
      </w:pPr>
      <w:r w:rsidRPr="003C302E">
        <w:rPr>
          <w:lang w:val="en-GB"/>
        </w:rPr>
        <w:t>(ii)</w:t>
      </w:r>
      <w:r w:rsidRPr="003C302E">
        <w:rPr>
          <w:lang w:val="en-GB"/>
        </w:rPr>
        <w:tab/>
        <w:t>The provisions in (b) and (c) are complied with;</w:t>
      </w:r>
    </w:p>
    <w:p w:rsidR="003C302E" w:rsidRPr="003C302E" w:rsidRDefault="003C302E" w:rsidP="003C302E">
      <w:pPr>
        <w:pStyle w:val="SingleTxtG"/>
        <w:tabs>
          <w:tab w:val="left" w:pos="2552"/>
        </w:tabs>
        <w:ind w:left="2552" w:hanging="567"/>
        <w:rPr>
          <w:lang w:val="en-GB"/>
        </w:rPr>
      </w:pPr>
      <w:r w:rsidRPr="003C302E">
        <w:rPr>
          <w:lang w:val="en-GB"/>
        </w:rPr>
        <w:t>(e)</w:t>
      </w:r>
      <w:r w:rsidRPr="003C302E">
        <w:rPr>
          <w:lang w:val="en-GB"/>
        </w:rPr>
        <w:tab/>
        <w:t>Thermal insulation and dual mechanical refrigeration system; provided that:</w:t>
      </w:r>
    </w:p>
    <w:p w:rsidR="003C302E" w:rsidRPr="003C302E" w:rsidRDefault="003C302E" w:rsidP="003C302E">
      <w:pPr>
        <w:pStyle w:val="SingleTxtG"/>
        <w:tabs>
          <w:tab w:val="left" w:pos="1985"/>
          <w:tab w:val="left" w:pos="3119"/>
        </w:tabs>
        <w:ind w:left="3119" w:hanging="567"/>
        <w:rPr>
          <w:lang w:val="en-GB"/>
        </w:rPr>
      </w:pPr>
      <w:r w:rsidRPr="003C302E">
        <w:rPr>
          <w:lang w:val="en-GB"/>
        </w:rPr>
        <w:t>(</w:t>
      </w:r>
      <w:proofErr w:type="spellStart"/>
      <w:r w:rsidRPr="003C302E">
        <w:rPr>
          <w:lang w:val="en-GB"/>
        </w:rPr>
        <w:t>i</w:t>
      </w:r>
      <w:proofErr w:type="spellEnd"/>
      <w:r w:rsidRPr="003C302E">
        <w:rPr>
          <w:lang w:val="en-GB"/>
        </w:rPr>
        <w:t>)</w:t>
      </w:r>
      <w:r w:rsidRPr="003C302E">
        <w:rPr>
          <w:lang w:val="en-GB"/>
        </w:rPr>
        <w:tab/>
        <w:t>Apart from the integral power supply unit, the two systems are independent of one another;</w:t>
      </w:r>
    </w:p>
    <w:p w:rsidR="003C302E" w:rsidRPr="003C302E" w:rsidRDefault="003C302E" w:rsidP="003C302E">
      <w:pPr>
        <w:pStyle w:val="SingleTxtG"/>
        <w:tabs>
          <w:tab w:val="left" w:pos="1985"/>
          <w:tab w:val="left" w:pos="3119"/>
        </w:tabs>
        <w:ind w:left="3119" w:hanging="567"/>
        <w:rPr>
          <w:lang w:val="en-GB"/>
        </w:rPr>
      </w:pPr>
      <w:r w:rsidRPr="003C302E">
        <w:rPr>
          <w:lang w:val="en-GB"/>
        </w:rPr>
        <w:t>(ii)</w:t>
      </w:r>
      <w:r w:rsidRPr="003C302E">
        <w:rPr>
          <w:lang w:val="en-GB"/>
        </w:rPr>
        <w:tab/>
        <w:t xml:space="preserve">Each system alone </w:t>
      </w:r>
      <w:proofErr w:type="gramStart"/>
      <w:r w:rsidRPr="003C302E">
        <w:rPr>
          <w:lang w:val="en-GB"/>
        </w:rPr>
        <w:t>is capable of maintaining</w:t>
      </w:r>
      <w:proofErr w:type="gramEnd"/>
      <w:r w:rsidRPr="003C302E">
        <w:rPr>
          <w:lang w:val="en-GB"/>
        </w:rPr>
        <w:t xml:space="preserve"> adequate temperature control; and</w:t>
      </w:r>
    </w:p>
    <w:p w:rsidR="003C302E" w:rsidRPr="003C302E" w:rsidRDefault="003C302E" w:rsidP="003C302E">
      <w:pPr>
        <w:pStyle w:val="SingleTxtG"/>
        <w:tabs>
          <w:tab w:val="left" w:pos="1985"/>
          <w:tab w:val="left" w:pos="3119"/>
        </w:tabs>
        <w:ind w:left="3119" w:hanging="567"/>
        <w:rPr>
          <w:lang w:val="en-GB"/>
        </w:rPr>
      </w:pPr>
      <w:r w:rsidRPr="003C302E">
        <w:rPr>
          <w:lang w:val="en-GB"/>
        </w:rPr>
        <w:t>(iii)</w:t>
      </w:r>
      <w:r w:rsidRPr="003C302E">
        <w:rPr>
          <w:lang w:val="en-GB"/>
        </w:rPr>
        <w:tab/>
        <w:t xml:space="preserve">For substance(s) to be carried with a flash point lower than the sum of the emergency temperature plus 5 °C explosion-proof electrical fittings, </w:t>
      </w:r>
      <w:proofErr w:type="spellStart"/>
      <w:r w:rsidRPr="003C302E">
        <w:rPr>
          <w:lang w:val="en-GB"/>
        </w:rPr>
        <w:t>EEx</w:t>
      </w:r>
      <w:proofErr w:type="spellEnd"/>
      <w:r w:rsidRPr="003C302E">
        <w:rPr>
          <w:lang w:val="en-GB"/>
        </w:rPr>
        <w:t xml:space="preserve"> IIB T3 are used within the cooling compartment to prevent ignition of flammable vapours from the substances.</w:t>
      </w:r>
    </w:p>
    <w:p w:rsidR="003C302E" w:rsidRPr="003C302E" w:rsidRDefault="003C302E" w:rsidP="003C302E">
      <w:pPr>
        <w:pStyle w:val="SingleTxtG"/>
        <w:rPr>
          <w:lang w:val="en-GB"/>
        </w:rPr>
      </w:pPr>
      <w:r w:rsidRPr="003C302E">
        <w:rPr>
          <w:lang w:val="en-GB"/>
        </w:rPr>
        <w:t>7.1.7.4.6</w:t>
      </w:r>
      <w:r w:rsidRPr="003C302E">
        <w:rPr>
          <w:lang w:val="en-GB"/>
        </w:rPr>
        <w:tab/>
        <w:t>The methods described in 7.1.7.4.5 (d) and (e) may be used for all organic peroxides and self-reactive substances and polymerizing substances.</w:t>
      </w:r>
    </w:p>
    <w:p w:rsidR="003C302E" w:rsidRPr="003C302E" w:rsidRDefault="003C302E" w:rsidP="00B842E5">
      <w:pPr>
        <w:pStyle w:val="SingleTxtG"/>
        <w:ind w:firstLine="567"/>
        <w:rPr>
          <w:lang w:val="en-GB"/>
        </w:rPr>
      </w:pPr>
      <w:r w:rsidRPr="003C302E">
        <w:rPr>
          <w:lang w:val="en-GB"/>
        </w:rPr>
        <w:t>The method described in 7.1.7.4.5 (c) may be used for organic peroxides and self-reactive substances of Types C, D, E and F and, when the maximum ambient temperature to be expected during carriage does not exceed the control temperature by more than 10 °C, for organic peroxides and self-reactive substances of Type B and polymerizing substances.</w:t>
      </w:r>
    </w:p>
    <w:p w:rsidR="003C302E" w:rsidRPr="003C302E" w:rsidRDefault="003C302E" w:rsidP="00B842E5">
      <w:pPr>
        <w:pStyle w:val="SingleTxtG"/>
        <w:ind w:firstLine="567"/>
        <w:rPr>
          <w:lang w:val="en-GB"/>
        </w:rPr>
      </w:pPr>
      <w:r w:rsidRPr="003C302E">
        <w:rPr>
          <w:lang w:val="en-GB"/>
        </w:rPr>
        <w:t>The method described in 7.1.7.4.5 (b) may be used for organic peroxides and self-reactive substances of Types C, D, E and F and polymerizing substances when the maximum ambient temperature to be expected during carriage does not exceed the control temperature by more than 30 °C.</w:t>
      </w:r>
    </w:p>
    <w:p w:rsidR="003C302E" w:rsidRPr="003C302E" w:rsidRDefault="003C302E" w:rsidP="00B842E5">
      <w:pPr>
        <w:pStyle w:val="SingleTxtG"/>
        <w:ind w:firstLine="567"/>
        <w:rPr>
          <w:lang w:val="en-GB"/>
        </w:rPr>
      </w:pPr>
      <w:r w:rsidRPr="003C302E">
        <w:rPr>
          <w:lang w:val="en-GB"/>
        </w:rPr>
        <w:lastRenderedPageBreak/>
        <w:t>The method described in 7.1.7.4.5 (a) may be used for organic peroxides and self-reactive substances of Types C, D, E and F and polymerizing substances when the maximum ambient temperature to be expected during carriage is at least 10 °C below the control temperature.</w:t>
      </w:r>
    </w:p>
    <w:p w:rsidR="003C302E" w:rsidRPr="003C302E" w:rsidRDefault="003C302E" w:rsidP="003C302E">
      <w:pPr>
        <w:pStyle w:val="SingleTxtG"/>
        <w:rPr>
          <w:lang w:val="en-GB"/>
        </w:rPr>
      </w:pPr>
      <w:r w:rsidRPr="003C302E">
        <w:rPr>
          <w:lang w:val="en-GB"/>
        </w:rPr>
        <w:t>7.1.7.4.7</w:t>
      </w:r>
      <w:r w:rsidRPr="003C302E">
        <w:rPr>
          <w:lang w:val="en-GB"/>
        </w:rPr>
        <w:tab/>
        <w:t>Where substances are required to be carried in insulated, refrigerated or mechanically-refrigerated vehicles or containers, these vehicles or containers shall satisfy the requirements of Chapter 9.6</w:t>
      </w:r>
      <w:r w:rsidR="00D5503C">
        <w:rPr>
          <w:lang w:val="en-GB"/>
        </w:rPr>
        <w:t xml:space="preserve"> </w:t>
      </w:r>
      <w:r w:rsidR="00D5503C" w:rsidRPr="00412D29">
        <w:rPr>
          <w:lang w:val="en-GB"/>
        </w:rPr>
        <w:t>of ADR</w:t>
      </w:r>
      <w:r w:rsidRPr="00412D29">
        <w:rPr>
          <w:lang w:val="en-GB"/>
        </w:rPr>
        <w:t>.</w:t>
      </w:r>
    </w:p>
    <w:p w:rsidR="003C302E" w:rsidRPr="003C302E" w:rsidRDefault="003C302E" w:rsidP="003C302E">
      <w:pPr>
        <w:pStyle w:val="SingleTxtG"/>
        <w:rPr>
          <w:lang w:val="en-GB"/>
        </w:rPr>
      </w:pPr>
      <w:r w:rsidRPr="003C302E">
        <w:rPr>
          <w:lang w:val="en-GB"/>
        </w:rPr>
        <w:t>7.1.7.4.8</w:t>
      </w:r>
      <w:r w:rsidRPr="003C302E">
        <w:rPr>
          <w:lang w:val="en-GB"/>
        </w:rPr>
        <w:tab/>
        <w:t xml:space="preserve">If substances are contained in protective </w:t>
      </w:r>
      <w:proofErr w:type="spellStart"/>
      <w:r w:rsidRPr="003C302E">
        <w:rPr>
          <w:lang w:val="en-GB"/>
        </w:rPr>
        <w:t>packagings</w:t>
      </w:r>
      <w:proofErr w:type="spellEnd"/>
      <w:r w:rsidRPr="003C302E">
        <w:rPr>
          <w:lang w:val="en-GB"/>
        </w:rPr>
        <w:t xml:space="preserve"> filled with a coolant, they shall be loaded in closed or sheeted vehicles or closed or sheeted containers. If the vehicles or containers used are closed they shall be adequately ventilated. Sheeted vehicles and containers shall be fitted with sideboards and a tailboard. The sheets of these vehicles and containers shall be of an impermeable and non-combustible material.”.</w:t>
      </w:r>
    </w:p>
    <w:p w:rsidR="00BD52F5" w:rsidRPr="003C302E" w:rsidRDefault="00BD52F5" w:rsidP="003C302E">
      <w:pPr>
        <w:pStyle w:val="SingleTxtG"/>
        <w:rPr>
          <w:lang w:val="en-GB"/>
        </w:rPr>
      </w:pPr>
      <w:r w:rsidRPr="002518B9">
        <w:rPr>
          <w:lang w:val="fr-FR"/>
        </w:rPr>
        <w:t>7.1.7</w:t>
      </w:r>
      <w:r w:rsidRPr="002518B9">
        <w:rPr>
          <w:lang w:val="fr-FR"/>
        </w:rPr>
        <w:tab/>
      </w:r>
      <w:r>
        <w:rPr>
          <w:lang w:val="fr-FR"/>
        </w:rPr>
        <w:t>Insert</w:t>
      </w:r>
      <w:r w:rsidRPr="002518B9">
        <w:rPr>
          <w:lang w:val="fr-FR"/>
        </w:rPr>
        <w:t xml:space="preserve"> </w:t>
      </w:r>
      <w:r>
        <w:t>"</w:t>
      </w:r>
      <w:r w:rsidRPr="002518B9">
        <w:rPr>
          <w:bCs/>
          <w:lang w:val="fr-FR"/>
        </w:rPr>
        <w:t>7.1.7.5</w:t>
      </w:r>
      <w:r>
        <w:rPr>
          <w:bCs/>
          <w:lang w:val="fr-FR"/>
        </w:rPr>
        <w:t xml:space="preserve"> to</w:t>
      </w:r>
      <w:r w:rsidRPr="002518B9">
        <w:rPr>
          <w:bCs/>
          <w:lang w:val="fr-FR"/>
        </w:rPr>
        <w:t xml:space="preserve"> </w:t>
      </w:r>
      <w:r w:rsidRPr="00CA2B2B">
        <w:rPr>
          <w:bCs/>
        </w:rPr>
        <w:t xml:space="preserve">7.1.9.99 </w:t>
      </w:r>
      <w:r w:rsidRPr="002518B9">
        <w:rPr>
          <w:bCs/>
          <w:i/>
          <w:lang w:val="fr-FR"/>
        </w:rPr>
        <w:t>(</w:t>
      </w:r>
      <w:r>
        <w:rPr>
          <w:bCs/>
          <w:i/>
          <w:lang w:val="fr-FR"/>
        </w:rPr>
        <w:t>Reserved</w:t>
      </w:r>
      <w:r w:rsidRPr="002518B9">
        <w:rPr>
          <w:bCs/>
          <w:i/>
          <w:lang w:val="fr-FR"/>
        </w:rPr>
        <w:t>)</w:t>
      </w:r>
      <w:r>
        <w:t>"</w:t>
      </w:r>
      <w:r w:rsidRPr="00CA2B2B">
        <w:t>.</w:t>
      </w:r>
    </w:p>
    <w:p w:rsidR="00133F18" w:rsidRPr="00C17E19" w:rsidRDefault="00133F18" w:rsidP="002B0C85">
      <w:pPr>
        <w:pStyle w:val="SingleTxtG"/>
        <w:spacing w:before="240" w:after="0"/>
        <w:jc w:val="center"/>
        <w:rPr>
          <w:u w:val="single"/>
          <w:lang w:val="en-GB"/>
        </w:rPr>
      </w:pPr>
      <w:r w:rsidRPr="00C17E19">
        <w:rPr>
          <w:u w:val="single"/>
          <w:lang w:val="en-GB"/>
        </w:rPr>
        <w:tab/>
      </w:r>
      <w:r w:rsidRPr="00C17E19">
        <w:rPr>
          <w:u w:val="single"/>
          <w:lang w:val="en-GB"/>
        </w:rPr>
        <w:tab/>
      </w:r>
      <w:r w:rsidRPr="00C17E19">
        <w:rPr>
          <w:u w:val="single"/>
          <w:lang w:val="en-GB"/>
        </w:rPr>
        <w:tab/>
      </w:r>
    </w:p>
    <w:sectPr w:rsidR="00133F18" w:rsidRPr="00C17E19" w:rsidSect="00F73F3A">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3CA" w:rsidRDefault="003B23CA"/>
  </w:endnote>
  <w:endnote w:type="continuationSeparator" w:id="0">
    <w:p w:rsidR="003B23CA" w:rsidRDefault="003B23CA"/>
  </w:endnote>
  <w:endnote w:type="continuationNotice" w:id="1">
    <w:p w:rsidR="003B23CA" w:rsidRPr="00BF38EF" w:rsidRDefault="003B23CA"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CB1" w:rsidRPr="00CD4281" w:rsidRDefault="00856CB1" w:rsidP="00CD4281">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sidR="00412D29">
      <w:rPr>
        <w:b/>
        <w:noProof/>
        <w:sz w:val="18"/>
      </w:rPr>
      <w:t>6</w:t>
    </w:r>
    <w:r w:rsidRPr="00CD428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CB1" w:rsidRPr="00CD4281" w:rsidRDefault="00856CB1" w:rsidP="00CD4281">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sidR="00412D29">
      <w:rPr>
        <w:b/>
        <w:noProof/>
        <w:sz w:val="18"/>
      </w:rPr>
      <w:t>7</w:t>
    </w:r>
    <w:r w:rsidRPr="00CD428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3CA" w:rsidRPr="00D27D5E" w:rsidRDefault="003B23CA" w:rsidP="00D27D5E">
      <w:pPr>
        <w:tabs>
          <w:tab w:val="right" w:pos="2155"/>
        </w:tabs>
        <w:spacing w:after="80"/>
        <w:ind w:left="680"/>
        <w:rPr>
          <w:u w:val="single"/>
        </w:rPr>
      </w:pPr>
      <w:r>
        <w:rPr>
          <w:u w:val="single"/>
        </w:rPr>
        <w:tab/>
      </w:r>
    </w:p>
  </w:footnote>
  <w:footnote w:type="continuationSeparator" w:id="0">
    <w:p w:rsidR="003B23CA" w:rsidRPr="00836A24" w:rsidRDefault="003B23CA" w:rsidP="00836A24">
      <w:pPr>
        <w:tabs>
          <w:tab w:val="right" w:pos="2155"/>
        </w:tabs>
        <w:spacing w:after="80"/>
        <w:ind w:left="680"/>
        <w:rPr>
          <w:u w:val="single"/>
        </w:rPr>
      </w:pPr>
      <w:r w:rsidRPr="00836A24">
        <w:rPr>
          <w:u w:val="single"/>
        </w:rPr>
        <w:tab/>
      </w:r>
    </w:p>
  </w:footnote>
  <w:footnote w:type="continuationNotice" w:id="1">
    <w:p w:rsidR="003B23CA" w:rsidRPr="00BF38EF" w:rsidRDefault="003B23CA" w:rsidP="00BF38EF">
      <w:pPr>
        <w:spacing w:line="240" w:lineRule="auto"/>
        <w:rPr>
          <w:sz w:val="2"/>
          <w:szCs w:val="2"/>
        </w:rPr>
      </w:pPr>
    </w:p>
  </w:footnote>
  <w:footnote w:id="2">
    <w:p w:rsidR="007B4DDE" w:rsidRPr="007B7B86" w:rsidRDefault="007B4DDE">
      <w:pPr>
        <w:pStyle w:val="FootnoteText"/>
        <w:rPr>
          <w:lang w:val="en-GB"/>
        </w:rPr>
      </w:pPr>
      <w:r>
        <w:tab/>
      </w:r>
      <w:r w:rsidRPr="007B7B86">
        <w:rPr>
          <w:rStyle w:val="FootnoteReference"/>
          <w:lang w:val="en-GB"/>
        </w:rPr>
        <w:t>*</w:t>
      </w:r>
      <w:r w:rsidRPr="007B7B86">
        <w:rPr>
          <w:lang w:val="en-GB"/>
        </w:rPr>
        <w:t xml:space="preserve"> </w:t>
      </w:r>
      <w:r w:rsidRPr="007B7B86">
        <w:rPr>
          <w:lang w:val="en-GB"/>
        </w:rPr>
        <w:tab/>
      </w:r>
      <w:r w:rsidRPr="00F56EBC">
        <w:rPr>
          <w:lang w:val="en-GB"/>
        </w:rPr>
        <w:t>Distributed in German by the Central Commission for the Navigation of the Rhine under the symbol CCNR/ZKR/ADN/</w:t>
      </w:r>
      <w:r>
        <w:rPr>
          <w:lang w:val="en-GB"/>
        </w:rPr>
        <w:t>45</w:t>
      </w:r>
      <w:r w:rsidRPr="00F56EBC">
        <w:rPr>
          <w:lang w:val="en-GB"/>
        </w:rPr>
        <w:t>/Add.1.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CB1" w:rsidRPr="00CD4281" w:rsidRDefault="00856CB1">
    <w:pPr>
      <w:pStyle w:val="Header"/>
    </w:pPr>
    <w:r>
      <w:t>ECE/</w:t>
    </w:r>
    <w:r w:rsidR="007B4DDE">
      <w:t>ADN/45/Add.1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CB1" w:rsidRPr="00CD4281" w:rsidRDefault="007B4DDE" w:rsidP="00CD4281">
    <w:pPr>
      <w:pStyle w:val="Header"/>
      <w:jc w:val="right"/>
    </w:pPr>
    <w:r>
      <w:t>ECE/ADN/45/Add.1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6D814109"/>
    <w:multiLevelType w:val="hybridMultilevel"/>
    <w:tmpl w:val="A9049804"/>
    <w:lvl w:ilvl="0" w:tplc="234C940A">
      <w:start w:val="2"/>
      <w:numFmt w:val="bullet"/>
      <w:lvlText w:val="–"/>
      <w:lvlJc w:val="left"/>
      <w:pPr>
        <w:ind w:left="2049" w:hanging="360"/>
      </w:pPr>
      <w:rPr>
        <w:rFonts w:ascii="Times New Roman" w:eastAsia="MS Mincho"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36"/>
    <w:rsid w:val="0000047A"/>
    <w:rsid w:val="00003C92"/>
    <w:rsid w:val="00016AC5"/>
    <w:rsid w:val="0003028E"/>
    <w:rsid w:val="00030ADE"/>
    <w:rsid w:val="000312C0"/>
    <w:rsid w:val="00053A02"/>
    <w:rsid w:val="00083A44"/>
    <w:rsid w:val="000B0D4D"/>
    <w:rsid w:val="000D65BC"/>
    <w:rsid w:val="000E4758"/>
    <w:rsid w:val="000F1640"/>
    <w:rsid w:val="000F41F2"/>
    <w:rsid w:val="0010156A"/>
    <w:rsid w:val="00122A8F"/>
    <w:rsid w:val="00133F18"/>
    <w:rsid w:val="00135C0D"/>
    <w:rsid w:val="00135F2D"/>
    <w:rsid w:val="00160540"/>
    <w:rsid w:val="0017182C"/>
    <w:rsid w:val="00171DAC"/>
    <w:rsid w:val="00175156"/>
    <w:rsid w:val="00177007"/>
    <w:rsid w:val="00186EE9"/>
    <w:rsid w:val="00192EEB"/>
    <w:rsid w:val="001947FF"/>
    <w:rsid w:val="001A20FB"/>
    <w:rsid w:val="001A2BD6"/>
    <w:rsid w:val="001B0BE2"/>
    <w:rsid w:val="001B6F40"/>
    <w:rsid w:val="001C61AA"/>
    <w:rsid w:val="001D7348"/>
    <w:rsid w:val="001D7F8A"/>
    <w:rsid w:val="001E2C5A"/>
    <w:rsid w:val="001E3FEB"/>
    <w:rsid w:val="001E4A02"/>
    <w:rsid w:val="001F3881"/>
    <w:rsid w:val="00215AA3"/>
    <w:rsid w:val="00223B89"/>
    <w:rsid w:val="00225A8C"/>
    <w:rsid w:val="00225F10"/>
    <w:rsid w:val="00234E40"/>
    <w:rsid w:val="00260EA1"/>
    <w:rsid w:val="002659F1"/>
    <w:rsid w:val="00271AAD"/>
    <w:rsid w:val="00271C7C"/>
    <w:rsid w:val="00281D82"/>
    <w:rsid w:val="00287E79"/>
    <w:rsid w:val="002928F9"/>
    <w:rsid w:val="00295BC5"/>
    <w:rsid w:val="002A5D07"/>
    <w:rsid w:val="002B0C85"/>
    <w:rsid w:val="002D7669"/>
    <w:rsid w:val="002E457A"/>
    <w:rsid w:val="002E6F0D"/>
    <w:rsid w:val="002F6E51"/>
    <w:rsid w:val="002F7AEC"/>
    <w:rsid w:val="003016B7"/>
    <w:rsid w:val="00320826"/>
    <w:rsid w:val="00330F9C"/>
    <w:rsid w:val="00332BC9"/>
    <w:rsid w:val="00335DC4"/>
    <w:rsid w:val="00340C35"/>
    <w:rsid w:val="00343C15"/>
    <w:rsid w:val="003515AA"/>
    <w:rsid w:val="00370E0F"/>
    <w:rsid w:val="00374106"/>
    <w:rsid w:val="003778FF"/>
    <w:rsid w:val="00386516"/>
    <w:rsid w:val="003976D5"/>
    <w:rsid w:val="003A2189"/>
    <w:rsid w:val="003A2976"/>
    <w:rsid w:val="003B23CA"/>
    <w:rsid w:val="003C302E"/>
    <w:rsid w:val="003C3BD4"/>
    <w:rsid w:val="003D1DF3"/>
    <w:rsid w:val="003D46A7"/>
    <w:rsid w:val="003D6C68"/>
    <w:rsid w:val="003E350F"/>
    <w:rsid w:val="003E5551"/>
    <w:rsid w:val="003F3DA4"/>
    <w:rsid w:val="0040179B"/>
    <w:rsid w:val="00412D29"/>
    <w:rsid w:val="004159D0"/>
    <w:rsid w:val="004249E7"/>
    <w:rsid w:val="00442D65"/>
    <w:rsid w:val="00447B86"/>
    <w:rsid w:val="004532CE"/>
    <w:rsid w:val="004812F5"/>
    <w:rsid w:val="00493C5D"/>
    <w:rsid w:val="004A5935"/>
    <w:rsid w:val="004B6380"/>
    <w:rsid w:val="004D0439"/>
    <w:rsid w:val="004D2EFE"/>
    <w:rsid w:val="004E670C"/>
    <w:rsid w:val="00513176"/>
    <w:rsid w:val="00530F2E"/>
    <w:rsid w:val="00542086"/>
    <w:rsid w:val="00543D5E"/>
    <w:rsid w:val="00564105"/>
    <w:rsid w:val="00571F41"/>
    <w:rsid w:val="005751C6"/>
    <w:rsid w:val="00580744"/>
    <w:rsid w:val="00595BE4"/>
    <w:rsid w:val="00597FD5"/>
    <w:rsid w:val="005B76A3"/>
    <w:rsid w:val="005C6D4D"/>
    <w:rsid w:val="005E5D1F"/>
    <w:rsid w:val="00603391"/>
    <w:rsid w:val="00611D43"/>
    <w:rsid w:val="00612D48"/>
    <w:rsid w:val="00616B45"/>
    <w:rsid w:val="00630D9B"/>
    <w:rsid w:val="00631953"/>
    <w:rsid w:val="0063383D"/>
    <w:rsid w:val="006439EC"/>
    <w:rsid w:val="00646CBB"/>
    <w:rsid w:val="00653D13"/>
    <w:rsid w:val="006644B5"/>
    <w:rsid w:val="006707FC"/>
    <w:rsid w:val="00673687"/>
    <w:rsid w:val="0068004D"/>
    <w:rsid w:val="006823B6"/>
    <w:rsid w:val="006B4590"/>
    <w:rsid w:val="006B573D"/>
    <w:rsid w:val="006C1F26"/>
    <w:rsid w:val="006C2D04"/>
    <w:rsid w:val="006C340C"/>
    <w:rsid w:val="006D3C84"/>
    <w:rsid w:val="006E5FC7"/>
    <w:rsid w:val="0070347C"/>
    <w:rsid w:val="00703489"/>
    <w:rsid w:val="0071135F"/>
    <w:rsid w:val="007135ED"/>
    <w:rsid w:val="007176C1"/>
    <w:rsid w:val="00723FD7"/>
    <w:rsid w:val="00735A79"/>
    <w:rsid w:val="00757D0A"/>
    <w:rsid w:val="007631C0"/>
    <w:rsid w:val="00763EB9"/>
    <w:rsid w:val="00775AED"/>
    <w:rsid w:val="00790336"/>
    <w:rsid w:val="00790F2F"/>
    <w:rsid w:val="00792096"/>
    <w:rsid w:val="007B4DDE"/>
    <w:rsid w:val="007B7B86"/>
    <w:rsid w:val="007C3C4F"/>
    <w:rsid w:val="007C6111"/>
    <w:rsid w:val="007E579B"/>
    <w:rsid w:val="007F55CB"/>
    <w:rsid w:val="00802B5E"/>
    <w:rsid w:val="00805BAD"/>
    <w:rsid w:val="008100E5"/>
    <w:rsid w:val="00812C1A"/>
    <w:rsid w:val="00825170"/>
    <w:rsid w:val="008317F6"/>
    <w:rsid w:val="00836A24"/>
    <w:rsid w:val="0083728C"/>
    <w:rsid w:val="008440B8"/>
    <w:rsid w:val="00844750"/>
    <w:rsid w:val="00856CB1"/>
    <w:rsid w:val="008A5190"/>
    <w:rsid w:val="008B44C4"/>
    <w:rsid w:val="008B7879"/>
    <w:rsid w:val="008C5FAD"/>
    <w:rsid w:val="008D3919"/>
    <w:rsid w:val="008E7FAE"/>
    <w:rsid w:val="008F40D2"/>
    <w:rsid w:val="008F77B8"/>
    <w:rsid w:val="009064BF"/>
    <w:rsid w:val="00911BF7"/>
    <w:rsid w:val="00916183"/>
    <w:rsid w:val="00935E45"/>
    <w:rsid w:val="00952FDB"/>
    <w:rsid w:val="00974DF0"/>
    <w:rsid w:val="00975B8F"/>
    <w:rsid w:val="009761FC"/>
    <w:rsid w:val="00977EC8"/>
    <w:rsid w:val="00983D68"/>
    <w:rsid w:val="00995D62"/>
    <w:rsid w:val="009B18A3"/>
    <w:rsid w:val="009C5907"/>
    <w:rsid w:val="009D3A8C"/>
    <w:rsid w:val="009E01B8"/>
    <w:rsid w:val="009E2194"/>
    <w:rsid w:val="009E7956"/>
    <w:rsid w:val="00A025E4"/>
    <w:rsid w:val="00A2161E"/>
    <w:rsid w:val="00A2492E"/>
    <w:rsid w:val="00A44C79"/>
    <w:rsid w:val="00A666CE"/>
    <w:rsid w:val="00A669C6"/>
    <w:rsid w:val="00A70163"/>
    <w:rsid w:val="00AB3EF4"/>
    <w:rsid w:val="00AC67A1"/>
    <w:rsid w:val="00AC7977"/>
    <w:rsid w:val="00AD15AE"/>
    <w:rsid w:val="00AD27FA"/>
    <w:rsid w:val="00AE352C"/>
    <w:rsid w:val="00AE5075"/>
    <w:rsid w:val="00B32E2D"/>
    <w:rsid w:val="00B4466B"/>
    <w:rsid w:val="00B61990"/>
    <w:rsid w:val="00B72D29"/>
    <w:rsid w:val="00B75EC5"/>
    <w:rsid w:val="00B842E5"/>
    <w:rsid w:val="00B85D99"/>
    <w:rsid w:val="00B93E72"/>
    <w:rsid w:val="00BA05E7"/>
    <w:rsid w:val="00BD52F5"/>
    <w:rsid w:val="00BD5D55"/>
    <w:rsid w:val="00BF0556"/>
    <w:rsid w:val="00BF38EF"/>
    <w:rsid w:val="00BF6F0C"/>
    <w:rsid w:val="00C0250B"/>
    <w:rsid w:val="00C17E19"/>
    <w:rsid w:val="00C24B53"/>
    <w:rsid w:val="00C261F8"/>
    <w:rsid w:val="00C26D07"/>
    <w:rsid w:val="00C27150"/>
    <w:rsid w:val="00C33100"/>
    <w:rsid w:val="00C43BB0"/>
    <w:rsid w:val="00C44213"/>
    <w:rsid w:val="00C57892"/>
    <w:rsid w:val="00C940E9"/>
    <w:rsid w:val="00CA1414"/>
    <w:rsid w:val="00CB17A1"/>
    <w:rsid w:val="00CB5269"/>
    <w:rsid w:val="00CB6267"/>
    <w:rsid w:val="00CB694A"/>
    <w:rsid w:val="00CD1A71"/>
    <w:rsid w:val="00CD1FBB"/>
    <w:rsid w:val="00CD4281"/>
    <w:rsid w:val="00CE5BF6"/>
    <w:rsid w:val="00D016B5"/>
    <w:rsid w:val="00D034F1"/>
    <w:rsid w:val="00D04D8B"/>
    <w:rsid w:val="00D05E95"/>
    <w:rsid w:val="00D11B17"/>
    <w:rsid w:val="00D205A3"/>
    <w:rsid w:val="00D24779"/>
    <w:rsid w:val="00D27D5E"/>
    <w:rsid w:val="00D5503C"/>
    <w:rsid w:val="00D60301"/>
    <w:rsid w:val="00D751D5"/>
    <w:rsid w:val="00D761E2"/>
    <w:rsid w:val="00DA57D4"/>
    <w:rsid w:val="00DB4793"/>
    <w:rsid w:val="00DE01E3"/>
    <w:rsid w:val="00DE45DF"/>
    <w:rsid w:val="00DE6D90"/>
    <w:rsid w:val="00DE7B6E"/>
    <w:rsid w:val="00DF002F"/>
    <w:rsid w:val="00E0244D"/>
    <w:rsid w:val="00E0331A"/>
    <w:rsid w:val="00E11978"/>
    <w:rsid w:val="00E37AE2"/>
    <w:rsid w:val="00E401F2"/>
    <w:rsid w:val="00E413D8"/>
    <w:rsid w:val="00E47862"/>
    <w:rsid w:val="00E50079"/>
    <w:rsid w:val="00E55D71"/>
    <w:rsid w:val="00E81E94"/>
    <w:rsid w:val="00E82607"/>
    <w:rsid w:val="00EA31C2"/>
    <w:rsid w:val="00EC66F9"/>
    <w:rsid w:val="00ED734B"/>
    <w:rsid w:val="00ED7E18"/>
    <w:rsid w:val="00EE2EA3"/>
    <w:rsid w:val="00EF1183"/>
    <w:rsid w:val="00EF486C"/>
    <w:rsid w:val="00EF6EE5"/>
    <w:rsid w:val="00F01516"/>
    <w:rsid w:val="00F0492A"/>
    <w:rsid w:val="00F460D3"/>
    <w:rsid w:val="00F524BE"/>
    <w:rsid w:val="00F57129"/>
    <w:rsid w:val="00F73F3A"/>
    <w:rsid w:val="00FA5A79"/>
    <w:rsid w:val="00FB00CB"/>
    <w:rsid w:val="00FB0BFE"/>
    <w:rsid w:val="00FB129B"/>
    <w:rsid w:val="00FB4C51"/>
    <w:rsid w:val="00FB62F2"/>
    <w:rsid w:val="00FF10CF"/>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14B464BF"/>
  <w15:docId w15:val="{C0B48E60-ED99-4389-BFAA-ECBD6A7B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link w:val="Heading7Char"/>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uiPriority w:val="99"/>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Footnote Reference/"/>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link w:val="FootnoteTextChar"/>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semiHidden/>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2E6F0D"/>
    <w:rPr>
      <w:lang w:val="fr-CH" w:eastAsia="en-US"/>
    </w:rPr>
  </w:style>
  <w:style w:type="character" w:customStyle="1" w:styleId="H23GChar">
    <w:name w:val="_ H_2/3_G Char"/>
    <w:link w:val="H23G"/>
    <w:rsid w:val="002E6F0D"/>
    <w:rPr>
      <w:b/>
      <w:lang w:val="fr-CH" w:eastAsia="en-US"/>
    </w:rPr>
  </w:style>
  <w:style w:type="character" w:customStyle="1" w:styleId="HChGChar">
    <w:name w:val="_ H _Ch_G Char"/>
    <w:link w:val="HChG"/>
    <w:rsid w:val="00EF6EE5"/>
    <w:rPr>
      <w:b/>
      <w:sz w:val="28"/>
      <w:lang w:val="fr-CH" w:eastAsia="en-US"/>
    </w:rPr>
  </w:style>
  <w:style w:type="character" w:customStyle="1" w:styleId="SingleTxtGCar">
    <w:name w:val="_ Single Txt_G Car"/>
    <w:rsid w:val="00EF6EE5"/>
    <w:rPr>
      <w:lang w:val="fr-CH" w:eastAsia="en-US"/>
    </w:rPr>
  </w:style>
  <w:style w:type="paragraph" w:styleId="BalloonText">
    <w:name w:val="Balloon Text"/>
    <w:basedOn w:val="Normal"/>
    <w:link w:val="BalloonTextChar"/>
    <w:rsid w:val="00003C92"/>
    <w:pPr>
      <w:spacing w:line="240" w:lineRule="auto"/>
    </w:pPr>
    <w:rPr>
      <w:rFonts w:ascii="Tahoma" w:hAnsi="Tahoma" w:cs="Tahoma"/>
      <w:sz w:val="16"/>
      <w:szCs w:val="16"/>
    </w:rPr>
  </w:style>
  <w:style w:type="character" w:customStyle="1" w:styleId="BalloonTextChar">
    <w:name w:val="Balloon Text Char"/>
    <w:link w:val="BalloonText"/>
    <w:rsid w:val="00003C92"/>
    <w:rPr>
      <w:rFonts w:ascii="Tahoma" w:hAnsi="Tahoma" w:cs="Tahoma"/>
      <w:sz w:val="16"/>
      <w:szCs w:val="16"/>
      <w:lang w:val="fr-CH" w:eastAsia="en-US"/>
    </w:rPr>
  </w:style>
  <w:style w:type="character" w:customStyle="1" w:styleId="FootnoteTextChar">
    <w:name w:val="Footnote Text Char"/>
    <w:aliases w:val="5_G Char"/>
    <w:link w:val="FootnoteText"/>
    <w:rsid w:val="00673687"/>
    <w:rPr>
      <w:sz w:val="18"/>
      <w:lang w:val="fr-CH" w:eastAsia="en-US"/>
    </w:rPr>
  </w:style>
  <w:style w:type="character" w:customStyle="1" w:styleId="Heading7Char">
    <w:name w:val="Heading 7 Char"/>
    <w:basedOn w:val="DefaultParagraphFont"/>
    <w:link w:val="Heading7"/>
    <w:rsid w:val="003C302E"/>
    <w:rPr>
      <w:lang w:val="fr-CH" w:eastAsia="en-US"/>
    </w:rPr>
  </w:style>
  <w:style w:type="table" w:customStyle="1" w:styleId="Tabellenraster2">
    <w:name w:val="Tabellenraster2"/>
    <w:basedOn w:val="TableNormal"/>
    <w:next w:val="TableGrid"/>
    <w:rsid w:val="003C302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semiHidden/>
    <w:rsid w:val="001F3881"/>
    <w:rPr>
      <w:lang w:val="en-GB"/>
    </w:rPr>
  </w:style>
  <w:style w:type="character" w:customStyle="1" w:styleId="BodyTextChar">
    <w:name w:val="Body Text Char"/>
    <w:basedOn w:val="DefaultParagraphFont"/>
    <w:link w:val="BodyText"/>
    <w:semiHidden/>
    <w:rsid w:val="001F388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05991">
      <w:bodyDiv w:val="1"/>
      <w:marLeft w:val="0"/>
      <w:marRight w:val="0"/>
      <w:marTop w:val="0"/>
      <w:marBottom w:val="0"/>
      <w:divBdr>
        <w:top w:val="none" w:sz="0" w:space="0" w:color="auto"/>
        <w:left w:val="none" w:sz="0" w:space="0" w:color="auto"/>
        <w:bottom w:val="none" w:sz="0" w:space="0" w:color="auto"/>
        <w:right w:val="none" w:sz="0" w:space="0" w:color="auto"/>
      </w:divBdr>
    </w:div>
    <w:div w:id="18541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E4797-C335-43DA-A028-C397AE5C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ECE/TRANS/WP.15/AC.2/2012/7</vt:lpstr>
    </vt:vector>
  </TitlesOfParts>
  <Company>CSD</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ECE/TRANS/WP.15/AC.2/2012/7</dc:title>
  <dc:subject>Semifinal</dc:subject>
  <dc:creator>Letaillieur</dc:creator>
  <cp:lastModifiedBy>Secretariat</cp:lastModifiedBy>
  <cp:revision>4</cp:revision>
  <cp:lastPrinted>2016-06-09T13:02:00Z</cp:lastPrinted>
  <dcterms:created xsi:type="dcterms:W3CDTF">2018-08-28T16:55:00Z</dcterms:created>
  <dcterms:modified xsi:type="dcterms:W3CDTF">2018-08-29T11:35:00Z</dcterms:modified>
</cp:coreProperties>
</file>