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0D81" w:rsidRPr="0099001C" w:rsidTr="000D5782">
        <w:trPr>
          <w:cantSplit/>
          <w:trHeight w:hRule="exact" w:val="851"/>
        </w:trPr>
        <w:tc>
          <w:tcPr>
            <w:tcW w:w="9639" w:type="dxa"/>
            <w:tcBorders>
              <w:bottom w:val="single" w:sz="4" w:space="0" w:color="auto"/>
            </w:tcBorders>
            <w:vAlign w:val="bottom"/>
          </w:tcPr>
          <w:p w:rsidR="00EF0D81" w:rsidRPr="0099001C" w:rsidRDefault="00EF0D81" w:rsidP="00E76D3E">
            <w:pPr>
              <w:jc w:val="right"/>
              <w:rPr>
                <w:b/>
                <w:sz w:val="40"/>
                <w:szCs w:val="40"/>
              </w:rPr>
            </w:pPr>
            <w:r w:rsidRPr="0099001C">
              <w:rPr>
                <w:b/>
                <w:sz w:val="40"/>
                <w:szCs w:val="40"/>
              </w:rPr>
              <w:t>UN/SCEGHS/</w:t>
            </w:r>
            <w:r w:rsidR="00E76D3E">
              <w:rPr>
                <w:b/>
                <w:sz w:val="40"/>
                <w:szCs w:val="40"/>
              </w:rPr>
              <w:t>36</w:t>
            </w:r>
            <w:r w:rsidRPr="0099001C">
              <w:rPr>
                <w:b/>
                <w:sz w:val="40"/>
                <w:szCs w:val="40"/>
              </w:rPr>
              <w:t>/INF.</w:t>
            </w:r>
            <w:r w:rsidR="009E3493">
              <w:rPr>
                <w:b/>
                <w:sz w:val="40"/>
                <w:szCs w:val="40"/>
              </w:rPr>
              <w:t>4</w:t>
            </w:r>
            <w:r w:rsidR="00D60D54">
              <w:rPr>
                <w:b/>
                <w:sz w:val="40"/>
                <w:szCs w:val="40"/>
              </w:rPr>
              <w:t>6</w:t>
            </w:r>
          </w:p>
        </w:tc>
      </w:tr>
      <w:tr w:rsidR="00EF0D81" w:rsidTr="000D5782">
        <w:trPr>
          <w:cantSplit/>
          <w:trHeight w:hRule="exact" w:val="3114"/>
        </w:trPr>
        <w:tc>
          <w:tcPr>
            <w:tcW w:w="9639" w:type="dxa"/>
            <w:tcBorders>
              <w:top w:val="single" w:sz="4" w:space="0" w:color="auto"/>
            </w:tcBorders>
          </w:tcPr>
          <w:p w:rsidR="00EF0D81" w:rsidRPr="00691F20" w:rsidRDefault="00EF0D81" w:rsidP="000D5782">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EF0D81" w:rsidRPr="009F0F06" w:rsidRDefault="00EF0D81" w:rsidP="000D5782">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Pr>
                <w:b/>
                <w:lang w:val="en-US"/>
              </w:rPr>
              <w:tab/>
            </w:r>
            <w:r w:rsidR="00D60D54">
              <w:rPr>
                <w:b/>
                <w:lang w:val="en-US"/>
              </w:rPr>
              <w:t>6</w:t>
            </w:r>
            <w:r w:rsidR="00165248">
              <w:rPr>
                <w:b/>
                <w:lang w:val="en-US"/>
              </w:rPr>
              <w:t xml:space="preserve"> </w:t>
            </w:r>
            <w:r>
              <w:rPr>
                <w:b/>
                <w:lang w:val="en-US"/>
              </w:rPr>
              <w:t>December 201</w:t>
            </w:r>
            <w:r w:rsidR="000C30A7">
              <w:rPr>
                <w:b/>
                <w:lang w:val="en-US"/>
              </w:rPr>
              <w:t>8</w:t>
            </w:r>
          </w:p>
          <w:p w:rsidR="00EF0D81" w:rsidRPr="006E39A4" w:rsidRDefault="00EF0D81" w:rsidP="000D5782">
            <w:pPr>
              <w:spacing w:before="120"/>
              <w:rPr>
                <w:b/>
              </w:rPr>
            </w:pPr>
            <w:r>
              <w:rPr>
                <w:b/>
              </w:rPr>
              <w:t>Thirty-s</w:t>
            </w:r>
            <w:r w:rsidR="00E76D3E">
              <w:rPr>
                <w:b/>
              </w:rPr>
              <w:t>ixth</w:t>
            </w:r>
            <w:r w:rsidRPr="006E39A4">
              <w:rPr>
                <w:b/>
              </w:rPr>
              <w:t xml:space="preserve"> session</w:t>
            </w:r>
          </w:p>
          <w:p w:rsidR="00EF0D81" w:rsidRPr="006E39A4" w:rsidRDefault="00EF0D81" w:rsidP="000D5782">
            <w:r w:rsidRPr="006E39A4">
              <w:t xml:space="preserve">Geneva, </w:t>
            </w:r>
            <w:r w:rsidR="00E76D3E">
              <w:t>5</w:t>
            </w:r>
            <w:r w:rsidR="002A7946">
              <w:t>-</w:t>
            </w:r>
            <w:r w:rsidR="00E76D3E">
              <w:t>7</w:t>
            </w:r>
            <w:r>
              <w:t xml:space="preserve"> December </w:t>
            </w:r>
            <w:r w:rsidR="00E76D3E">
              <w:t>2018</w:t>
            </w:r>
          </w:p>
          <w:p w:rsidR="00EF0D81" w:rsidRDefault="00EF0D81" w:rsidP="004E4C5A">
            <w:r w:rsidRPr="006E39A4">
              <w:t xml:space="preserve">Item </w:t>
            </w:r>
            <w:r w:rsidR="00D60D54">
              <w:t>3 (b)</w:t>
            </w:r>
            <w:r>
              <w:t xml:space="preserve"> </w:t>
            </w:r>
            <w:r w:rsidRPr="006E39A4">
              <w:t>of the provisional agenda</w:t>
            </w:r>
          </w:p>
          <w:p w:rsidR="00EF0D81" w:rsidRPr="00D60D54" w:rsidRDefault="00D60D54" w:rsidP="00DD2153">
            <w:pPr>
              <w:ind w:right="4395"/>
              <w:rPr>
                <w:b/>
                <w:bCs/>
              </w:rPr>
            </w:pPr>
            <w:r w:rsidRPr="00D60D54">
              <w:rPr>
                <w:b/>
                <w:bCs/>
              </w:rPr>
              <w:t>Classification criteria and related hazard communication:</w:t>
            </w:r>
            <w:r w:rsidRPr="00D60D54">
              <w:rPr>
                <w:b/>
                <w:bCs/>
              </w:rPr>
              <w:br/>
              <w:t>review of Chapter 2.1</w:t>
            </w:r>
          </w:p>
          <w:p w:rsidR="00EF0D81" w:rsidRDefault="00EF0D81" w:rsidP="000D5782">
            <w:pPr>
              <w:spacing w:line="240" w:lineRule="exact"/>
            </w:pPr>
          </w:p>
        </w:tc>
      </w:tr>
    </w:tbl>
    <w:p w:rsidR="00D60D54" w:rsidRPr="003912B5" w:rsidRDefault="00D60D54" w:rsidP="00D60D54">
      <w:pPr>
        <w:pStyle w:val="HChG"/>
      </w:pPr>
      <w:r>
        <w:tab/>
      </w:r>
      <w:r>
        <w:tab/>
      </w:r>
      <w:r w:rsidRPr="003912B5">
        <w:t>Review of Chapter 2.1 – amended and commented criteria flowcharts after ICG-meetings in November/December 2018</w:t>
      </w:r>
    </w:p>
    <w:p w:rsidR="00D60D54" w:rsidRPr="003912B5" w:rsidRDefault="00D60D54" w:rsidP="00D60D54">
      <w:pPr>
        <w:pStyle w:val="H1G"/>
      </w:pPr>
      <w:r>
        <w:tab/>
      </w:r>
      <w:r>
        <w:tab/>
      </w:r>
      <w:r w:rsidRPr="003912B5">
        <w:t>Transmitted by the expert from Sweden</w:t>
      </w:r>
    </w:p>
    <w:p w:rsidR="00D60D54" w:rsidRPr="003912B5" w:rsidRDefault="00D60D54" w:rsidP="00D60D54">
      <w:pPr>
        <w:pStyle w:val="SingleTxtG"/>
      </w:pPr>
      <w:r w:rsidRPr="003912B5">
        <w:t>1.</w:t>
      </w:r>
      <w:r w:rsidRPr="003912B5">
        <w:tab/>
        <w:t xml:space="preserve">At the joint meeting of the Informal Correspondence Group on the review of Chapter 2.1 (ICG) and the Working Group on Explosive (EWG) on 29 November 2018, the flowcharts of Annex 1 in WD20 (SCEGHS)/85 (SCETDG) and Annex 1 of INF.10 (SCEGHS)/INF.13 (SCETDG) were slightly amended and commented. These amendments and comments are reflected in </w:t>
      </w:r>
      <w:r>
        <w:t xml:space="preserve">paragraph 10 of </w:t>
      </w:r>
      <w:r w:rsidRPr="003912B5">
        <w:t xml:space="preserve">the report from the EWG in INF.50 </w:t>
      </w:r>
      <w:r>
        <w:t xml:space="preserve">to the </w:t>
      </w:r>
      <w:r w:rsidRPr="003912B5">
        <w:t xml:space="preserve">SCETDG </w:t>
      </w:r>
      <w:r>
        <w:t>(</w:t>
      </w:r>
      <w:r w:rsidRPr="003912B5">
        <w:t xml:space="preserve">and reproduced in INF.34 </w:t>
      </w:r>
      <w:r>
        <w:t xml:space="preserve">of the </w:t>
      </w:r>
      <w:r w:rsidRPr="003912B5">
        <w:t>SCEGHS).</w:t>
      </w:r>
    </w:p>
    <w:p w:rsidR="00D60D54" w:rsidRPr="003912B5" w:rsidRDefault="00D60D54" w:rsidP="00D60D54">
      <w:pPr>
        <w:pStyle w:val="SingleTxtG"/>
      </w:pPr>
      <w:r w:rsidRPr="003912B5">
        <w:t>2.</w:t>
      </w:r>
      <w:r w:rsidRPr="003912B5">
        <w:tab/>
        <w:t xml:space="preserve">The slightly revised flowcharts formed the basis for the ICG-meeting on 5 December 2018 and were shown to the SCEGHS </w:t>
      </w:r>
      <w:r>
        <w:t xml:space="preserve">in plenary </w:t>
      </w:r>
      <w:r w:rsidRPr="003912B5">
        <w:t xml:space="preserve">when </w:t>
      </w:r>
      <w:r>
        <w:t xml:space="preserve">the expert from Sweden </w:t>
      </w:r>
      <w:r w:rsidRPr="003912B5">
        <w:t>report</w:t>
      </w:r>
      <w:r>
        <w:t>ed</w:t>
      </w:r>
      <w:r w:rsidRPr="003912B5">
        <w:t xml:space="preserve"> back from t</w:t>
      </w:r>
      <w:r>
        <w:t>hat meeting on 6 December 2018. To facilitate future discussion</w:t>
      </w:r>
      <w:r w:rsidRPr="003912B5">
        <w:t>, these flowcharts are reproduced as Annex 1 and 2 to this document, respectively.</w:t>
      </w:r>
      <w:r>
        <w:t xml:space="preserve"> The notes in Box 9 and 12 in the flowchart of Annex 1 serve as a reminder and are not to be included in the boxes. Box 7, 17 and 18 of this flowchart are missing as they have been removed. In the flowchart of Annex 2, “primary packaging” has been replaced by “immediate container” in Box 4. See INF.34 (SCEGHS) or INF.50 (SCETDG) for detailed explanations on these amendments.</w:t>
      </w:r>
    </w:p>
    <w:p w:rsidR="00D60D54" w:rsidRPr="003912B5" w:rsidRDefault="00D60D54" w:rsidP="00D60D54"/>
    <w:p w:rsidR="00D60D54" w:rsidRPr="003912B5" w:rsidRDefault="00D60D54" w:rsidP="00D60D54">
      <w:r w:rsidRPr="003912B5">
        <w:br w:type="page"/>
      </w:r>
    </w:p>
    <w:p w:rsidR="00D60D54" w:rsidRPr="003912B5" w:rsidRDefault="00D60D54" w:rsidP="002A58B1">
      <w:pPr>
        <w:spacing w:line="216" w:lineRule="auto"/>
        <w:rPr>
          <w:b/>
          <w:sz w:val="24"/>
        </w:rPr>
      </w:pPr>
      <w:r w:rsidRPr="003912B5">
        <w:rPr>
          <w:b/>
          <w:sz w:val="24"/>
        </w:rPr>
        <w:lastRenderedPageBreak/>
        <w:t>Annex 1</w:t>
      </w:r>
    </w:p>
    <w:p w:rsidR="00D60D54" w:rsidRDefault="00D60D54" w:rsidP="00D60D54">
      <w:pPr>
        <w:rPr>
          <w:b/>
        </w:rPr>
      </w:pPr>
      <w:r w:rsidRPr="00C044A4">
        <w:rPr>
          <w:b/>
        </w:rPr>
        <w:t>Criteria-flowchart for the scope of the hazard class Explosives, as amended/commented by the EWG on 29 November 2018</w:t>
      </w:r>
    </w:p>
    <w:p w:rsidR="002A58B1" w:rsidRDefault="002A58B1" w:rsidP="002A58B1">
      <w:pPr>
        <w:rPr>
          <w:b/>
        </w:rPr>
      </w:pPr>
      <w:r w:rsidRPr="003912B5">
        <w:rPr>
          <w:b/>
          <w:noProof/>
          <w:lang w:eastAsia="sv-SE"/>
        </w:rPr>
        <w:drawing>
          <wp:inline distT="0" distB="0" distL="0" distR="0" wp14:anchorId="01194CE0" wp14:editId="42A6E5A5">
            <wp:extent cx="5723955" cy="3439236"/>
            <wp:effectExtent l="0" t="0" r="0" b="889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091" cy="3442923"/>
                    </a:xfrm>
                    <a:prstGeom prst="rect">
                      <a:avLst/>
                    </a:prstGeom>
                    <a:noFill/>
                    <a:ln>
                      <a:noFill/>
                    </a:ln>
                  </pic:spPr>
                </pic:pic>
              </a:graphicData>
            </a:graphic>
          </wp:inline>
        </w:drawing>
      </w:r>
      <w:r w:rsidRPr="003912B5">
        <w:rPr>
          <w:b/>
          <w:noProof/>
          <w:lang w:eastAsia="sv-SE"/>
        </w:rPr>
        <w:drawing>
          <wp:inline distT="0" distB="0" distL="0" distR="0" wp14:anchorId="17C4D498" wp14:editId="751C8E80">
            <wp:extent cx="5724132" cy="2818262"/>
            <wp:effectExtent l="0" t="0" r="0" b="1270"/>
            <wp:docPr id="3"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6577" cy="2888394"/>
                    </a:xfrm>
                    <a:prstGeom prst="rect">
                      <a:avLst/>
                    </a:prstGeom>
                    <a:noFill/>
                    <a:ln>
                      <a:noFill/>
                    </a:ln>
                  </pic:spPr>
                </pic:pic>
              </a:graphicData>
            </a:graphic>
          </wp:inline>
        </w:drawing>
      </w:r>
    </w:p>
    <w:p w:rsidR="00D60D54" w:rsidRDefault="00D60D54" w:rsidP="00D60D54">
      <w:pPr>
        <w:rPr>
          <w:b/>
        </w:rPr>
      </w:pPr>
    </w:p>
    <w:p w:rsidR="00D60D54" w:rsidRDefault="00D60D54">
      <w:pPr>
        <w:suppressAutoHyphens w:val="0"/>
        <w:spacing w:after="200" w:line="276" w:lineRule="auto"/>
        <w:rPr>
          <w:b/>
          <w:sz w:val="24"/>
        </w:rPr>
      </w:pPr>
      <w:r>
        <w:rPr>
          <w:b/>
          <w:sz w:val="24"/>
        </w:rPr>
        <w:br w:type="page"/>
      </w:r>
    </w:p>
    <w:p w:rsidR="00D60D54" w:rsidRPr="003912B5" w:rsidRDefault="00D60D54" w:rsidP="005A67AB">
      <w:pPr>
        <w:spacing w:line="216" w:lineRule="auto"/>
        <w:rPr>
          <w:b/>
          <w:sz w:val="24"/>
        </w:rPr>
      </w:pPr>
      <w:r>
        <w:rPr>
          <w:b/>
          <w:sz w:val="24"/>
        </w:rPr>
        <w:lastRenderedPageBreak/>
        <w:t>Annex 2</w:t>
      </w:r>
    </w:p>
    <w:p w:rsidR="00BA0DD0" w:rsidRPr="00BA0DD0" w:rsidRDefault="00D60D54" w:rsidP="00217764">
      <w:pPr>
        <w:rPr>
          <w:bCs/>
          <w:u w:val="single"/>
        </w:rPr>
      </w:pPr>
      <w:r w:rsidRPr="00C044A4">
        <w:rPr>
          <w:b/>
        </w:rPr>
        <w:t xml:space="preserve">Criteria-flowchart for </w:t>
      </w:r>
      <w:r>
        <w:rPr>
          <w:b/>
        </w:rPr>
        <w:t>Sub-categories 2A-C within Category 2 for</w:t>
      </w:r>
      <w:r w:rsidRPr="00C044A4">
        <w:rPr>
          <w:b/>
        </w:rPr>
        <w:t xml:space="preserve"> Explosives, as amended/commented by the EWG on 29 November 2018</w:t>
      </w:r>
      <w:r w:rsidR="005A67AB" w:rsidRPr="003912B5">
        <w:rPr>
          <w:b/>
          <w:noProof/>
          <w:lang w:eastAsia="sv-SE"/>
        </w:rPr>
        <w:drawing>
          <wp:inline distT="0" distB="0" distL="0" distR="0" wp14:anchorId="32EC8B18" wp14:editId="37A0E3D9">
            <wp:extent cx="4900741" cy="3459708"/>
            <wp:effectExtent l="0" t="0" r="0" b="762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7853" cy="3464729"/>
                    </a:xfrm>
                    <a:prstGeom prst="rect">
                      <a:avLst/>
                    </a:prstGeom>
                    <a:noFill/>
                    <a:ln>
                      <a:noFill/>
                    </a:ln>
                  </pic:spPr>
                </pic:pic>
              </a:graphicData>
            </a:graphic>
          </wp:inline>
        </w:drawing>
      </w:r>
      <w:r w:rsidR="005A67AB" w:rsidRPr="003912B5">
        <w:rPr>
          <w:b/>
          <w:noProof/>
          <w:lang w:eastAsia="sv-SE"/>
        </w:rPr>
        <w:drawing>
          <wp:inline distT="0" distB="0" distL="0" distR="0" wp14:anchorId="7E7248E8" wp14:editId="0163E5F8">
            <wp:extent cx="4900927" cy="3207224"/>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5582" cy="3223358"/>
                    </a:xfrm>
                    <a:prstGeom prst="rect">
                      <a:avLst/>
                    </a:prstGeom>
                    <a:noFill/>
                    <a:ln>
                      <a:noFill/>
                    </a:ln>
                  </pic:spPr>
                </pic:pic>
              </a:graphicData>
            </a:graphic>
          </wp:inline>
        </w:drawing>
      </w:r>
    </w:p>
    <w:p w:rsidR="00BA0DD0" w:rsidRPr="00217764" w:rsidRDefault="00217764" w:rsidP="00217764">
      <w:pPr>
        <w:spacing w:before="240"/>
        <w:ind w:left="1134" w:right="1134"/>
        <w:jc w:val="center"/>
        <w:rPr>
          <w:bCs/>
          <w:u w:val="single"/>
        </w:rPr>
      </w:pPr>
      <w:bookmarkStart w:id="0" w:name="_GoBack"/>
      <w:bookmarkEnd w:id="0"/>
      <w:r w:rsidRPr="00217764">
        <w:rPr>
          <w:bCs/>
          <w:u w:val="single"/>
        </w:rPr>
        <w:tab/>
      </w:r>
      <w:r w:rsidRPr="00217764">
        <w:rPr>
          <w:bCs/>
          <w:u w:val="single"/>
        </w:rPr>
        <w:tab/>
      </w:r>
      <w:r w:rsidRPr="00217764">
        <w:rPr>
          <w:bCs/>
          <w:u w:val="single"/>
        </w:rPr>
        <w:tab/>
      </w:r>
    </w:p>
    <w:sectPr w:rsidR="00BA0DD0" w:rsidRPr="00217764" w:rsidSect="004E4C5A">
      <w:headerReference w:type="even" r:id="rId12"/>
      <w:headerReference w:type="default" r:id="rId13"/>
      <w:footerReference w:type="even" r:id="rId14"/>
      <w:footerReference w:type="default" r:id="rId15"/>
      <w:footnotePr>
        <w:numRestart w:val="eachSect"/>
      </w:footnotePr>
      <w:pgSz w:w="12240" w:h="15840" w:code="1"/>
      <w:pgMar w:top="1701" w:right="20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A7D" w:rsidRDefault="00DA5A7D" w:rsidP="00203584">
      <w:pPr>
        <w:spacing w:line="240" w:lineRule="auto"/>
      </w:pPr>
      <w:r>
        <w:separator/>
      </w:r>
    </w:p>
  </w:endnote>
  <w:endnote w:type="continuationSeparator" w:id="0">
    <w:p w:rsidR="00DA5A7D" w:rsidRDefault="00DA5A7D" w:rsidP="00203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557353677"/>
      <w:docPartObj>
        <w:docPartGallery w:val="Page Numbers (Bottom of Page)"/>
        <w:docPartUnique/>
      </w:docPartObj>
    </w:sdtPr>
    <w:sdtEndPr>
      <w:rPr>
        <w:noProof/>
      </w:rPr>
    </w:sdtEndPr>
    <w:sdtContent>
      <w:p w:rsidR="00BF0656" w:rsidRPr="00BF0656" w:rsidRDefault="00BF0656">
        <w:pPr>
          <w:pStyle w:val="Footer"/>
          <w:rPr>
            <w:b/>
            <w:bCs/>
            <w:sz w:val="18"/>
            <w:szCs w:val="18"/>
          </w:rPr>
        </w:pPr>
        <w:r w:rsidRPr="00BF0656">
          <w:rPr>
            <w:b/>
            <w:bCs/>
            <w:sz w:val="18"/>
            <w:szCs w:val="18"/>
          </w:rPr>
          <w:fldChar w:fldCharType="begin"/>
        </w:r>
        <w:r w:rsidRPr="00BF0656">
          <w:rPr>
            <w:b/>
            <w:bCs/>
            <w:sz w:val="18"/>
            <w:szCs w:val="18"/>
          </w:rPr>
          <w:instrText xml:space="preserve"> PAGE   \* MERGEFORMAT </w:instrText>
        </w:r>
        <w:r w:rsidRPr="00BF0656">
          <w:rPr>
            <w:b/>
            <w:bCs/>
            <w:sz w:val="18"/>
            <w:szCs w:val="18"/>
          </w:rPr>
          <w:fldChar w:fldCharType="separate"/>
        </w:r>
        <w:r w:rsidRPr="00BF0656">
          <w:rPr>
            <w:b/>
            <w:bCs/>
            <w:noProof/>
            <w:sz w:val="18"/>
            <w:szCs w:val="18"/>
          </w:rPr>
          <w:t>2</w:t>
        </w:r>
        <w:r w:rsidRPr="00BF0656">
          <w:rPr>
            <w:b/>
            <w:bCs/>
            <w:noProof/>
            <w:sz w:val="18"/>
            <w:szCs w:val="18"/>
          </w:rPr>
          <w:fldChar w:fldCharType="end"/>
        </w:r>
      </w:p>
    </w:sdtContent>
  </w:sdt>
  <w:p w:rsidR="00BF0656" w:rsidRDefault="00BF0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375231739"/>
      <w:docPartObj>
        <w:docPartGallery w:val="Page Numbers (Bottom of Page)"/>
        <w:docPartUnique/>
      </w:docPartObj>
    </w:sdtPr>
    <w:sdtEndPr>
      <w:rPr>
        <w:noProof/>
      </w:rPr>
    </w:sdtEndPr>
    <w:sdtContent>
      <w:p w:rsidR="002A7946" w:rsidRPr="002A7946" w:rsidRDefault="002A7946" w:rsidP="00217764">
        <w:pPr>
          <w:pStyle w:val="Footer"/>
          <w:jc w:val="right"/>
          <w:rPr>
            <w:b/>
            <w:bCs/>
            <w:sz w:val="18"/>
            <w:szCs w:val="18"/>
          </w:rPr>
        </w:pPr>
        <w:r w:rsidRPr="002A7946">
          <w:rPr>
            <w:b/>
            <w:bCs/>
            <w:sz w:val="18"/>
            <w:szCs w:val="18"/>
          </w:rPr>
          <w:fldChar w:fldCharType="begin"/>
        </w:r>
        <w:r w:rsidRPr="002A7946">
          <w:rPr>
            <w:b/>
            <w:bCs/>
            <w:sz w:val="18"/>
            <w:szCs w:val="18"/>
          </w:rPr>
          <w:instrText xml:space="preserve"> PAGE   \* MERGEFORMAT </w:instrText>
        </w:r>
        <w:r w:rsidRPr="002A7946">
          <w:rPr>
            <w:b/>
            <w:bCs/>
            <w:sz w:val="18"/>
            <w:szCs w:val="18"/>
          </w:rPr>
          <w:fldChar w:fldCharType="separate"/>
        </w:r>
        <w:r w:rsidRPr="002A7946">
          <w:rPr>
            <w:b/>
            <w:bCs/>
            <w:noProof/>
            <w:sz w:val="18"/>
            <w:szCs w:val="18"/>
          </w:rPr>
          <w:t>2</w:t>
        </w:r>
        <w:r w:rsidRPr="002A7946">
          <w:rPr>
            <w:b/>
            <w:bCs/>
            <w:noProof/>
            <w:sz w:val="18"/>
            <w:szCs w:val="18"/>
          </w:rPr>
          <w:fldChar w:fldCharType="end"/>
        </w:r>
      </w:p>
    </w:sdtContent>
  </w:sdt>
  <w:p w:rsidR="002A7946" w:rsidRPr="002A7946" w:rsidRDefault="002A7946">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A7D" w:rsidRDefault="00DA5A7D" w:rsidP="00203584">
      <w:pPr>
        <w:spacing w:line="240" w:lineRule="auto"/>
      </w:pPr>
      <w:r>
        <w:separator/>
      </w:r>
    </w:p>
  </w:footnote>
  <w:footnote w:type="continuationSeparator" w:id="0">
    <w:p w:rsidR="00DA5A7D" w:rsidRDefault="00DA5A7D" w:rsidP="002035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49" w:rsidRPr="002A7946" w:rsidRDefault="00217764" w:rsidP="00006D49">
    <w:pPr>
      <w:pStyle w:val="Header"/>
      <w:pBdr>
        <w:bottom w:val="single" w:sz="4" w:space="1" w:color="auto"/>
      </w:pBdr>
      <w:rPr>
        <w:b/>
        <w:bCs/>
        <w:sz w:val="18"/>
        <w:szCs w:val="18"/>
        <w:lang w:val="fr-CH"/>
      </w:rPr>
    </w:pPr>
    <w:r>
      <w:rPr>
        <w:b/>
        <w:bCs/>
        <w:sz w:val="18"/>
        <w:szCs w:val="18"/>
        <w:lang w:val="fr-CH"/>
      </w:rPr>
      <w:t>UN/SCEGHS/36/INF.46</w:t>
    </w:r>
  </w:p>
  <w:p w:rsidR="00006D49" w:rsidRDefault="0000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946" w:rsidRPr="002A7946" w:rsidRDefault="00BA0DD0" w:rsidP="00006D49">
    <w:pPr>
      <w:pStyle w:val="Header"/>
      <w:pBdr>
        <w:bottom w:val="single" w:sz="4" w:space="1" w:color="auto"/>
      </w:pBdr>
      <w:jc w:val="right"/>
      <w:rPr>
        <w:b/>
        <w:bCs/>
        <w:sz w:val="18"/>
        <w:szCs w:val="18"/>
        <w:lang w:val="fr-CH"/>
      </w:rPr>
    </w:pPr>
    <w:r>
      <w:rPr>
        <w:b/>
        <w:bCs/>
        <w:sz w:val="18"/>
        <w:szCs w:val="18"/>
        <w:lang w:val="fr-CH"/>
      </w:rPr>
      <w:t>UN/SCEGHS/36/INF.46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A7C9A"/>
    <w:multiLevelType w:val="hybridMultilevel"/>
    <w:tmpl w:val="61FC85C2"/>
    <w:lvl w:ilvl="0" w:tplc="62CCBFDE">
      <w:start w:val="1"/>
      <w:numFmt w:val="decimal"/>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38D57684"/>
    <w:multiLevelType w:val="hybridMultilevel"/>
    <w:tmpl w:val="0922987C"/>
    <w:lvl w:ilvl="0" w:tplc="CF9E8B56">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2A66A9D"/>
    <w:multiLevelType w:val="multilevel"/>
    <w:tmpl w:val="48241D10"/>
    <w:styleLink w:val="Normallist"/>
    <w:lvl w:ilvl="0">
      <w:start w:val="1"/>
      <w:numFmt w:val="decimal"/>
      <w:pStyle w:val="Normalnumber"/>
      <w:lvlText w:val="%1."/>
      <w:lvlJc w:val="left"/>
      <w:pPr>
        <w:tabs>
          <w:tab w:val="num" w:pos="760"/>
        </w:tabs>
        <w:ind w:left="1440" w:firstLine="0"/>
      </w:pPr>
      <w:rPr>
        <w:rFonts w:hint="default"/>
      </w:rPr>
    </w:lvl>
    <w:lvl w:ilvl="1">
      <w:start w:val="1"/>
      <w:numFmt w:val="lowerLetter"/>
      <w:lvlText w:val="(%2)"/>
      <w:lvlJc w:val="left"/>
      <w:pPr>
        <w:tabs>
          <w:tab w:val="num" w:pos="760"/>
        </w:tabs>
        <w:ind w:left="1440" w:firstLine="567"/>
      </w:pPr>
      <w:rPr>
        <w:rFonts w:hint="default"/>
      </w:rPr>
    </w:lvl>
    <w:lvl w:ilvl="2">
      <w:start w:val="1"/>
      <w:numFmt w:val="lowerRoman"/>
      <w:lvlText w:val="(%3)"/>
      <w:lvlJc w:val="left"/>
      <w:pPr>
        <w:tabs>
          <w:tab w:val="num" w:pos="760"/>
        </w:tabs>
        <w:ind w:left="3141" w:hanging="567"/>
      </w:pPr>
      <w:rPr>
        <w:rFonts w:hint="default"/>
      </w:rPr>
    </w:lvl>
    <w:lvl w:ilvl="3">
      <w:start w:val="1"/>
      <w:numFmt w:val="lowerLetter"/>
      <w:lvlText w:val="%4."/>
      <w:lvlJc w:val="left"/>
      <w:pPr>
        <w:tabs>
          <w:tab w:val="num" w:pos="760"/>
        </w:tabs>
        <w:ind w:left="3708" w:hanging="567"/>
      </w:pPr>
      <w:rPr>
        <w:rFonts w:hint="default"/>
      </w:rPr>
    </w:lvl>
    <w:lvl w:ilvl="4">
      <w:start w:val="1"/>
      <w:numFmt w:val="lowerLetter"/>
      <w:lvlText w:val="%5."/>
      <w:lvlJc w:val="left"/>
      <w:pPr>
        <w:tabs>
          <w:tab w:val="num" w:pos="6741"/>
        </w:tabs>
        <w:ind w:left="6741" w:hanging="360"/>
      </w:pPr>
      <w:rPr>
        <w:rFonts w:hint="default"/>
      </w:rPr>
    </w:lvl>
    <w:lvl w:ilvl="5">
      <w:start w:val="1"/>
      <w:numFmt w:val="lowerRoman"/>
      <w:lvlText w:val="%6."/>
      <w:lvlJc w:val="right"/>
      <w:pPr>
        <w:tabs>
          <w:tab w:val="num" w:pos="7461"/>
        </w:tabs>
        <w:ind w:left="7461" w:hanging="180"/>
      </w:pPr>
      <w:rPr>
        <w:rFonts w:hint="default"/>
      </w:rPr>
    </w:lvl>
    <w:lvl w:ilvl="6">
      <w:start w:val="1"/>
      <w:numFmt w:val="decimal"/>
      <w:lvlText w:val="%7."/>
      <w:lvlJc w:val="left"/>
      <w:pPr>
        <w:tabs>
          <w:tab w:val="num" w:pos="8181"/>
        </w:tabs>
        <w:ind w:left="8181" w:hanging="360"/>
      </w:pPr>
      <w:rPr>
        <w:rFonts w:hint="default"/>
      </w:rPr>
    </w:lvl>
    <w:lvl w:ilvl="7">
      <w:start w:val="1"/>
      <w:numFmt w:val="lowerLetter"/>
      <w:lvlText w:val="%8."/>
      <w:lvlJc w:val="left"/>
      <w:pPr>
        <w:tabs>
          <w:tab w:val="num" w:pos="8901"/>
        </w:tabs>
        <w:ind w:left="8901" w:hanging="360"/>
      </w:pPr>
      <w:rPr>
        <w:rFonts w:hint="default"/>
      </w:rPr>
    </w:lvl>
    <w:lvl w:ilvl="8">
      <w:start w:val="1"/>
      <w:numFmt w:val="lowerRoman"/>
      <w:lvlText w:val="%9."/>
      <w:lvlJc w:val="right"/>
      <w:pPr>
        <w:tabs>
          <w:tab w:val="num" w:pos="9621"/>
        </w:tabs>
        <w:ind w:left="9621" w:hanging="18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3276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81"/>
    <w:rsid w:val="00001EDA"/>
    <w:rsid w:val="00002EAC"/>
    <w:rsid w:val="00006D49"/>
    <w:rsid w:val="000106B9"/>
    <w:rsid w:val="00015CE8"/>
    <w:rsid w:val="00021E29"/>
    <w:rsid w:val="0004012A"/>
    <w:rsid w:val="0007007F"/>
    <w:rsid w:val="000736C5"/>
    <w:rsid w:val="00086E13"/>
    <w:rsid w:val="00091570"/>
    <w:rsid w:val="0009606F"/>
    <w:rsid w:val="00097ED8"/>
    <w:rsid w:val="000A6520"/>
    <w:rsid w:val="000B405A"/>
    <w:rsid w:val="000C30A7"/>
    <w:rsid w:val="000C55DB"/>
    <w:rsid w:val="000C727E"/>
    <w:rsid w:val="000D5782"/>
    <w:rsid w:val="000F3F3C"/>
    <w:rsid w:val="000F4956"/>
    <w:rsid w:val="000F74D7"/>
    <w:rsid w:val="00104539"/>
    <w:rsid w:val="001125FE"/>
    <w:rsid w:val="001210C7"/>
    <w:rsid w:val="00130F0D"/>
    <w:rsid w:val="00137144"/>
    <w:rsid w:val="0015114B"/>
    <w:rsid w:val="00165248"/>
    <w:rsid w:val="00166903"/>
    <w:rsid w:val="00183C2B"/>
    <w:rsid w:val="00185FDB"/>
    <w:rsid w:val="001931DE"/>
    <w:rsid w:val="001A0A6A"/>
    <w:rsid w:val="001A34A6"/>
    <w:rsid w:val="001E2247"/>
    <w:rsid w:val="001E4C86"/>
    <w:rsid w:val="001E7040"/>
    <w:rsid w:val="001F0FE4"/>
    <w:rsid w:val="001F4464"/>
    <w:rsid w:val="00203584"/>
    <w:rsid w:val="002043DB"/>
    <w:rsid w:val="002132F5"/>
    <w:rsid w:val="0021479B"/>
    <w:rsid w:val="00217764"/>
    <w:rsid w:val="00246ABD"/>
    <w:rsid w:val="00267F3B"/>
    <w:rsid w:val="00291992"/>
    <w:rsid w:val="002921C1"/>
    <w:rsid w:val="00297112"/>
    <w:rsid w:val="002A58B1"/>
    <w:rsid w:val="002A7946"/>
    <w:rsid w:val="002C2031"/>
    <w:rsid w:val="002D27CF"/>
    <w:rsid w:val="002D3360"/>
    <w:rsid w:val="002D5BDF"/>
    <w:rsid w:val="002E1751"/>
    <w:rsid w:val="002E5EB6"/>
    <w:rsid w:val="003018B2"/>
    <w:rsid w:val="00321778"/>
    <w:rsid w:val="00333CA6"/>
    <w:rsid w:val="00340648"/>
    <w:rsid w:val="003448EF"/>
    <w:rsid w:val="0036026F"/>
    <w:rsid w:val="003638B6"/>
    <w:rsid w:val="00372B43"/>
    <w:rsid w:val="003756FE"/>
    <w:rsid w:val="00386215"/>
    <w:rsid w:val="003908A8"/>
    <w:rsid w:val="003A0A6D"/>
    <w:rsid w:val="003C23B4"/>
    <w:rsid w:val="003D09FD"/>
    <w:rsid w:val="003D2352"/>
    <w:rsid w:val="003F1BB7"/>
    <w:rsid w:val="003F36D5"/>
    <w:rsid w:val="003F585F"/>
    <w:rsid w:val="004024DC"/>
    <w:rsid w:val="00431CC4"/>
    <w:rsid w:val="00436BD3"/>
    <w:rsid w:val="00437989"/>
    <w:rsid w:val="00443D2B"/>
    <w:rsid w:val="0044508C"/>
    <w:rsid w:val="004472C4"/>
    <w:rsid w:val="004578D4"/>
    <w:rsid w:val="0046610B"/>
    <w:rsid w:val="00471019"/>
    <w:rsid w:val="004719E8"/>
    <w:rsid w:val="00471A50"/>
    <w:rsid w:val="00480BEA"/>
    <w:rsid w:val="0049209D"/>
    <w:rsid w:val="004A2401"/>
    <w:rsid w:val="004A3EBD"/>
    <w:rsid w:val="004A59A6"/>
    <w:rsid w:val="004B0F57"/>
    <w:rsid w:val="004B60A0"/>
    <w:rsid w:val="004D0125"/>
    <w:rsid w:val="004E4C5A"/>
    <w:rsid w:val="004F0726"/>
    <w:rsid w:val="004F4205"/>
    <w:rsid w:val="00500E46"/>
    <w:rsid w:val="00534287"/>
    <w:rsid w:val="00584FE2"/>
    <w:rsid w:val="0058670B"/>
    <w:rsid w:val="00595167"/>
    <w:rsid w:val="005A28CD"/>
    <w:rsid w:val="005A4A43"/>
    <w:rsid w:val="005A67AB"/>
    <w:rsid w:val="005B5C7B"/>
    <w:rsid w:val="005D2AB0"/>
    <w:rsid w:val="005D42CB"/>
    <w:rsid w:val="005D4FFD"/>
    <w:rsid w:val="005D5A1E"/>
    <w:rsid w:val="005E03A0"/>
    <w:rsid w:val="005E4322"/>
    <w:rsid w:val="005F68AF"/>
    <w:rsid w:val="005F78AC"/>
    <w:rsid w:val="0060128B"/>
    <w:rsid w:val="00610495"/>
    <w:rsid w:val="00615FED"/>
    <w:rsid w:val="00630D0C"/>
    <w:rsid w:val="00632AE5"/>
    <w:rsid w:val="0064031E"/>
    <w:rsid w:val="0064194B"/>
    <w:rsid w:val="00673BB6"/>
    <w:rsid w:val="00681C24"/>
    <w:rsid w:val="00694D62"/>
    <w:rsid w:val="006A6E42"/>
    <w:rsid w:val="006B00AF"/>
    <w:rsid w:val="006B1C47"/>
    <w:rsid w:val="006B21D5"/>
    <w:rsid w:val="006B356C"/>
    <w:rsid w:val="006B371B"/>
    <w:rsid w:val="006B4CF8"/>
    <w:rsid w:val="006D4A31"/>
    <w:rsid w:val="006D73E4"/>
    <w:rsid w:val="006E5B79"/>
    <w:rsid w:val="006F4017"/>
    <w:rsid w:val="00700ABE"/>
    <w:rsid w:val="00702906"/>
    <w:rsid w:val="00733342"/>
    <w:rsid w:val="007379C5"/>
    <w:rsid w:val="00760605"/>
    <w:rsid w:val="00797CFD"/>
    <w:rsid w:val="007B4F0C"/>
    <w:rsid w:val="007C7831"/>
    <w:rsid w:val="007D06A0"/>
    <w:rsid w:val="007F283D"/>
    <w:rsid w:val="00800D54"/>
    <w:rsid w:val="00812A81"/>
    <w:rsid w:val="00851A02"/>
    <w:rsid w:val="00856D26"/>
    <w:rsid w:val="00865416"/>
    <w:rsid w:val="008672B8"/>
    <w:rsid w:val="00873A0B"/>
    <w:rsid w:val="00890977"/>
    <w:rsid w:val="008A4DDD"/>
    <w:rsid w:val="008A51F0"/>
    <w:rsid w:val="008B43E8"/>
    <w:rsid w:val="008E3714"/>
    <w:rsid w:val="008F0381"/>
    <w:rsid w:val="00915E95"/>
    <w:rsid w:val="00941DC7"/>
    <w:rsid w:val="00947C80"/>
    <w:rsid w:val="00964DB3"/>
    <w:rsid w:val="00967F54"/>
    <w:rsid w:val="009808E7"/>
    <w:rsid w:val="00984379"/>
    <w:rsid w:val="009A4B51"/>
    <w:rsid w:val="009B3FEF"/>
    <w:rsid w:val="009D2966"/>
    <w:rsid w:val="009E3493"/>
    <w:rsid w:val="00A04853"/>
    <w:rsid w:val="00A06FA3"/>
    <w:rsid w:val="00A3459F"/>
    <w:rsid w:val="00A359E5"/>
    <w:rsid w:val="00A42B3E"/>
    <w:rsid w:val="00A431C6"/>
    <w:rsid w:val="00A45A83"/>
    <w:rsid w:val="00A4609C"/>
    <w:rsid w:val="00A60B83"/>
    <w:rsid w:val="00A63CDF"/>
    <w:rsid w:val="00A85DB3"/>
    <w:rsid w:val="00AA0289"/>
    <w:rsid w:val="00AB548F"/>
    <w:rsid w:val="00AC0DFB"/>
    <w:rsid w:val="00AC6BFA"/>
    <w:rsid w:val="00AE08EB"/>
    <w:rsid w:val="00AF6D86"/>
    <w:rsid w:val="00B05ACE"/>
    <w:rsid w:val="00B127AA"/>
    <w:rsid w:val="00B25231"/>
    <w:rsid w:val="00B5338E"/>
    <w:rsid w:val="00B72FE5"/>
    <w:rsid w:val="00B84A65"/>
    <w:rsid w:val="00BA0DD0"/>
    <w:rsid w:val="00BB4EB0"/>
    <w:rsid w:val="00BF0656"/>
    <w:rsid w:val="00C02473"/>
    <w:rsid w:val="00C0258D"/>
    <w:rsid w:val="00C0330F"/>
    <w:rsid w:val="00C0385B"/>
    <w:rsid w:val="00C1152B"/>
    <w:rsid w:val="00C12E23"/>
    <w:rsid w:val="00C33E77"/>
    <w:rsid w:val="00C43907"/>
    <w:rsid w:val="00C52E7F"/>
    <w:rsid w:val="00C569F4"/>
    <w:rsid w:val="00C65F6D"/>
    <w:rsid w:val="00C751F4"/>
    <w:rsid w:val="00C7713E"/>
    <w:rsid w:val="00C8432F"/>
    <w:rsid w:val="00CA73D0"/>
    <w:rsid w:val="00CD1839"/>
    <w:rsid w:val="00CD42DC"/>
    <w:rsid w:val="00CF3F91"/>
    <w:rsid w:val="00D40462"/>
    <w:rsid w:val="00D4532E"/>
    <w:rsid w:val="00D60D54"/>
    <w:rsid w:val="00D82B7B"/>
    <w:rsid w:val="00D9436E"/>
    <w:rsid w:val="00DA5A7D"/>
    <w:rsid w:val="00DA7448"/>
    <w:rsid w:val="00DA7467"/>
    <w:rsid w:val="00DD2153"/>
    <w:rsid w:val="00DD3735"/>
    <w:rsid w:val="00DF3705"/>
    <w:rsid w:val="00DF6B2B"/>
    <w:rsid w:val="00E0474E"/>
    <w:rsid w:val="00E054F6"/>
    <w:rsid w:val="00E44FAB"/>
    <w:rsid w:val="00E66943"/>
    <w:rsid w:val="00E76D3E"/>
    <w:rsid w:val="00E81527"/>
    <w:rsid w:val="00E911A3"/>
    <w:rsid w:val="00E96C4C"/>
    <w:rsid w:val="00EA0BCA"/>
    <w:rsid w:val="00EB52C7"/>
    <w:rsid w:val="00EF0D81"/>
    <w:rsid w:val="00EF11EF"/>
    <w:rsid w:val="00F0689D"/>
    <w:rsid w:val="00F37398"/>
    <w:rsid w:val="00F835EE"/>
    <w:rsid w:val="00FC3F12"/>
    <w:rsid w:val="00FD3974"/>
    <w:rsid w:val="00FD70FB"/>
    <w:rsid w:val="00FF2DC4"/>
    <w:rsid w:val="00FF33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7E9DF9"/>
  <w15:docId w15:val="{9D41F716-E6CE-4B81-B411-58F053B7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D81"/>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1"/>
    <w:qFormat/>
    <w:rsid w:val="00EF0D81"/>
    <w:pPr>
      <w:spacing w:after="120"/>
      <w:ind w:left="1134" w:right="1134"/>
      <w:jc w:val="both"/>
    </w:pPr>
  </w:style>
  <w:style w:type="paragraph" w:customStyle="1" w:styleId="HChG">
    <w:name w:val="_ H _Ch_G"/>
    <w:basedOn w:val="Normal"/>
    <w:next w:val="Normal"/>
    <w:link w:val="HChGChar"/>
    <w:rsid w:val="00EF0D81"/>
    <w:pPr>
      <w:keepNext/>
      <w:keepLines/>
      <w:tabs>
        <w:tab w:val="right" w:pos="851"/>
      </w:tabs>
      <w:spacing w:before="360" w:after="240" w:line="300" w:lineRule="exact"/>
      <w:ind w:left="1134" w:right="1134" w:hanging="1134"/>
    </w:pPr>
    <w:rPr>
      <w:b/>
      <w:sz w:val="28"/>
    </w:rPr>
  </w:style>
  <w:style w:type="character" w:styleId="Hyperlink">
    <w:name w:val="Hyperlink"/>
    <w:semiHidden/>
    <w:rsid w:val="00EF0D81"/>
    <w:rPr>
      <w:color w:val="auto"/>
      <w:u w:val="none"/>
    </w:rPr>
  </w:style>
  <w:style w:type="paragraph" w:customStyle="1" w:styleId="H1G">
    <w:name w:val="_ H_1_G"/>
    <w:basedOn w:val="Normal"/>
    <w:next w:val="Normal"/>
    <w:rsid w:val="00EF0D81"/>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0D81"/>
    <w:rPr>
      <w:rFonts w:ascii="Times New Roman" w:eastAsia="Times New Roman" w:hAnsi="Times New Roman" w:cs="Times New Roman"/>
      <w:b/>
      <w:sz w:val="28"/>
      <w:szCs w:val="20"/>
      <w:lang w:val="en-GB"/>
    </w:rPr>
  </w:style>
  <w:style w:type="character" w:customStyle="1" w:styleId="SingleTxtGChar1">
    <w:name w:val="_ Single Txt_G Char1"/>
    <w:link w:val="SingleTxtG"/>
    <w:locked/>
    <w:rsid w:val="00EF0D8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F0D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81"/>
    <w:rPr>
      <w:rFonts w:ascii="Tahoma" w:eastAsia="Times New Roman" w:hAnsi="Tahoma" w:cs="Tahoma"/>
      <w:sz w:val="16"/>
      <w:szCs w:val="16"/>
      <w:lang w:val="en-GB"/>
    </w:rPr>
  </w:style>
  <w:style w:type="paragraph" w:styleId="Header">
    <w:name w:val="header"/>
    <w:basedOn w:val="Normal"/>
    <w:link w:val="HeaderChar"/>
    <w:uiPriority w:val="99"/>
    <w:unhideWhenUsed/>
    <w:rsid w:val="00203584"/>
    <w:pPr>
      <w:tabs>
        <w:tab w:val="center" w:pos="4680"/>
        <w:tab w:val="right" w:pos="9360"/>
      </w:tabs>
      <w:spacing w:line="240" w:lineRule="auto"/>
    </w:pPr>
  </w:style>
  <w:style w:type="character" w:customStyle="1" w:styleId="HeaderChar">
    <w:name w:val="Header Char"/>
    <w:basedOn w:val="DefaultParagraphFont"/>
    <w:link w:val="Header"/>
    <w:uiPriority w:val="99"/>
    <w:rsid w:val="0020358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03584"/>
    <w:pPr>
      <w:tabs>
        <w:tab w:val="center" w:pos="4680"/>
        <w:tab w:val="right" w:pos="9360"/>
      </w:tabs>
      <w:spacing w:line="240" w:lineRule="auto"/>
    </w:pPr>
  </w:style>
  <w:style w:type="character" w:customStyle="1" w:styleId="FooterChar">
    <w:name w:val="Footer Char"/>
    <w:basedOn w:val="DefaultParagraphFont"/>
    <w:link w:val="Footer"/>
    <w:uiPriority w:val="99"/>
    <w:rsid w:val="00203584"/>
    <w:rPr>
      <w:rFonts w:ascii="Times New Roman" w:eastAsia="Times New Roman" w:hAnsi="Times New Roman" w:cs="Times New Roman"/>
      <w:sz w:val="20"/>
      <w:szCs w:val="20"/>
      <w:lang w:val="en-GB"/>
    </w:rPr>
  </w:style>
  <w:style w:type="paragraph" w:styleId="NormalWeb">
    <w:name w:val="Normal (Web)"/>
    <w:basedOn w:val="Normal"/>
    <w:unhideWhenUsed/>
    <w:rsid w:val="00C1152B"/>
    <w:pPr>
      <w:suppressAutoHyphens w:val="0"/>
      <w:spacing w:before="100" w:beforeAutospacing="1" w:after="100" w:afterAutospacing="1" w:line="240" w:lineRule="auto"/>
    </w:pPr>
    <w:rPr>
      <w:rFonts w:eastAsiaTheme="minorHAnsi"/>
      <w:sz w:val="24"/>
      <w:szCs w:val="24"/>
      <w:lang w:val="en-US"/>
    </w:rPr>
  </w:style>
  <w:style w:type="character" w:customStyle="1" w:styleId="SingleTxtGChar">
    <w:name w:val="_ Single Txt_G Char"/>
    <w:locked/>
    <w:rsid w:val="00DD2153"/>
    <w:rPr>
      <w:lang w:eastAsia="en-US"/>
    </w:rPr>
  </w:style>
  <w:style w:type="paragraph" w:customStyle="1" w:styleId="H4G">
    <w:name w:val="_ H_4_G"/>
    <w:basedOn w:val="Normal"/>
    <w:next w:val="Normal"/>
    <w:rsid w:val="00183C2B"/>
    <w:pPr>
      <w:keepNext/>
      <w:keepLines/>
      <w:tabs>
        <w:tab w:val="right" w:pos="851"/>
      </w:tabs>
      <w:spacing w:before="240" w:after="120" w:line="240" w:lineRule="exact"/>
      <w:ind w:left="1134" w:right="1134" w:hanging="1134"/>
    </w:pPr>
    <w:rPr>
      <w:i/>
    </w:rPr>
  </w:style>
  <w:style w:type="paragraph" w:customStyle="1" w:styleId="Normalnumber">
    <w:name w:val="Normal_number"/>
    <w:basedOn w:val="Normal"/>
    <w:link w:val="NormalnumberChar"/>
    <w:rsid w:val="004E4C5A"/>
    <w:pPr>
      <w:numPr>
        <w:numId w:val="2"/>
      </w:numPr>
      <w:tabs>
        <w:tab w:val="left" w:pos="1247"/>
        <w:tab w:val="left" w:pos="1814"/>
        <w:tab w:val="left" w:pos="2381"/>
        <w:tab w:val="left" w:pos="2948"/>
        <w:tab w:val="left" w:pos="3515"/>
      </w:tabs>
      <w:suppressAutoHyphens w:val="0"/>
      <w:spacing w:after="120" w:line="240" w:lineRule="auto"/>
    </w:pPr>
  </w:style>
  <w:style w:type="character" w:customStyle="1" w:styleId="NormalnumberChar">
    <w:name w:val="Normal_number Char"/>
    <w:link w:val="Normalnumber"/>
    <w:locked/>
    <w:rsid w:val="004E4C5A"/>
    <w:rPr>
      <w:rFonts w:ascii="Times New Roman" w:eastAsia="Times New Roman" w:hAnsi="Times New Roman" w:cs="Times New Roman"/>
      <w:sz w:val="20"/>
      <w:szCs w:val="20"/>
      <w:lang w:val="en-GB"/>
    </w:rPr>
  </w:style>
  <w:style w:type="numbering" w:customStyle="1" w:styleId="Normallist">
    <w:name w:val="Normal_list"/>
    <w:basedOn w:val="NoList"/>
    <w:rsid w:val="004E4C5A"/>
    <w:pPr>
      <w:numPr>
        <w:numId w:val="2"/>
      </w:numPr>
    </w:p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93"/>
    <w:basedOn w:val="Normal"/>
    <w:link w:val="FootnoteTextChar"/>
    <w:uiPriority w:val="99"/>
    <w:qFormat/>
    <w:rsid w:val="004E4C5A"/>
    <w:pPr>
      <w:tabs>
        <w:tab w:val="left" w:pos="1247"/>
        <w:tab w:val="left" w:pos="1814"/>
        <w:tab w:val="left" w:pos="2381"/>
        <w:tab w:val="left" w:pos="2948"/>
        <w:tab w:val="left" w:pos="3515"/>
      </w:tabs>
      <w:suppressAutoHyphens w:val="0"/>
      <w:spacing w:before="20" w:after="40" w:line="240" w:lineRule="auto"/>
      <w:ind w:left="1247"/>
    </w:pPr>
    <w:rPr>
      <w:rFonts w:eastAsia="SimSun"/>
      <w:sz w:val="18"/>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basedOn w:val="DefaultParagraphFont"/>
    <w:link w:val="FootnoteText"/>
    <w:uiPriority w:val="99"/>
    <w:rsid w:val="004E4C5A"/>
    <w:rPr>
      <w:rFonts w:ascii="Times New Roman" w:eastAsia="SimSun" w:hAnsi="Times New Roman" w:cs="Times New Roman"/>
      <w:sz w:val="18"/>
      <w:szCs w:val="20"/>
      <w:lang w:val="en-GB"/>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
    <w:link w:val="BVIfnrCharCharCharChar"/>
    <w:uiPriority w:val="99"/>
    <w:qFormat/>
    <w:rsid w:val="004E4C5A"/>
    <w:rPr>
      <w:szCs w:val="18"/>
      <w:vertAlign w:val="superscript"/>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rsid w:val="004E4C5A"/>
    <w:pPr>
      <w:suppressAutoHyphens w:val="0"/>
      <w:spacing w:before="120" w:after="160" w:line="240" w:lineRule="exact"/>
    </w:pPr>
    <w:rPr>
      <w:rFonts w:asciiTheme="minorHAnsi" w:eastAsiaTheme="minorHAnsi" w:hAnsiTheme="minorHAnsi" w:cstheme="minorBidi"/>
      <w:sz w:val="22"/>
      <w:szCs w:val="18"/>
      <w:vertAlign w:val="superscript"/>
      <w:lang w:val="en-US"/>
    </w:rPr>
  </w:style>
  <w:style w:type="paragraph" w:styleId="ListParagraph">
    <w:name w:val="List Paragraph"/>
    <w:basedOn w:val="Normal"/>
    <w:uiPriority w:val="34"/>
    <w:qFormat/>
    <w:rsid w:val="00B5338E"/>
    <w:pPr>
      <w:suppressAutoHyphens w:val="0"/>
      <w:spacing w:after="160" w:line="259" w:lineRule="auto"/>
      <w:ind w:left="720"/>
      <w:contextualSpacing/>
    </w:pPr>
    <w:rPr>
      <w:rFonts w:asciiTheme="minorHAnsi" w:eastAsiaTheme="minorHAnsi" w:hAnsiTheme="minorHAnsi" w:cstheme="minorBidi"/>
      <w:sz w:val="22"/>
      <w:szCs w:val="22"/>
      <w:lang w:val="sv-SE"/>
    </w:rPr>
  </w:style>
  <w:style w:type="table" w:styleId="TableGrid">
    <w:name w:val="Table Grid"/>
    <w:basedOn w:val="TableNormal"/>
    <w:uiPriority w:val="39"/>
    <w:rsid w:val="00B5338E"/>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39581">
      <w:bodyDiv w:val="1"/>
      <w:marLeft w:val="0"/>
      <w:marRight w:val="0"/>
      <w:marTop w:val="0"/>
      <w:marBottom w:val="0"/>
      <w:divBdr>
        <w:top w:val="none" w:sz="0" w:space="0" w:color="auto"/>
        <w:left w:val="none" w:sz="0" w:space="0" w:color="auto"/>
        <w:bottom w:val="none" w:sz="0" w:space="0" w:color="auto"/>
        <w:right w:val="none" w:sz="0" w:space="0" w:color="auto"/>
      </w:divBdr>
    </w:div>
    <w:div w:id="787045884">
      <w:bodyDiv w:val="1"/>
      <w:marLeft w:val="0"/>
      <w:marRight w:val="0"/>
      <w:marTop w:val="0"/>
      <w:marBottom w:val="0"/>
      <w:divBdr>
        <w:top w:val="none" w:sz="0" w:space="0" w:color="auto"/>
        <w:left w:val="none" w:sz="0" w:space="0" w:color="auto"/>
        <w:bottom w:val="none" w:sz="0" w:space="0" w:color="auto"/>
        <w:right w:val="none" w:sz="0" w:space="0" w:color="auto"/>
      </w:divBdr>
    </w:div>
    <w:div w:id="1752921606">
      <w:bodyDiv w:val="1"/>
      <w:marLeft w:val="0"/>
      <w:marRight w:val="0"/>
      <w:marTop w:val="0"/>
      <w:marBottom w:val="0"/>
      <w:divBdr>
        <w:top w:val="none" w:sz="0" w:space="0" w:color="auto"/>
        <w:left w:val="none" w:sz="0" w:space="0" w:color="auto"/>
        <w:bottom w:val="none" w:sz="0" w:space="0" w:color="auto"/>
        <w:right w:val="none" w:sz="0" w:space="0" w:color="auto"/>
      </w:divBdr>
    </w:div>
    <w:div w:id="18569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4464-14C9-472E-B71F-C613043B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Deana - OSHA</dc:creator>
  <cp:keywords/>
  <dc:description/>
  <cp:lastModifiedBy>Laurence Berthet</cp:lastModifiedBy>
  <cp:revision>7</cp:revision>
  <cp:lastPrinted>2018-12-06T15:16:00Z</cp:lastPrinted>
  <dcterms:created xsi:type="dcterms:W3CDTF">2018-12-06T14:34:00Z</dcterms:created>
  <dcterms:modified xsi:type="dcterms:W3CDTF">2018-12-06T15:16:00Z</dcterms:modified>
</cp:coreProperties>
</file>