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825C9" w14:paraId="03CA7DD4" w14:textId="77777777" w:rsidTr="000216CC">
        <w:trPr>
          <w:trHeight w:val="851"/>
        </w:trPr>
        <w:tc>
          <w:tcPr>
            <w:tcW w:w="1259" w:type="dxa"/>
            <w:tcBorders>
              <w:top w:val="nil"/>
              <w:left w:val="nil"/>
              <w:bottom w:val="single" w:sz="4" w:space="0" w:color="auto"/>
              <w:right w:val="nil"/>
            </w:tcBorders>
            <w:shd w:val="clear" w:color="auto" w:fill="auto"/>
          </w:tcPr>
          <w:p w14:paraId="124F777A" w14:textId="77777777" w:rsidR="00446DE4" w:rsidRPr="004825C9"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0DA742B7" w14:textId="77777777" w:rsidR="00446DE4" w:rsidRPr="004825C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64B70D37" w14:textId="7F4AE6CB" w:rsidR="00FC215C" w:rsidRPr="004825C9" w:rsidRDefault="00FC215C" w:rsidP="00FC215C">
            <w:pPr>
              <w:jc w:val="right"/>
              <w:rPr>
                <w:b/>
                <w:sz w:val="40"/>
                <w:szCs w:val="40"/>
              </w:rPr>
            </w:pPr>
            <w:r w:rsidRPr="004825C9">
              <w:rPr>
                <w:b/>
                <w:sz w:val="40"/>
                <w:szCs w:val="40"/>
              </w:rPr>
              <w:t>UN/SCE</w:t>
            </w:r>
            <w:r w:rsidR="002221BB">
              <w:rPr>
                <w:b/>
                <w:sz w:val="40"/>
                <w:szCs w:val="40"/>
              </w:rPr>
              <w:t>GHS</w:t>
            </w:r>
            <w:r w:rsidRPr="004825C9">
              <w:rPr>
                <w:b/>
                <w:sz w:val="40"/>
                <w:szCs w:val="40"/>
              </w:rPr>
              <w:t>/</w:t>
            </w:r>
            <w:r w:rsidR="002221BB">
              <w:rPr>
                <w:b/>
                <w:sz w:val="40"/>
                <w:szCs w:val="40"/>
              </w:rPr>
              <w:t>36</w:t>
            </w:r>
            <w:r w:rsidRPr="004825C9">
              <w:rPr>
                <w:b/>
                <w:sz w:val="40"/>
                <w:szCs w:val="40"/>
              </w:rPr>
              <w:t>/INF.</w:t>
            </w:r>
            <w:r w:rsidR="002221BB">
              <w:rPr>
                <w:b/>
                <w:sz w:val="40"/>
                <w:szCs w:val="40"/>
              </w:rPr>
              <w:t>25</w:t>
            </w:r>
          </w:p>
          <w:p w14:paraId="5D82F3A9" w14:textId="77777777" w:rsidR="000216CC" w:rsidRPr="004825C9" w:rsidRDefault="000216CC" w:rsidP="001944F1">
            <w:pPr>
              <w:jc w:val="right"/>
              <w:rPr>
                <w:highlight w:val="yellow"/>
              </w:rPr>
            </w:pPr>
          </w:p>
        </w:tc>
      </w:tr>
    </w:tbl>
    <w:tbl>
      <w:tblPr>
        <w:tblW w:w="9645" w:type="dxa"/>
        <w:tblInd w:w="108" w:type="dxa"/>
        <w:tblLayout w:type="fixed"/>
        <w:tblLook w:val="04A0" w:firstRow="1" w:lastRow="0" w:firstColumn="1" w:lastColumn="0" w:noHBand="0" w:noVBand="1"/>
      </w:tblPr>
      <w:tblGrid>
        <w:gridCol w:w="9645"/>
      </w:tblGrid>
      <w:tr w:rsidR="00645A0B" w:rsidRPr="004825C9" w14:paraId="578C7ABA" w14:textId="77777777" w:rsidTr="00165735">
        <w:tc>
          <w:tcPr>
            <w:tcW w:w="9645" w:type="dxa"/>
            <w:tcMar>
              <w:top w:w="142" w:type="dxa"/>
              <w:left w:w="108" w:type="dxa"/>
              <w:bottom w:w="142" w:type="dxa"/>
              <w:right w:w="108" w:type="dxa"/>
            </w:tcMar>
          </w:tcPr>
          <w:p w14:paraId="4F930DFD" w14:textId="76DE2A76" w:rsidR="00645A0B" w:rsidRPr="004825C9" w:rsidRDefault="00645A0B" w:rsidP="002B1069">
            <w:pPr>
              <w:tabs>
                <w:tab w:val="right" w:pos="9214"/>
              </w:tabs>
            </w:pPr>
            <w:r w:rsidRPr="004825C9">
              <w:rPr>
                <w:b/>
                <w:sz w:val="24"/>
                <w:szCs w:val="24"/>
              </w:rPr>
              <w:t>Committee of Experts on the Transport of Dangerous Goods</w:t>
            </w:r>
            <w:r w:rsidRPr="004825C9">
              <w:rPr>
                <w:b/>
                <w:sz w:val="24"/>
                <w:szCs w:val="24"/>
              </w:rPr>
              <w:tab/>
            </w:r>
            <w:r w:rsidRPr="004825C9">
              <w:rPr>
                <w:b/>
                <w:sz w:val="24"/>
                <w:szCs w:val="24"/>
              </w:rPr>
              <w:br/>
              <w:t>and on the Globally Harmonized System of Classification</w:t>
            </w:r>
            <w:r w:rsidRPr="004825C9">
              <w:rPr>
                <w:b/>
                <w:sz w:val="24"/>
                <w:szCs w:val="24"/>
              </w:rPr>
              <w:br/>
              <w:t>and Labelling of Chemicals</w:t>
            </w:r>
            <w:r w:rsidRPr="004825C9">
              <w:rPr>
                <w:b/>
              </w:rPr>
              <w:tab/>
            </w:r>
            <w:r w:rsidR="002221BB">
              <w:rPr>
                <w:b/>
              </w:rPr>
              <w:t>23 November</w:t>
            </w:r>
            <w:r w:rsidR="00A739E7" w:rsidRPr="0064618C">
              <w:rPr>
                <w:b/>
              </w:rPr>
              <w:t xml:space="preserve"> </w:t>
            </w:r>
            <w:r w:rsidR="00CE74ED" w:rsidRPr="0064618C">
              <w:rPr>
                <w:b/>
              </w:rPr>
              <w:t>2018</w:t>
            </w:r>
          </w:p>
        </w:tc>
      </w:tr>
      <w:tr w:rsidR="002221BB" w:rsidRPr="004825C9" w14:paraId="469535E0" w14:textId="77777777" w:rsidTr="00FB450C">
        <w:tc>
          <w:tcPr>
            <w:tcW w:w="9645" w:type="dxa"/>
            <w:tcMar>
              <w:top w:w="57" w:type="dxa"/>
              <w:left w:w="108" w:type="dxa"/>
              <w:bottom w:w="0" w:type="dxa"/>
              <w:right w:w="108" w:type="dxa"/>
            </w:tcMar>
            <w:vAlign w:val="center"/>
          </w:tcPr>
          <w:p w14:paraId="7D0F1493" w14:textId="12DA96B6" w:rsidR="002221BB" w:rsidRPr="004825C9" w:rsidRDefault="002221BB" w:rsidP="00165735">
            <w:pPr>
              <w:spacing w:before="120"/>
              <w:rPr>
                <w:b/>
              </w:rPr>
            </w:pPr>
            <w:r w:rsidRPr="004825C9">
              <w:rPr>
                <w:b/>
              </w:rPr>
              <w:t xml:space="preserve">Sub-Committee of Experts on the </w:t>
            </w:r>
            <w:r>
              <w:rPr>
                <w:b/>
              </w:rPr>
              <w:t xml:space="preserve">Globally Harmonized </w:t>
            </w:r>
            <w:r>
              <w:rPr>
                <w:b/>
              </w:rPr>
              <w:br/>
              <w:t>System of Classification and Labelling of Chemicals</w:t>
            </w:r>
            <w:r w:rsidRPr="004825C9">
              <w:rPr>
                <w:b/>
              </w:rPr>
              <w:t xml:space="preserve"> </w:t>
            </w:r>
          </w:p>
        </w:tc>
      </w:tr>
      <w:tr w:rsidR="002221BB" w:rsidRPr="004825C9" w14:paraId="20BD5CB8" w14:textId="77777777" w:rsidTr="00C07604">
        <w:trPr>
          <w:trHeight w:val="1697"/>
        </w:trPr>
        <w:tc>
          <w:tcPr>
            <w:tcW w:w="9645" w:type="dxa"/>
            <w:tcMar>
              <w:top w:w="57" w:type="dxa"/>
              <w:left w:w="108" w:type="dxa"/>
              <w:bottom w:w="0" w:type="dxa"/>
              <w:right w:w="108" w:type="dxa"/>
            </w:tcMar>
          </w:tcPr>
          <w:p w14:paraId="2492D01A" w14:textId="35A73DC3" w:rsidR="002221BB" w:rsidRPr="004825C9" w:rsidRDefault="002221BB" w:rsidP="009874A5">
            <w:pPr>
              <w:spacing w:before="120"/>
              <w:ind w:left="34" w:hanging="34"/>
              <w:rPr>
                <w:b/>
              </w:rPr>
            </w:pPr>
            <w:r>
              <w:rPr>
                <w:b/>
              </w:rPr>
              <w:t>Thirty-sixth</w:t>
            </w:r>
            <w:r w:rsidRPr="004825C9">
              <w:rPr>
                <w:b/>
              </w:rPr>
              <w:t xml:space="preserve"> session</w:t>
            </w:r>
          </w:p>
          <w:p w14:paraId="2F463AC1" w14:textId="455DE361" w:rsidR="002221BB" w:rsidRPr="004825C9" w:rsidRDefault="002221BB" w:rsidP="00CE74ED">
            <w:pPr>
              <w:tabs>
                <w:tab w:val="left" w:pos="6361"/>
                <w:tab w:val="left" w:pos="6939"/>
              </w:tabs>
              <w:spacing w:before="40"/>
              <w:outlineLvl w:val="0"/>
              <w:rPr>
                <w:bCs/>
              </w:rPr>
            </w:pPr>
            <w:r w:rsidRPr="004825C9">
              <w:t xml:space="preserve">Geneva, </w:t>
            </w:r>
            <w:r>
              <w:t>5-7 December</w:t>
            </w:r>
            <w:r w:rsidRPr="004825C9">
              <w:t xml:space="preserve"> 2018</w:t>
            </w:r>
          </w:p>
          <w:p w14:paraId="3448D8A1" w14:textId="77777777" w:rsidR="002221BB" w:rsidRPr="001B03EA" w:rsidRDefault="002221BB" w:rsidP="002221BB">
            <w:pPr>
              <w:spacing w:before="40"/>
            </w:pPr>
            <w:r w:rsidRPr="001B03EA">
              <w:t xml:space="preserve">Item </w:t>
            </w:r>
            <w:r>
              <w:t>4 (b)</w:t>
            </w:r>
            <w:r w:rsidRPr="000E4528">
              <w:t xml:space="preserve"> </w:t>
            </w:r>
            <w:r w:rsidRPr="001B03EA">
              <w:t>of the provisional agenda</w:t>
            </w:r>
          </w:p>
          <w:p w14:paraId="7DC24426" w14:textId="2991CA8A" w:rsidR="002221BB" w:rsidRPr="002221BB" w:rsidRDefault="002221BB" w:rsidP="000B6AD1">
            <w:pPr>
              <w:spacing w:before="40"/>
              <w:rPr>
                <w:b/>
                <w:bCs/>
              </w:rPr>
            </w:pPr>
            <w:r w:rsidRPr="002221BB">
              <w:rPr>
                <w:b/>
                <w:bCs/>
              </w:rPr>
              <w:t xml:space="preserve">Hazard communication: Improvement of annexes 1 to 3 </w:t>
            </w:r>
            <w:r w:rsidRPr="002221BB">
              <w:rPr>
                <w:b/>
                <w:bCs/>
              </w:rPr>
              <w:br/>
              <w:t>and further rationalization of precautionary statements</w:t>
            </w:r>
          </w:p>
        </w:tc>
      </w:tr>
    </w:tbl>
    <w:p w14:paraId="5F757AAB" w14:textId="5C3E730F" w:rsidR="002221BB" w:rsidRPr="003C761B" w:rsidRDefault="002221BB" w:rsidP="002221BB">
      <w:pPr>
        <w:pStyle w:val="HChG"/>
        <w:spacing w:before="120" w:after="120"/>
      </w:pPr>
      <w:r>
        <w:tab/>
      </w:r>
      <w:r>
        <w:tab/>
      </w:r>
      <w:r w:rsidRPr="003C761B">
        <w:t xml:space="preserve">Proposed work plan for the </w:t>
      </w:r>
      <w:r>
        <w:t>informal working</w:t>
      </w:r>
      <w:r w:rsidRPr="003C761B">
        <w:t xml:space="preserve"> group on the improvement of </w:t>
      </w:r>
      <w:r>
        <w:t>A</w:t>
      </w:r>
      <w:r w:rsidRPr="003C761B">
        <w:t xml:space="preserve">nnexes 1-3 of the GHS  </w:t>
      </w:r>
    </w:p>
    <w:p w14:paraId="38EFD0AF" w14:textId="77777777" w:rsidR="002221BB" w:rsidRPr="003C761B" w:rsidRDefault="002221BB" w:rsidP="002221BB">
      <w:pPr>
        <w:pStyle w:val="H1G"/>
        <w:spacing w:before="120" w:after="120"/>
        <w:rPr>
          <w:rFonts w:eastAsia="MS Mincho"/>
        </w:rPr>
      </w:pPr>
      <w:r w:rsidRPr="003C761B">
        <w:rPr>
          <w:rFonts w:eastAsia="MS Mincho"/>
        </w:rPr>
        <w:tab/>
      </w:r>
      <w:r w:rsidRPr="003C761B">
        <w:rPr>
          <w:rFonts w:eastAsia="MS Mincho"/>
        </w:rPr>
        <w:tab/>
        <w:t xml:space="preserve">Transmitted by the expert from the United Kingdom on behalf of the </w:t>
      </w:r>
      <w:r>
        <w:rPr>
          <w:rFonts w:eastAsia="MS Mincho"/>
        </w:rPr>
        <w:t>working</w:t>
      </w:r>
      <w:r w:rsidRPr="003C761B">
        <w:rPr>
          <w:rFonts w:eastAsia="MS Mincho"/>
        </w:rPr>
        <w:t xml:space="preserve"> group</w:t>
      </w:r>
    </w:p>
    <w:p w14:paraId="6325915B" w14:textId="77777777" w:rsidR="002221BB" w:rsidRPr="006B44DF" w:rsidRDefault="002221BB" w:rsidP="002221BB">
      <w:pPr>
        <w:pStyle w:val="SingleTxtG"/>
        <w:rPr>
          <w:rFonts w:eastAsia="MS Mincho"/>
        </w:rPr>
      </w:pPr>
      <w:r w:rsidRPr="006B44DF">
        <w:rPr>
          <w:rFonts w:eastAsia="MS Mincho"/>
        </w:rPr>
        <w:t>1.</w:t>
      </w:r>
      <w:r w:rsidRPr="006B44DF">
        <w:rPr>
          <w:rFonts w:eastAsia="MS Mincho"/>
        </w:rPr>
        <w:tab/>
        <w:t xml:space="preserve">The </w:t>
      </w:r>
      <w:r>
        <w:rPr>
          <w:rFonts w:eastAsia="MS Mincho"/>
        </w:rPr>
        <w:t>informal working</w:t>
      </w:r>
      <w:r w:rsidRPr="006B44DF">
        <w:rPr>
          <w:rFonts w:eastAsia="MS Mincho"/>
        </w:rPr>
        <w:t xml:space="preserve"> group on improving </w:t>
      </w:r>
      <w:r>
        <w:rPr>
          <w:rFonts w:eastAsia="MS Mincho"/>
        </w:rPr>
        <w:t>A</w:t>
      </w:r>
      <w:r w:rsidRPr="006B44DF">
        <w:rPr>
          <w:rFonts w:eastAsia="MS Mincho"/>
        </w:rPr>
        <w:t>nnexes 1 to 3 of the GHS proposes the following plan of work for the biennium 201</w:t>
      </w:r>
      <w:r>
        <w:rPr>
          <w:rFonts w:eastAsia="MS Mincho"/>
        </w:rPr>
        <w:t>9</w:t>
      </w:r>
      <w:r w:rsidRPr="006B44DF">
        <w:rPr>
          <w:rFonts w:eastAsia="MS Mincho"/>
        </w:rPr>
        <w:t>-</w:t>
      </w:r>
      <w:r>
        <w:rPr>
          <w:rFonts w:eastAsia="MS Mincho"/>
        </w:rPr>
        <w:t>2020</w:t>
      </w:r>
      <w:r w:rsidRPr="006B44DF">
        <w:rPr>
          <w:rFonts w:eastAsia="MS Mincho"/>
        </w:rPr>
        <w:t>.</w:t>
      </w:r>
    </w:p>
    <w:p w14:paraId="33462A59" w14:textId="77777777" w:rsidR="002221BB" w:rsidRPr="006B44DF" w:rsidRDefault="002221BB" w:rsidP="002221BB">
      <w:pPr>
        <w:pStyle w:val="SingleTxtG"/>
        <w:rPr>
          <w:rFonts w:eastAsia="MS Mincho"/>
        </w:rPr>
      </w:pPr>
      <w:r w:rsidRPr="006B44DF">
        <w:rPr>
          <w:rFonts w:eastAsia="MS Mincho"/>
        </w:rPr>
        <w:t>2.</w:t>
      </w:r>
      <w:r w:rsidRPr="006B44DF">
        <w:rPr>
          <w:rFonts w:eastAsia="MS Mincho"/>
        </w:rPr>
        <w:tab/>
        <w:t xml:space="preserve">The overall goal remains the improvement of </w:t>
      </w:r>
      <w:r>
        <w:rPr>
          <w:rFonts w:eastAsia="MS Mincho"/>
        </w:rPr>
        <w:t>A</w:t>
      </w:r>
      <w:r w:rsidRPr="006B44DF">
        <w:rPr>
          <w:rFonts w:eastAsia="MS Mincho"/>
        </w:rPr>
        <w:t xml:space="preserve">nnexes 1-3 and further rationalisation of precautionary statements.  Within this there are three </w:t>
      </w:r>
      <w:r>
        <w:rPr>
          <w:rFonts w:eastAsia="MS Mincho"/>
        </w:rPr>
        <w:t>key areas of focus</w:t>
      </w:r>
      <w:r w:rsidRPr="006B44DF">
        <w:rPr>
          <w:rFonts w:eastAsia="MS Mincho"/>
        </w:rPr>
        <w:t>:</w:t>
      </w:r>
    </w:p>
    <w:p w14:paraId="25D36D74" w14:textId="77777777" w:rsidR="002221BB" w:rsidRDefault="002221BB" w:rsidP="002221BB">
      <w:pPr>
        <w:pStyle w:val="SingleTxtG"/>
        <w:ind w:left="1701"/>
        <w:rPr>
          <w:rFonts w:eastAsia="MS Mincho"/>
        </w:rPr>
      </w:pPr>
      <w:r w:rsidRPr="003C761B">
        <w:rPr>
          <w:rFonts w:eastAsia="MS Mincho"/>
        </w:rPr>
        <w:t>(</w:t>
      </w:r>
      <w:r>
        <w:rPr>
          <w:rFonts w:eastAsia="MS Mincho"/>
        </w:rPr>
        <w:t>a</w:t>
      </w:r>
      <w:r w:rsidRPr="003C761B">
        <w:rPr>
          <w:rFonts w:eastAsia="MS Mincho"/>
        </w:rPr>
        <w:t>)</w:t>
      </w:r>
      <w:r w:rsidRPr="003C761B">
        <w:rPr>
          <w:rFonts w:eastAsia="MS Mincho"/>
        </w:rPr>
        <w:tab/>
      </w:r>
      <w:r>
        <w:rPr>
          <w:rFonts w:eastAsia="MS Mincho"/>
        </w:rPr>
        <w:t>T</w:t>
      </w:r>
      <w:r w:rsidRPr="003C761B">
        <w:rPr>
          <w:rFonts w:eastAsia="MS Mincho"/>
        </w:rPr>
        <w:t>o develop proposals to rationalise and improve the</w:t>
      </w:r>
      <w:r w:rsidRPr="008F6E65">
        <w:rPr>
          <w:rFonts w:eastAsia="MS Mincho"/>
        </w:rPr>
        <w:t xml:space="preserve"> comprehensibility of hazard and precautionary statements for users, while taking into account usability for labelling practitioners. This may</w:t>
      </w:r>
      <w:r>
        <w:rPr>
          <w:rFonts w:eastAsia="MS Mincho"/>
        </w:rPr>
        <w:t xml:space="preserve"> include proposals to rationalis</w:t>
      </w:r>
      <w:r w:rsidRPr="008F6E65">
        <w:rPr>
          <w:rFonts w:eastAsia="MS Mincho"/>
        </w:rPr>
        <w:t>e and clarify ambiguous or unhelpful instructional precautionary statements, such as statements relating to disposal.</w:t>
      </w:r>
    </w:p>
    <w:p w14:paraId="3B1ABBCE" w14:textId="77777777" w:rsidR="002221BB" w:rsidRPr="003C761B" w:rsidRDefault="002221BB" w:rsidP="002221BB">
      <w:pPr>
        <w:pStyle w:val="SingleTxtG"/>
        <w:ind w:left="1701"/>
        <w:rPr>
          <w:rFonts w:eastAsia="MS Mincho"/>
        </w:rPr>
      </w:pPr>
      <w:r w:rsidRPr="003C761B">
        <w:rPr>
          <w:rFonts w:eastAsia="MS Mincho"/>
        </w:rPr>
        <w:t>(</w:t>
      </w:r>
      <w:r>
        <w:rPr>
          <w:rFonts w:eastAsia="MS Mincho"/>
        </w:rPr>
        <w:t>b</w:t>
      </w:r>
      <w:r w:rsidRPr="003C761B">
        <w:rPr>
          <w:rFonts w:eastAsia="MS Mincho"/>
        </w:rPr>
        <w:t>)</w:t>
      </w:r>
      <w:r w:rsidRPr="003C761B">
        <w:rPr>
          <w:rFonts w:eastAsia="MS Mincho"/>
        </w:rPr>
        <w:tab/>
      </w:r>
      <w:r>
        <w:rPr>
          <w:rFonts w:eastAsia="MS Mincho"/>
        </w:rPr>
        <w:t>T</w:t>
      </w:r>
      <w:r w:rsidRPr="003C761B">
        <w:rPr>
          <w:rFonts w:eastAsia="MS Mincho"/>
        </w:rPr>
        <w:t>o eliminate inconsistencies in the presentation of precautionary statements in Annex 3, including looking at disparities between the application of precautionary statements for different hazard classes/categories.</w:t>
      </w:r>
    </w:p>
    <w:p w14:paraId="0BA39E50" w14:textId="77777777" w:rsidR="002221BB" w:rsidRPr="003C761B" w:rsidRDefault="002221BB" w:rsidP="002221BB">
      <w:pPr>
        <w:pStyle w:val="SingleTxtG"/>
        <w:ind w:left="1701"/>
        <w:rPr>
          <w:rFonts w:eastAsia="MS Mincho"/>
        </w:rPr>
      </w:pPr>
      <w:r w:rsidRPr="003C761B">
        <w:rPr>
          <w:rFonts w:eastAsia="MS Mincho"/>
        </w:rPr>
        <w:t>(</w:t>
      </w:r>
      <w:r>
        <w:rPr>
          <w:rFonts w:eastAsia="MS Mincho"/>
        </w:rPr>
        <w:t>c</w:t>
      </w:r>
      <w:r w:rsidRPr="003C761B">
        <w:rPr>
          <w:rFonts w:eastAsia="MS Mincho"/>
        </w:rPr>
        <w:t>)</w:t>
      </w:r>
      <w:r w:rsidRPr="003C761B">
        <w:rPr>
          <w:rFonts w:eastAsia="MS Mincho"/>
        </w:rPr>
        <w:tab/>
      </w:r>
      <w:r>
        <w:rPr>
          <w:rFonts w:eastAsia="MS Mincho"/>
        </w:rPr>
        <w:t>T</w:t>
      </w:r>
      <w:r w:rsidRPr="003C761B">
        <w:rPr>
          <w:rFonts w:eastAsia="MS Mincho"/>
        </w:rPr>
        <w:t xml:space="preserve">o consider and address other issues within the </w:t>
      </w:r>
      <w:r>
        <w:rPr>
          <w:rFonts w:eastAsia="MS Mincho"/>
        </w:rPr>
        <w:t xml:space="preserve">working group’s </w:t>
      </w:r>
      <w:r w:rsidRPr="003C761B">
        <w:rPr>
          <w:rFonts w:eastAsia="MS Mincho"/>
        </w:rPr>
        <w:t>terms of reference as they arise.</w:t>
      </w:r>
    </w:p>
    <w:p w14:paraId="1EFD19B0" w14:textId="77777777" w:rsidR="002221BB" w:rsidRPr="006B44DF" w:rsidRDefault="002221BB" w:rsidP="002221BB">
      <w:pPr>
        <w:pStyle w:val="SingleTxtG"/>
        <w:rPr>
          <w:rFonts w:eastAsia="MS Mincho"/>
        </w:rPr>
      </w:pPr>
      <w:r w:rsidRPr="006B44DF">
        <w:rPr>
          <w:rFonts w:eastAsia="MS Mincho"/>
        </w:rPr>
        <w:t>3.</w:t>
      </w:r>
      <w:r w:rsidRPr="006B44DF">
        <w:rPr>
          <w:rFonts w:eastAsia="MS Mincho"/>
        </w:rPr>
        <w:tab/>
        <w:t xml:space="preserve">The current list of tasks that the </w:t>
      </w:r>
      <w:r>
        <w:rPr>
          <w:rFonts w:eastAsia="MS Mincho"/>
        </w:rPr>
        <w:t>informal working</w:t>
      </w:r>
      <w:r w:rsidRPr="006B44DF">
        <w:rPr>
          <w:rFonts w:eastAsia="MS Mincho"/>
        </w:rPr>
        <w:t xml:space="preserve"> group proposes to tackle in the next biennium is in the Annex to this paper.</w:t>
      </w:r>
      <w:r>
        <w:rPr>
          <w:rFonts w:eastAsia="MS Mincho"/>
        </w:rPr>
        <w:t xml:space="preserve"> The Working Group has delivered on four items in its extensive workplan for 2017-2018 including: p</w:t>
      </w:r>
      <w:r w:rsidRPr="003861BB">
        <w:t>recautionary pictograms</w:t>
      </w:r>
      <w:r>
        <w:rPr>
          <w:rStyle w:val="FootnoteReference"/>
        </w:rPr>
        <w:footnoteReference w:id="2"/>
      </w:r>
      <w:r w:rsidRPr="003861BB">
        <w:t>; hazard sub-categorisation</w:t>
      </w:r>
      <w:r>
        <w:rPr>
          <w:rStyle w:val="FootnoteReference"/>
          <w:rFonts w:eastAsia="MS Mincho"/>
        </w:rPr>
        <w:footnoteReference w:id="3"/>
      </w:r>
      <w:r w:rsidRPr="00370B6F">
        <w:rPr>
          <w:rFonts w:eastAsia="MS Mincho"/>
        </w:rPr>
        <w:t xml:space="preserve">; </w:t>
      </w:r>
      <w:r w:rsidRPr="00DB0EAC">
        <w:t>a</w:t>
      </w:r>
      <w:r w:rsidRPr="003861BB">
        <w:t>mendments to headings used for A3.3.4 and A3.3.5</w:t>
      </w:r>
      <w:r>
        <w:rPr>
          <w:rStyle w:val="FootnoteReference"/>
        </w:rPr>
        <w:footnoteReference w:id="4"/>
      </w:r>
      <w:r w:rsidRPr="003861BB">
        <w:t>;</w:t>
      </w:r>
      <w:r>
        <w:t xml:space="preserve"> and</w:t>
      </w:r>
      <w:r w:rsidRPr="003861BB">
        <w:t xml:space="preserve"> </w:t>
      </w:r>
      <w:r>
        <w:t>correction to the word ‘</w:t>
      </w:r>
      <w:r w:rsidRPr="00B40E42">
        <w:t>desensitizing</w:t>
      </w:r>
      <w:r>
        <w:t xml:space="preserve">’ in </w:t>
      </w:r>
      <w:r w:rsidRPr="003861BB">
        <w:t>P212</w:t>
      </w:r>
      <w:r w:rsidRPr="0006465C">
        <w:rPr>
          <w:sz w:val="16"/>
          <w:szCs w:val="16"/>
          <w:vertAlign w:val="superscript"/>
        </w:rPr>
        <w:t>3</w:t>
      </w:r>
      <w:r>
        <w:rPr>
          <w:rFonts w:eastAsia="MS Mincho"/>
        </w:rPr>
        <w:t xml:space="preserve">. However, some specific items of work have been carried over to the next biennium. </w:t>
      </w:r>
      <w:r w:rsidRPr="006B44DF">
        <w:rPr>
          <w:rFonts w:eastAsia="MS Mincho"/>
        </w:rPr>
        <w:t>More tasks will be added in the course of the biennium as appropriate</w:t>
      </w:r>
      <w:r>
        <w:rPr>
          <w:rFonts w:eastAsia="MS Mincho"/>
        </w:rPr>
        <w:t>, including any issues the Sub-Committee may allocate to the working group to take forward</w:t>
      </w:r>
      <w:r w:rsidRPr="006B44DF">
        <w:rPr>
          <w:rFonts w:eastAsia="MS Mincho"/>
        </w:rPr>
        <w:t>.</w:t>
      </w:r>
    </w:p>
    <w:p w14:paraId="427ABE13" w14:textId="6D0EC245" w:rsidR="00A739E7" w:rsidRDefault="002221BB" w:rsidP="002221BB">
      <w:pPr>
        <w:pStyle w:val="SingleTxtG"/>
        <w:rPr>
          <w:rFonts w:eastAsia="MS Mincho"/>
        </w:rPr>
      </w:pPr>
      <w:r w:rsidRPr="006B44DF">
        <w:rPr>
          <w:rFonts w:eastAsia="MS Mincho"/>
        </w:rPr>
        <w:t>4.</w:t>
      </w:r>
      <w:r w:rsidRPr="006B44DF">
        <w:rPr>
          <w:rFonts w:eastAsia="MS Mincho"/>
        </w:rPr>
        <w:tab/>
        <w:t>The Sub-committee is invited to agree the proposed plan of work.</w:t>
      </w:r>
    </w:p>
    <w:p w14:paraId="2491D54D" w14:textId="77777777" w:rsidR="002221BB" w:rsidRDefault="002221BB" w:rsidP="002221BB">
      <w:pPr>
        <w:pStyle w:val="SingleTxtG"/>
        <w:rPr>
          <w:u w:val="single"/>
          <w:lang w:val="en-GB"/>
        </w:rPr>
        <w:sectPr w:rsidR="002221BB" w:rsidSect="0039260F">
          <w:headerReference w:type="even" r:id="rId8"/>
          <w:headerReference w:type="default" r:id="rId9"/>
          <w:footerReference w:type="even" r:id="rId10"/>
          <w:footerReference w:type="default" r:id="rId11"/>
          <w:headerReference w:type="first" r:id="rId12"/>
          <w:footerReference w:type="first" r:id="rId13"/>
          <w:endnotePr>
            <w:numFmt w:val="decimal"/>
          </w:endnotePr>
          <w:type w:val="oddPage"/>
          <w:pgSz w:w="11907" w:h="16840" w:code="9"/>
          <w:pgMar w:top="1701" w:right="1134" w:bottom="2268" w:left="1134" w:header="964" w:footer="1701" w:gutter="0"/>
          <w:cols w:space="720"/>
          <w:titlePg/>
          <w:docGrid w:linePitch="272"/>
        </w:sectPr>
      </w:pPr>
    </w:p>
    <w:p w14:paraId="6A3FB192" w14:textId="3C54EC3F" w:rsidR="002221BB" w:rsidRDefault="002221BB" w:rsidP="002221BB">
      <w:pPr>
        <w:pStyle w:val="HChG"/>
      </w:pPr>
      <w:r>
        <w:lastRenderedPageBreak/>
        <w:t>Annex</w:t>
      </w:r>
    </w:p>
    <w:tbl>
      <w:tblPr>
        <w:tblStyle w:val="TableGrid"/>
        <w:tblW w:w="12204"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
        <w:gridCol w:w="2131"/>
        <w:gridCol w:w="4975"/>
        <w:gridCol w:w="4639"/>
      </w:tblGrid>
      <w:tr w:rsidR="002221BB" w:rsidRPr="002E00EE" w14:paraId="615B2C34" w14:textId="77777777" w:rsidTr="002860BC">
        <w:trPr>
          <w:tblHeader/>
        </w:trPr>
        <w:tc>
          <w:tcPr>
            <w:tcW w:w="459" w:type="dxa"/>
            <w:tcBorders>
              <w:top w:val="single" w:sz="4" w:space="0" w:color="auto"/>
              <w:bottom w:val="single" w:sz="12" w:space="0" w:color="auto"/>
            </w:tcBorders>
            <w:shd w:val="clear" w:color="auto" w:fill="auto"/>
            <w:vAlign w:val="bottom"/>
          </w:tcPr>
          <w:p w14:paraId="001A4C72" w14:textId="77777777" w:rsidR="002221BB" w:rsidRPr="002E00EE" w:rsidRDefault="002221BB" w:rsidP="002860BC">
            <w:pPr>
              <w:spacing w:before="80" w:after="80" w:line="200" w:lineRule="exact"/>
              <w:ind w:right="113"/>
              <w:rPr>
                <w:i/>
                <w:sz w:val="18"/>
                <w:szCs w:val="18"/>
              </w:rPr>
            </w:pPr>
            <w:r w:rsidRPr="002E00EE">
              <w:rPr>
                <w:i/>
                <w:sz w:val="18"/>
                <w:szCs w:val="18"/>
              </w:rPr>
              <w:t>No.</w:t>
            </w:r>
          </w:p>
        </w:tc>
        <w:tc>
          <w:tcPr>
            <w:tcW w:w="2131" w:type="dxa"/>
            <w:tcBorders>
              <w:top w:val="single" w:sz="4" w:space="0" w:color="auto"/>
              <w:bottom w:val="single" w:sz="12" w:space="0" w:color="auto"/>
            </w:tcBorders>
            <w:shd w:val="clear" w:color="auto" w:fill="auto"/>
            <w:vAlign w:val="bottom"/>
          </w:tcPr>
          <w:p w14:paraId="0BF363C5" w14:textId="77777777" w:rsidR="002221BB" w:rsidRPr="002E00EE" w:rsidRDefault="002221BB" w:rsidP="002860BC">
            <w:pPr>
              <w:spacing w:before="80" w:after="80" w:line="200" w:lineRule="exact"/>
              <w:ind w:right="113"/>
              <w:rPr>
                <w:i/>
                <w:sz w:val="18"/>
                <w:szCs w:val="18"/>
              </w:rPr>
            </w:pPr>
            <w:r w:rsidRPr="002E00EE">
              <w:rPr>
                <w:i/>
                <w:sz w:val="18"/>
                <w:szCs w:val="18"/>
              </w:rPr>
              <w:t>Topic</w:t>
            </w:r>
          </w:p>
        </w:tc>
        <w:tc>
          <w:tcPr>
            <w:tcW w:w="4975" w:type="dxa"/>
            <w:tcBorders>
              <w:top w:val="single" w:sz="4" w:space="0" w:color="auto"/>
              <w:bottom w:val="single" w:sz="12" w:space="0" w:color="auto"/>
            </w:tcBorders>
            <w:shd w:val="clear" w:color="auto" w:fill="auto"/>
            <w:vAlign w:val="bottom"/>
          </w:tcPr>
          <w:p w14:paraId="13473272" w14:textId="77777777" w:rsidR="002221BB" w:rsidRPr="002E00EE" w:rsidRDefault="002221BB" w:rsidP="002860BC">
            <w:pPr>
              <w:spacing w:before="80" w:after="80" w:line="200" w:lineRule="exact"/>
              <w:ind w:right="113"/>
              <w:rPr>
                <w:i/>
                <w:sz w:val="18"/>
                <w:szCs w:val="18"/>
              </w:rPr>
            </w:pPr>
            <w:r w:rsidRPr="002E00EE">
              <w:rPr>
                <w:i/>
                <w:sz w:val="18"/>
                <w:szCs w:val="18"/>
              </w:rPr>
              <w:t>Issue</w:t>
            </w:r>
          </w:p>
        </w:tc>
        <w:tc>
          <w:tcPr>
            <w:tcW w:w="4639" w:type="dxa"/>
            <w:tcBorders>
              <w:top w:val="single" w:sz="4" w:space="0" w:color="auto"/>
              <w:bottom w:val="single" w:sz="12" w:space="0" w:color="auto"/>
            </w:tcBorders>
            <w:shd w:val="clear" w:color="auto" w:fill="auto"/>
            <w:vAlign w:val="bottom"/>
          </w:tcPr>
          <w:p w14:paraId="2D66F1E8" w14:textId="77777777" w:rsidR="002221BB" w:rsidRPr="002E00EE" w:rsidRDefault="002221BB" w:rsidP="002860BC">
            <w:pPr>
              <w:spacing w:before="80" w:after="80" w:line="200" w:lineRule="exact"/>
              <w:ind w:right="113"/>
              <w:rPr>
                <w:i/>
                <w:sz w:val="18"/>
                <w:szCs w:val="18"/>
              </w:rPr>
            </w:pPr>
            <w:r w:rsidRPr="002E00EE">
              <w:rPr>
                <w:i/>
                <w:sz w:val="18"/>
                <w:szCs w:val="18"/>
              </w:rPr>
              <w:t>Proposed work</w:t>
            </w:r>
          </w:p>
        </w:tc>
      </w:tr>
      <w:tr w:rsidR="002221BB" w:rsidRPr="002E00EE" w14:paraId="164CB8A2" w14:textId="77777777" w:rsidTr="002860BC">
        <w:tc>
          <w:tcPr>
            <w:tcW w:w="459" w:type="dxa"/>
            <w:shd w:val="clear" w:color="auto" w:fill="auto"/>
          </w:tcPr>
          <w:p w14:paraId="01BBC410" w14:textId="77777777" w:rsidR="002221BB" w:rsidRPr="002E00EE" w:rsidRDefault="002221BB" w:rsidP="002860BC">
            <w:pPr>
              <w:spacing w:before="40" w:after="120"/>
              <w:ind w:right="113"/>
              <w:rPr>
                <w:sz w:val="18"/>
                <w:szCs w:val="18"/>
              </w:rPr>
            </w:pPr>
            <w:r>
              <w:rPr>
                <w:sz w:val="18"/>
                <w:szCs w:val="18"/>
              </w:rPr>
              <w:t>1</w:t>
            </w:r>
          </w:p>
        </w:tc>
        <w:tc>
          <w:tcPr>
            <w:tcW w:w="2131" w:type="dxa"/>
            <w:shd w:val="clear" w:color="auto" w:fill="auto"/>
          </w:tcPr>
          <w:p w14:paraId="1B5D4AAB" w14:textId="77777777" w:rsidR="002221BB" w:rsidRPr="002E00EE" w:rsidRDefault="002221BB" w:rsidP="002860BC">
            <w:pPr>
              <w:suppressAutoHyphens w:val="0"/>
              <w:spacing w:line="240" w:lineRule="auto"/>
              <w:rPr>
                <w:sz w:val="18"/>
                <w:szCs w:val="18"/>
                <w:u w:val="single"/>
              </w:rPr>
            </w:pPr>
            <w:r w:rsidRPr="002E00EE">
              <w:rPr>
                <w:sz w:val="18"/>
                <w:szCs w:val="18"/>
                <w:u w:val="single"/>
              </w:rPr>
              <w:t>P501 – Waste disposal PS</w:t>
            </w:r>
          </w:p>
        </w:tc>
        <w:tc>
          <w:tcPr>
            <w:tcW w:w="4975" w:type="dxa"/>
            <w:shd w:val="clear" w:color="auto" w:fill="auto"/>
          </w:tcPr>
          <w:p w14:paraId="65064615" w14:textId="77777777" w:rsidR="002221BB" w:rsidRPr="002E00EE" w:rsidRDefault="002221BB" w:rsidP="002860BC">
            <w:pPr>
              <w:spacing w:before="40" w:after="120"/>
              <w:ind w:right="113"/>
              <w:rPr>
                <w:sz w:val="18"/>
                <w:szCs w:val="18"/>
              </w:rPr>
            </w:pPr>
            <w:r w:rsidRPr="002E00EE">
              <w:rPr>
                <w:sz w:val="18"/>
                <w:szCs w:val="18"/>
              </w:rPr>
              <w:t>P501 tends to result in labels telling users to dispose of ‘contents/container to a waste disposal site in accordance with national regulation’. This places the burden on the user to find the appropriate disposal outlet and does not encourage recycling. The condition for use is also currently used as a continuation of the precautionary statement by manufacturers/suppliers and is inconsistent with other PS. P501 also appears on some workplace-only products where it is unnecessary.</w:t>
            </w:r>
          </w:p>
        </w:tc>
        <w:tc>
          <w:tcPr>
            <w:tcW w:w="4639" w:type="dxa"/>
            <w:shd w:val="clear" w:color="auto" w:fill="auto"/>
          </w:tcPr>
          <w:p w14:paraId="3CBB7ACE" w14:textId="77777777" w:rsidR="002221BB" w:rsidRPr="002E00EE" w:rsidRDefault="002221BB" w:rsidP="002860BC">
            <w:pPr>
              <w:pStyle w:val="Bullet1G"/>
              <w:tabs>
                <w:tab w:val="clear" w:pos="1701"/>
              </w:tabs>
              <w:ind w:left="190" w:right="111" w:hanging="141"/>
              <w:rPr>
                <w:sz w:val="18"/>
                <w:szCs w:val="18"/>
              </w:rPr>
            </w:pPr>
            <w:r w:rsidRPr="002E00EE">
              <w:rPr>
                <w:sz w:val="18"/>
                <w:szCs w:val="18"/>
              </w:rPr>
              <w:t xml:space="preserve">Look into the viability of instructing users to dispose of products at specific sites, including looking at varying disposal requirements </w:t>
            </w:r>
            <w:r>
              <w:rPr>
                <w:sz w:val="18"/>
                <w:szCs w:val="18"/>
              </w:rPr>
              <w:t>for consumers and workers</w:t>
            </w:r>
            <w:r w:rsidRPr="002E00EE">
              <w:rPr>
                <w:sz w:val="18"/>
                <w:szCs w:val="18"/>
              </w:rPr>
              <w:t>, via a change to the PS and/or condition for use.</w:t>
            </w:r>
          </w:p>
          <w:p w14:paraId="7F630F3E" w14:textId="77777777" w:rsidR="002221BB" w:rsidRPr="002E00EE" w:rsidRDefault="002221BB" w:rsidP="002860BC">
            <w:pPr>
              <w:pStyle w:val="Bullet1G"/>
              <w:tabs>
                <w:tab w:val="clear" w:pos="1701"/>
              </w:tabs>
              <w:ind w:left="190" w:right="111" w:hanging="141"/>
              <w:rPr>
                <w:sz w:val="18"/>
                <w:szCs w:val="18"/>
              </w:rPr>
            </w:pPr>
            <w:r w:rsidRPr="002E00EE">
              <w:rPr>
                <w:sz w:val="18"/>
                <w:szCs w:val="18"/>
              </w:rPr>
              <w:t xml:space="preserve">Consider limiting </w:t>
            </w:r>
            <w:r>
              <w:rPr>
                <w:sz w:val="18"/>
                <w:szCs w:val="18"/>
              </w:rPr>
              <w:t xml:space="preserve">application of </w:t>
            </w:r>
            <w:r w:rsidRPr="002E00EE">
              <w:rPr>
                <w:sz w:val="18"/>
                <w:szCs w:val="18"/>
              </w:rPr>
              <w:t>P501 for the workplace when normal chemical waste disposal procedures suffice.</w:t>
            </w:r>
          </w:p>
        </w:tc>
      </w:tr>
      <w:tr w:rsidR="002221BB" w:rsidRPr="002E00EE" w14:paraId="579F43EE" w14:textId="77777777" w:rsidTr="002860BC">
        <w:tc>
          <w:tcPr>
            <w:tcW w:w="459" w:type="dxa"/>
            <w:shd w:val="clear" w:color="auto" w:fill="auto"/>
          </w:tcPr>
          <w:p w14:paraId="1853E31D" w14:textId="77777777" w:rsidR="002221BB" w:rsidRPr="002E00EE" w:rsidRDefault="002221BB" w:rsidP="002860BC">
            <w:pPr>
              <w:spacing w:before="40" w:after="120"/>
              <w:ind w:right="113"/>
              <w:rPr>
                <w:sz w:val="18"/>
                <w:szCs w:val="18"/>
              </w:rPr>
            </w:pPr>
            <w:r>
              <w:rPr>
                <w:sz w:val="18"/>
                <w:szCs w:val="18"/>
              </w:rPr>
              <w:t>2</w:t>
            </w:r>
          </w:p>
        </w:tc>
        <w:tc>
          <w:tcPr>
            <w:tcW w:w="2131" w:type="dxa"/>
            <w:shd w:val="clear" w:color="auto" w:fill="auto"/>
          </w:tcPr>
          <w:p w14:paraId="653C9537" w14:textId="77777777" w:rsidR="002221BB" w:rsidRPr="002E00EE" w:rsidRDefault="002221BB" w:rsidP="002860BC">
            <w:pPr>
              <w:spacing w:before="40" w:after="120"/>
              <w:ind w:right="113"/>
              <w:rPr>
                <w:sz w:val="18"/>
                <w:szCs w:val="18"/>
                <w:u w:val="single"/>
              </w:rPr>
            </w:pPr>
            <w:r>
              <w:rPr>
                <w:sz w:val="18"/>
                <w:szCs w:val="18"/>
                <w:u w:val="single"/>
              </w:rPr>
              <w:t>Conditional use of P102 precautionary pictograms</w:t>
            </w:r>
          </w:p>
        </w:tc>
        <w:tc>
          <w:tcPr>
            <w:tcW w:w="4975" w:type="dxa"/>
            <w:shd w:val="clear" w:color="auto" w:fill="auto"/>
          </w:tcPr>
          <w:p w14:paraId="60355C55" w14:textId="77777777" w:rsidR="002221BB" w:rsidRPr="002E00EE" w:rsidRDefault="002221BB" w:rsidP="002860BC">
            <w:pPr>
              <w:spacing w:before="40" w:after="120"/>
              <w:ind w:right="113"/>
              <w:rPr>
                <w:sz w:val="18"/>
                <w:szCs w:val="18"/>
              </w:rPr>
            </w:pPr>
            <w:r>
              <w:rPr>
                <w:sz w:val="18"/>
                <w:szCs w:val="18"/>
              </w:rPr>
              <w:t>Section 5 of Annex 3 contains two example precautionary pictograms corresponding to P102 ‘Keep out of reach of children’ on consumer labels. Given there is often competing space on labels and that illiteracy and reading abilities levels can vary widely globally, it is important to find effectives way to convey P102 message to consumers within the confines of labels and various jurisdictions labelling requirements.</w:t>
            </w:r>
          </w:p>
        </w:tc>
        <w:tc>
          <w:tcPr>
            <w:tcW w:w="4639" w:type="dxa"/>
            <w:shd w:val="clear" w:color="auto" w:fill="auto"/>
          </w:tcPr>
          <w:p w14:paraId="7A2424A8" w14:textId="77777777" w:rsidR="002221BB" w:rsidRPr="002E00EE" w:rsidRDefault="002221BB" w:rsidP="002860BC">
            <w:pPr>
              <w:pStyle w:val="Bullet1G"/>
              <w:tabs>
                <w:tab w:val="clear" w:pos="1701"/>
              </w:tabs>
              <w:ind w:left="190" w:right="111" w:hanging="141"/>
              <w:rPr>
                <w:sz w:val="18"/>
                <w:szCs w:val="18"/>
              </w:rPr>
            </w:pPr>
            <w:r>
              <w:rPr>
                <w:sz w:val="18"/>
                <w:szCs w:val="18"/>
              </w:rPr>
              <w:t>Consider how the example pictograms could be used on consumer labels (e.g. as an alternative to written precautionary statements) whilst ensuring that any such use would be consistent with the legal requirements of the different jurisdictions globally, and the potential implications and precedents from any such proposed use.</w:t>
            </w:r>
          </w:p>
        </w:tc>
      </w:tr>
      <w:tr w:rsidR="002221BB" w:rsidRPr="002E00EE" w14:paraId="6ADE6F92" w14:textId="77777777" w:rsidTr="002860BC">
        <w:tc>
          <w:tcPr>
            <w:tcW w:w="459" w:type="dxa"/>
            <w:shd w:val="clear" w:color="auto" w:fill="auto"/>
          </w:tcPr>
          <w:p w14:paraId="13FDE7E4" w14:textId="77777777" w:rsidR="002221BB" w:rsidRPr="002E00EE" w:rsidRDefault="002221BB" w:rsidP="002860BC">
            <w:pPr>
              <w:spacing w:before="40" w:after="120"/>
              <w:ind w:right="113"/>
              <w:rPr>
                <w:sz w:val="18"/>
                <w:szCs w:val="18"/>
              </w:rPr>
            </w:pPr>
            <w:r w:rsidRPr="002E00EE">
              <w:rPr>
                <w:sz w:val="18"/>
                <w:szCs w:val="18"/>
              </w:rPr>
              <w:t>3</w:t>
            </w:r>
          </w:p>
        </w:tc>
        <w:tc>
          <w:tcPr>
            <w:tcW w:w="2131" w:type="dxa"/>
            <w:shd w:val="clear" w:color="auto" w:fill="auto"/>
          </w:tcPr>
          <w:p w14:paraId="0EB5D4EC" w14:textId="77777777" w:rsidR="002221BB" w:rsidRPr="002E00EE" w:rsidRDefault="002221BB" w:rsidP="002860BC">
            <w:pPr>
              <w:spacing w:before="40" w:after="120"/>
              <w:ind w:right="113"/>
              <w:rPr>
                <w:sz w:val="18"/>
                <w:szCs w:val="18"/>
                <w:u w:val="single"/>
              </w:rPr>
            </w:pPr>
            <w:r w:rsidRPr="002E00EE">
              <w:rPr>
                <w:sz w:val="18"/>
                <w:szCs w:val="18"/>
                <w:u w:val="single"/>
              </w:rPr>
              <w:t>Hand-eye contact</w:t>
            </w:r>
          </w:p>
        </w:tc>
        <w:tc>
          <w:tcPr>
            <w:tcW w:w="4975" w:type="dxa"/>
            <w:shd w:val="clear" w:color="auto" w:fill="auto"/>
          </w:tcPr>
          <w:p w14:paraId="70B612F6" w14:textId="77777777" w:rsidR="002221BB" w:rsidRPr="002E00EE" w:rsidRDefault="002221BB" w:rsidP="002860BC">
            <w:pPr>
              <w:spacing w:before="40" w:after="120"/>
              <w:ind w:right="113"/>
              <w:rPr>
                <w:sz w:val="18"/>
                <w:szCs w:val="18"/>
              </w:rPr>
            </w:pPr>
            <w:r w:rsidRPr="002E00EE">
              <w:rPr>
                <w:sz w:val="18"/>
                <w:szCs w:val="18"/>
              </w:rPr>
              <w:t>At present the precautionary statements do not make a link between eye irritants and skin exposure, thereby overlooking the fact that hand-eye contact is a major source of eye contact with a substance/mixture.</w:t>
            </w:r>
          </w:p>
        </w:tc>
        <w:tc>
          <w:tcPr>
            <w:tcW w:w="4639" w:type="dxa"/>
            <w:shd w:val="clear" w:color="auto" w:fill="auto"/>
          </w:tcPr>
          <w:p w14:paraId="14024E2C" w14:textId="77777777" w:rsidR="002221BB" w:rsidRPr="002E00EE" w:rsidRDefault="002221BB" w:rsidP="002860BC">
            <w:pPr>
              <w:pStyle w:val="Bullet1G"/>
              <w:tabs>
                <w:tab w:val="clear" w:pos="1701"/>
              </w:tabs>
              <w:ind w:left="190" w:right="111" w:hanging="141"/>
              <w:rPr>
                <w:sz w:val="18"/>
                <w:szCs w:val="18"/>
              </w:rPr>
            </w:pPr>
            <w:r w:rsidRPr="002E00EE">
              <w:rPr>
                <w:sz w:val="18"/>
                <w:szCs w:val="18"/>
              </w:rPr>
              <w:t>Consider adding “Eye irritation” to the P302, “IF ON SKIN”, triggers.</w:t>
            </w:r>
          </w:p>
          <w:p w14:paraId="377DA98E" w14:textId="77777777" w:rsidR="002221BB" w:rsidRPr="002E00EE" w:rsidRDefault="002221BB" w:rsidP="002860BC">
            <w:pPr>
              <w:pStyle w:val="Bullet1G"/>
              <w:tabs>
                <w:tab w:val="clear" w:pos="1701"/>
              </w:tabs>
              <w:ind w:left="190" w:right="111" w:hanging="141"/>
              <w:rPr>
                <w:sz w:val="18"/>
                <w:szCs w:val="18"/>
              </w:rPr>
            </w:pPr>
            <w:r w:rsidRPr="002E00EE">
              <w:rPr>
                <w:sz w:val="18"/>
                <w:szCs w:val="18"/>
              </w:rPr>
              <w:t>Consider creating new precautionary statement to highlight risk of hand-eye contact for eye irritants.</w:t>
            </w:r>
          </w:p>
        </w:tc>
      </w:tr>
      <w:tr w:rsidR="002221BB" w:rsidRPr="002E00EE" w14:paraId="019BF15B" w14:textId="77777777" w:rsidTr="002860BC">
        <w:tc>
          <w:tcPr>
            <w:tcW w:w="459" w:type="dxa"/>
            <w:shd w:val="clear" w:color="auto" w:fill="auto"/>
          </w:tcPr>
          <w:p w14:paraId="726B1CB6" w14:textId="77777777" w:rsidR="002221BB" w:rsidRPr="002E00EE" w:rsidRDefault="002221BB" w:rsidP="002860BC">
            <w:pPr>
              <w:spacing w:before="40" w:after="120"/>
              <w:ind w:right="113"/>
              <w:rPr>
                <w:sz w:val="18"/>
                <w:szCs w:val="18"/>
              </w:rPr>
            </w:pPr>
            <w:r w:rsidRPr="002E00EE">
              <w:rPr>
                <w:sz w:val="18"/>
                <w:szCs w:val="18"/>
              </w:rPr>
              <w:t>4</w:t>
            </w:r>
          </w:p>
        </w:tc>
        <w:tc>
          <w:tcPr>
            <w:tcW w:w="2131" w:type="dxa"/>
            <w:shd w:val="clear" w:color="auto" w:fill="auto"/>
          </w:tcPr>
          <w:p w14:paraId="123968E2" w14:textId="77777777" w:rsidR="002221BB" w:rsidRPr="002E00EE" w:rsidRDefault="002221BB" w:rsidP="002860BC">
            <w:pPr>
              <w:spacing w:before="40" w:after="120"/>
              <w:ind w:right="113"/>
              <w:rPr>
                <w:sz w:val="18"/>
                <w:szCs w:val="18"/>
              </w:rPr>
            </w:pPr>
            <w:r w:rsidRPr="002E00EE">
              <w:rPr>
                <w:sz w:val="18"/>
                <w:szCs w:val="18"/>
                <w:u w:val="single"/>
              </w:rPr>
              <w:t>Combination statements</w:t>
            </w:r>
          </w:p>
        </w:tc>
        <w:tc>
          <w:tcPr>
            <w:tcW w:w="4975" w:type="dxa"/>
            <w:shd w:val="clear" w:color="auto" w:fill="auto"/>
          </w:tcPr>
          <w:p w14:paraId="3F7955D5" w14:textId="77777777" w:rsidR="002221BB" w:rsidRPr="002E00EE" w:rsidRDefault="002221BB" w:rsidP="002860BC">
            <w:pPr>
              <w:spacing w:before="40" w:after="120"/>
              <w:ind w:right="113"/>
              <w:rPr>
                <w:sz w:val="18"/>
                <w:szCs w:val="18"/>
              </w:rPr>
            </w:pPr>
            <w:r w:rsidRPr="002E00EE">
              <w:rPr>
                <w:sz w:val="18"/>
                <w:szCs w:val="18"/>
              </w:rPr>
              <w:t>Combination statements are presented inconsistently in Annex 3. Some combination statements are shown in the tables while others are not. In the PS matrix the presentation of combination statements can be misleading, especially in routes of exposure + response whereby the route of exposure is presented as only applying to one response rather than multiple.</w:t>
            </w:r>
          </w:p>
        </w:tc>
        <w:tc>
          <w:tcPr>
            <w:tcW w:w="4639" w:type="dxa"/>
            <w:shd w:val="clear" w:color="auto" w:fill="auto"/>
          </w:tcPr>
          <w:p w14:paraId="2CDE9AE8" w14:textId="77777777" w:rsidR="002221BB" w:rsidRPr="002E00EE" w:rsidRDefault="002221BB" w:rsidP="002860BC">
            <w:pPr>
              <w:pStyle w:val="Bullet1G"/>
              <w:tabs>
                <w:tab w:val="clear" w:pos="1701"/>
              </w:tabs>
              <w:ind w:left="190" w:right="111" w:hanging="141"/>
              <w:rPr>
                <w:sz w:val="18"/>
                <w:szCs w:val="18"/>
              </w:rPr>
            </w:pPr>
            <w:r w:rsidRPr="002E00EE">
              <w:rPr>
                <w:sz w:val="18"/>
                <w:szCs w:val="18"/>
              </w:rPr>
              <w:t>Discuss the value of presenting combination statements in the PS tables and consider their removal.</w:t>
            </w:r>
          </w:p>
          <w:p w14:paraId="72E9778A" w14:textId="77777777" w:rsidR="002221BB" w:rsidRPr="002E00EE" w:rsidRDefault="002221BB" w:rsidP="002860BC">
            <w:pPr>
              <w:pStyle w:val="Bullet1G"/>
              <w:tabs>
                <w:tab w:val="clear" w:pos="1701"/>
              </w:tabs>
              <w:ind w:left="190" w:right="111" w:hanging="141"/>
              <w:rPr>
                <w:sz w:val="18"/>
                <w:szCs w:val="18"/>
              </w:rPr>
            </w:pPr>
            <w:r w:rsidRPr="002E00EE">
              <w:rPr>
                <w:sz w:val="18"/>
                <w:szCs w:val="18"/>
              </w:rPr>
              <w:t>Consider changing the presentation in the matrix to show that routes of exposure do not only apply to one response – possibly by avoiding putting multiple PS on the same line.</w:t>
            </w:r>
          </w:p>
        </w:tc>
      </w:tr>
      <w:tr w:rsidR="002221BB" w:rsidRPr="002E00EE" w14:paraId="009710A0" w14:textId="77777777" w:rsidTr="002860BC">
        <w:tc>
          <w:tcPr>
            <w:tcW w:w="459" w:type="dxa"/>
            <w:shd w:val="clear" w:color="auto" w:fill="auto"/>
          </w:tcPr>
          <w:p w14:paraId="5686EC3A" w14:textId="77777777" w:rsidR="002221BB" w:rsidRPr="002E00EE" w:rsidRDefault="002221BB" w:rsidP="002860BC">
            <w:pPr>
              <w:spacing w:before="40" w:after="120"/>
              <w:ind w:right="113"/>
              <w:rPr>
                <w:sz w:val="18"/>
                <w:szCs w:val="18"/>
              </w:rPr>
            </w:pPr>
            <w:r w:rsidRPr="002E00EE">
              <w:rPr>
                <w:sz w:val="18"/>
                <w:szCs w:val="18"/>
              </w:rPr>
              <w:t>5</w:t>
            </w:r>
          </w:p>
        </w:tc>
        <w:tc>
          <w:tcPr>
            <w:tcW w:w="2131" w:type="dxa"/>
            <w:shd w:val="clear" w:color="auto" w:fill="auto"/>
          </w:tcPr>
          <w:p w14:paraId="11214172" w14:textId="77777777" w:rsidR="002221BB" w:rsidRPr="002E00EE" w:rsidRDefault="002221BB" w:rsidP="002860BC">
            <w:pPr>
              <w:spacing w:before="40" w:after="120"/>
              <w:ind w:right="113"/>
              <w:rPr>
                <w:sz w:val="18"/>
                <w:szCs w:val="18"/>
              </w:rPr>
            </w:pPr>
            <w:r w:rsidRPr="002E00EE">
              <w:rPr>
                <w:sz w:val="18"/>
                <w:szCs w:val="18"/>
                <w:u w:val="single"/>
              </w:rPr>
              <w:t>Sensitisation - respiratory</w:t>
            </w:r>
          </w:p>
        </w:tc>
        <w:tc>
          <w:tcPr>
            <w:tcW w:w="4975" w:type="dxa"/>
            <w:shd w:val="clear" w:color="auto" w:fill="auto"/>
          </w:tcPr>
          <w:p w14:paraId="43D85F39" w14:textId="77777777" w:rsidR="002221BB" w:rsidRPr="002E00EE" w:rsidRDefault="002221BB" w:rsidP="002860BC">
            <w:pPr>
              <w:spacing w:before="40" w:after="120"/>
              <w:ind w:right="113"/>
              <w:rPr>
                <w:sz w:val="18"/>
                <w:szCs w:val="18"/>
              </w:rPr>
            </w:pPr>
            <w:r w:rsidRPr="002E00EE">
              <w:rPr>
                <w:sz w:val="18"/>
                <w:szCs w:val="18"/>
              </w:rPr>
              <w:t>The PS for “Sensitisation – respiratory” does not include any reference to specific immediate treatment to alleviate symptoms, although these might be available.</w:t>
            </w:r>
          </w:p>
        </w:tc>
        <w:tc>
          <w:tcPr>
            <w:tcW w:w="4639" w:type="dxa"/>
            <w:shd w:val="clear" w:color="auto" w:fill="auto"/>
          </w:tcPr>
          <w:p w14:paraId="5EC9D902" w14:textId="77777777" w:rsidR="002221BB" w:rsidRPr="002E00EE" w:rsidRDefault="002221BB" w:rsidP="002860BC">
            <w:pPr>
              <w:pStyle w:val="Bullet1G"/>
              <w:tabs>
                <w:tab w:val="clear" w:pos="1701"/>
              </w:tabs>
              <w:ind w:left="190" w:right="111" w:hanging="141"/>
              <w:rPr>
                <w:sz w:val="18"/>
                <w:szCs w:val="18"/>
              </w:rPr>
            </w:pPr>
            <w:r w:rsidRPr="002E00EE">
              <w:rPr>
                <w:sz w:val="18"/>
                <w:szCs w:val="18"/>
              </w:rPr>
              <w:t>Consider applying an extra PS for “Sensitisation – respiration”, perhaps using P271, “Specific treatment (see … on this label)”.</w:t>
            </w:r>
          </w:p>
        </w:tc>
      </w:tr>
      <w:tr w:rsidR="002221BB" w:rsidRPr="002E00EE" w14:paraId="77C41039" w14:textId="77777777" w:rsidTr="002860BC">
        <w:tc>
          <w:tcPr>
            <w:tcW w:w="459" w:type="dxa"/>
            <w:shd w:val="clear" w:color="auto" w:fill="auto"/>
          </w:tcPr>
          <w:p w14:paraId="3E657702" w14:textId="77777777" w:rsidR="002221BB" w:rsidRPr="002E00EE" w:rsidRDefault="002221BB" w:rsidP="002221BB">
            <w:pPr>
              <w:keepNext/>
              <w:keepLines/>
              <w:spacing w:before="40" w:after="120"/>
              <w:ind w:right="113"/>
              <w:rPr>
                <w:sz w:val="18"/>
                <w:szCs w:val="18"/>
              </w:rPr>
            </w:pPr>
            <w:r>
              <w:rPr>
                <w:sz w:val="18"/>
                <w:szCs w:val="18"/>
              </w:rPr>
              <w:lastRenderedPageBreak/>
              <w:t>6</w:t>
            </w:r>
          </w:p>
        </w:tc>
        <w:tc>
          <w:tcPr>
            <w:tcW w:w="2131" w:type="dxa"/>
            <w:shd w:val="clear" w:color="auto" w:fill="auto"/>
          </w:tcPr>
          <w:p w14:paraId="559359FF" w14:textId="77777777" w:rsidR="002221BB" w:rsidRPr="002E00EE" w:rsidRDefault="002221BB" w:rsidP="002221BB">
            <w:pPr>
              <w:keepNext/>
              <w:keepLines/>
              <w:spacing w:before="40" w:after="120"/>
              <w:ind w:right="113"/>
              <w:rPr>
                <w:sz w:val="18"/>
                <w:szCs w:val="18"/>
                <w:u w:val="single"/>
              </w:rPr>
            </w:pPr>
            <w:r>
              <w:rPr>
                <w:sz w:val="18"/>
                <w:szCs w:val="18"/>
                <w:u w:val="single"/>
              </w:rPr>
              <w:t>Pictograms and notes in Annex 1</w:t>
            </w:r>
          </w:p>
        </w:tc>
        <w:tc>
          <w:tcPr>
            <w:tcW w:w="4975" w:type="dxa"/>
            <w:shd w:val="clear" w:color="auto" w:fill="auto"/>
          </w:tcPr>
          <w:p w14:paraId="10F081E0" w14:textId="77777777" w:rsidR="002221BB" w:rsidRPr="002E00EE" w:rsidRDefault="002221BB" w:rsidP="002221BB">
            <w:pPr>
              <w:keepNext/>
              <w:keepLines/>
              <w:spacing w:before="40" w:after="120"/>
              <w:ind w:right="113"/>
              <w:rPr>
                <w:sz w:val="18"/>
                <w:szCs w:val="18"/>
              </w:rPr>
            </w:pPr>
            <w:r>
              <w:rPr>
                <w:sz w:val="18"/>
                <w:szCs w:val="18"/>
              </w:rPr>
              <w:t>Annex I has evolved over time and the use of pictograms and notes may not be consistent</w:t>
            </w:r>
          </w:p>
        </w:tc>
        <w:tc>
          <w:tcPr>
            <w:tcW w:w="4639" w:type="dxa"/>
            <w:shd w:val="clear" w:color="auto" w:fill="auto"/>
          </w:tcPr>
          <w:p w14:paraId="75B339FA" w14:textId="77777777" w:rsidR="002221BB" w:rsidRPr="002E00EE" w:rsidRDefault="002221BB" w:rsidP="002221BB">
            <w:pPr>
              <w:pStyle w:val="Bullet1G"/>
              <w:keepNext/>
              <w:keepLines/>
              <w:tabs>
                <w:tab w:val="clear" w:pos="1701"/>
              </w:tabs>
              <w:ind w:left="190" w:right="111" w:hanging="141"/>
              <w:rPr>
                <w:sz w:val="18"/>
                <w:szCs w:val="18"/>
              </w:rPr>
            </w:pPr>
            <w:r>
              <w:rPr>
                <w:sz w:val="18"/>
                <w:szCs w:val="18"/>
              </w:rPr>
              <w:t>Review the GHS and TDG pictograms and the use of notes in Annex I to ensure consistent and helpful presentation across hazard classes and categories.</w:t>
            </w:r>
          </w:p>
        </w:tc>
      </w:tr>
      <w:tr w:rsidR="002221BB" w:rsidRPr="002E00EE" w14:paraId="577A7879" w14:textId="77777777" w:rsidTr="002860BC">
        <w:tc>
          <w:tcPr>
            <w:tcW w:w="459" w:type="dxa"/>
            <w:shd w:val="clear" w:color="auto" w:fill="auto"/>
          </w:tcPr>
          <w:p w14:paraId="37AF43D5" w14:textId="77777777" w:rsidR="002221BB" w:rsidRDefault="002221BB" w:rsidP="002860BC">
            <w:pPr>
              <w:spacing w:before="40" w:after="120"/>
              <w:ind w:right="113"/>
              <w:rPr>
                <w:sz w:val="18"/>
                <w:szCs w:val="18"/>
              </w:rPr>
            </w:pPr>
            <w:r>
              <w:rPr>
                <w:sz w:val="18"/>
                <w:szCs w:val="18"/>
              </w:rPr>
              <w:t>7</w:t>
            </w:r>
          </w:p>
        </w:tc>
        <w:tc>
          <w:tcPr>
            <w:tcW w:w="2131" w:type="dxa"/>
            <w:shd w:val="clear" w:color="auto" w:fill="auto"/>
          </w:tcPr>
          <w:p w14:paraId="59CA1639" w14:textId="77777777" w:rsidR="002221BB" w:rsidRDefault="002221BB" w:rsidP="002860BC">
            <w:pPr>
              <w:spacing w:before="40" w:after="120"/>
              <w:ind w:right="113"/>
              <w:rPr>
                <w:sz w:val="18"/>
                <w:szCs w:val="18"/>
                <w:u w:val="single"/>
              </w:rPr>
            </w:pPr>
            <w:r>
              <w:rPr>
                <w:sz w:val="18"/>
                <w:szCs w:val="18"/>
                <w:u w:val="single"/>
              </w:rPr>
              <w:t>Chemically unstable gases</w:t>
            </w:r>
          </w:p>
        </w:tc>
        <w:tc>
          <w:tcPr>
            <w:tcW w:w="4975" w:type="dxa"/>
            <w:shd w:val="clear" w:color="auto" w:fill="auto"/>
          </w:tcPr>
          <w:p w14:paraId="38C36C5D" w14:textId="77777777" w:rsidR="002221BB" w:rsidRDefault="002221BB" w:rsidP="002860BC">
            <w:pPr>
              <w:spacing w:before="40" w:after="120"/>
              <w:ind w:right="113"/>
              <w:rPr>
                <w:sz w:val="18"/>
                <w:szCs w:val="18"/>
              </w:rPr>
            </w:pPr>
            <w:r>
              <w:rPr>
                <w:sz w:val="18"/>
                <w:szCs w:val="18"/>
              </w:rPr>
              <w:t>There are inconsistencies with the presentation of hazard categories chemically unstable gases.</w:t>
            </w:r>
          </w:p>
        </w:tc>
        <w:tc>
          <w:tcPr>
            <w:tcW w:w="4639" w:type="dxa"/>
            <w:shd w:val="clear" w:color="auto" w:fill="auto"/>
          </w:tcPr>
          <w:p w14:paraId="3C20F597" w14:textId="77777777" w:rsidR="002221BB" w:rsidRDefault="002221BB" w:rsidP="002860BC">
            <w:pPr>
              <w:pStyle w:val="Bullet1G"/>
              <w:tabs>
                <w:tab w:val="clear" w:pos="1701"/>
              </w:tabs>
              <w:ind w:left="190" w:right="111" w:hanging="141"/>
              <w:rPr>
                <w:sz w:val="18"/>
                <w:szCs w:val="18"/>
              </w:rPr>
            </w:pPr>
            <w:r>
              <w:rPr>
                <w:sz w:val="18"/>
                <w:szCs w:val="18"/>
              </w:rPr>
              <w:t>Review the presentation of hazard categories for chemically unstable gases.</w:t>
            </w:r>
          </w:p>
        </w:tc>
      </w:tr>
      <w:tr w:rsidR="002221BB" w:rsidRPr="002E00EE" w14:paraId="6865F3D1" w14:textId="77777777" w:rsidTr="002860BC">
        <w:tc>
          <w:tcPr>
            <w:tcW w:w="459" w:type="dxa"/>
            <w:shd w:val="clear" w:color="auto" w:fill="auto"/>
          </w:tcPr>
          <w:p w14:paraId="106C92E6" w14:textId="77777777" w:rsidR="002221BB" w:rsidRDefault="002221BB" w:rsidP="002860BC">
            <w:pPr>
              <w:spacing w:before="40" w:after="120"/>
              <w:ind w:right="113"/>
              <w:rPr>
                <w:sz w:val="18"/>
                <w:szCs w:val="18"/>
              </w:rPr>
            </w:pPr>
          </w:p>
        </w:tc>
        <w:tc>
          <w:tcPr>
            <w:tcW w:w="2131" w:type="dxa"/>
            <w:shd w:val="clear" w:color="auto" w:fill="auto"/>
          </w:tcPr>
          <w:p w14:paraId="304C4C56" w14:textId="77777777" w:rsidR="002221BB" w:rsidRDefault="002221BB" w:rsidP="002860BC">
            <w:pPr>
              <w:spacing w:before="40" w:after="120"/>
              <w:ind w:right="113"/>
              <w:rPr>
                <w:sz w:val="18"/>
                <w:szCs w:val="18"/>
                <w:u w:val="single"/>
              </w:rPr>
            </w:pPr>
          </w:p>
        </w:tc>
        <w:tc>
          <w:tcPr>
            <w:tcW w:w="4975" w:type="dxa"/>
            <w:shd w:val="clear" w:color="auto" w:fill="auto"/>
          </w:tcPr>
          <w:p w14:paraId="7A193D5B" w14:textId="77777777" w:rsidR="002221BB" w:rsidRDefault="002221BB" w:rsidP="002860BC">
            <w:pPr>
              <w:spacing w:before="40" w:after="120"/>
              <w:ind w:right="113"/>
              <w:rPr>
                <w:sz w:val="18"/>
                <w:szCs w:val="18"/>
              </w:rPr>
            </w:pPr>
          </w:p>
        </w:tc>
        <w:tc>
          <w:tcPr>
            <w:tcW w:w="4639" w:type="dxa"/>
            <w:shd w:val="clear" w:color="auto" w:fill="auto"/>
          </w:tcPr>
          <w:p w14:paraId="3553BC27" w14:textId="77777777" w:rsidR="002221BB" w:rsidRDefault="002221BB" w:rsidP="002860BC">
            <w:pPr>
              <w:pStyle w:val="Bullet1G"/>
              <w:numPr>
                <w:ilvl w:val="0"/>
                <w:numId w:val="0"/>
              </w:numPr>
              <w:ind w:left="190" w:right="111"/>
              <w:rPr>
                <w:sz w:val="18"/>
                <w:szCs w:val="18"/>
              </w:rPr>
            </w:pPr>
          </w:p>
        </w:tc>
      </w:tr>
    </w:tbl>
    <w:p w14:paraId="20F7F8A4" w14:textId="1B5A0995" w:rsidR="002221BB" w:rsidRPr="002221BB" w:rsidRDefault="002221BB" w:rsidP="002221BB">
      <w:pPr>
        <w:spacing w:before="240"/>
        <w:ind w:left="1134" w:right="1134"/>
        <w:jc w:val="center"/>
        <w:rPr>
          <w:u w:val="single"/>
          <w:lang w:val="x-none"/>
        </w:rPr>
      </w:pPr>
      <w:r>
        <w:rPr>
          <w:u w:val="single"/>
          <w:lang w:val="x-none"/>
        </w:rPr>
        <w:tab/>
      </w:r>
      <w:r>
        <w:rPr>
          <w:u w:val="single"/>
          <w:lang w:val="x-none"/>
        </w:rPr>
        <w:tab/>
      </w:r>
      <w:r>
        <w:rPr>
          <w:u w:val="single"/>
          <w:lang w:val="x-none"/>
        </w:rPr>
        <w:tab/>
      </w:r>
    </w:p>
    <w:p w14:paraId="00996379" w14:textId="1789C71E" w:rsidR="002221BB" w:rsidRDefault="002221BB" w:rsidP="002221BB">
      <w:pPr>
        <w:rPr>
          <w:lang w:val="x-none"/>
        </w:rPr>
      </w:pPr>
    </w:p>
    <w:p w14:paraId="1BA8792F" w14:textId="77777777" w:rsidR="002221BB" w:rsidRPr="002221BB" w:rsidRDefault="002221BB" w:rsidP="002221BB">
      <w:pPr>
        <w:rPr>
          <w:lang w:val="x-none"/>
        </w:rPr>
      </w:pPr>
    </w:p>
    <w:sectPr w:rsidR="002221BB" w:rsidRPr="002221BB" w:rsidSect="002221B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57AF" w14:textId="77777777" w:rsidR="00E05F2D" w:rsidRDefault="00E05F2D"/>
  </w:endnote>
  <w:endnote w:type="continuationSeparator" w:id="0">
    <w:p w14:paraId="5E3936CC" w14:textId="77777777" w:rsidR="00E05F2D" w:rsidRDefault="00E05F2D"/>
  </w:endnote>
  <w:endnote w:type="continuationNotice" w:id="1">
    <w:p w14:paraId="6DEA5DB7" w14:textId="77777777" w:rsidR="00E05F2D" w:rsidRDefault="00E05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0103" w14:textId="3B833E0A" w:rsidR="00E05F2D" w:rsidRPr="00F257D1" w:rsidRDefault="00E05F2D" w:rsidP="00F257D1">
    <w:pPr>
      <w:pStyle w:val="Footer"/>
      <w:jc w:val="right"/>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Pr>
        <w:rStyle w:val="PageNumber"/>
        <w:noProof/>
        <w:sz w:val="20"/>
        <w:szCs w:val="22"/>
      </w:rPr>
      <w:t>8</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9FC8" w14:textId="6E9F962F" w:rsidR="00E05F2D" w:rsidRPr="000216CC" w:rsidRDefault="00E05F2D"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7</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C407" w14:textId="77777777" w:rsidR="002221BB" w:rsidRDefault="002221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1848" w14:textId="51E2F08C" w:rsidR="002221BB" w:rsidRPr="002221BB" w:rsidRDefault="002221BB" w:rsidP="002221BB">
    <w:pPr>
      <w:pStyle w:val="Footer"/>
      <w:rPr>
        <w:rStyle w:val="PageNumber"/>
        <w:b w:val="0"/>
        <w:sz w:val="16"/>
      </w:rPr>
    </w:pPr>
    <w:r>
      <w:rPr>
        <w:noProof/>
      </w:rPr>
      <mc:AlternateContent>
        <mc:Choice Requires="wps">
          <w:drawing>
            <wp:anchor distT="0" distB="0" distL="114300" distR="114300" simplePos="0" relativeHeight="251660288" behindDoc="0" locked="0" layoutInCell="1" allowOverlap="1" wp14:anchorId="0A32FBDC" wp14:editId="32C0E0E2">
              <wp:simplePos x="0" y="0"/>
              <wp:positionH relativeFrom="margin">
                <wp:posOffset>-431800</wp:posOffset>
              </wp:positionH>
              <wp:positionV relativeFrom="margin">
                <wp:posOffset>0</wp:posOffset>
              </wp:positionV>
              <wp:extent cx="222885" cy="612013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59D91829" w14:textId="77777777" w:rsidR="002221BB" w:rsidRPr="00F257D1" w:rsidRDefault="002221BB" w:rsidP="002221BB">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Pr>
                              <w:rStyle w:val="PageNumber"/>
                              <w:noProof/>
                              <w:sz w:val="20"/>
                              <w:szCs w:val="22"/>
                            </w:rPr>
                            <w:t>2</w:t>
                          </w:r>
                          <w:r w:rsidRPr="0059131E">
                            <w:rPr>
                              <w:rStyle w:val="PageNumber"/>
                              <w:noProof/>
                              <w:sz w:val="20"/>
                              <w:szCs w:val="22"/>
                            </w:rPr>
                            <w:fldChar w:fldCharType="end"/>
                          </w:r>
                        </w:p>
                        <w:p w14:paraId="2334332C" w14:textId="77777777" w:rsidR="002221BB" w:rsidRDefault="002221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32FBDC" id="_x0000_t202" coordsize="21600,21600" o:spt="202" path="m,l,21600r21600,l21600,xe">
              <v:stroke joinstyle="miter"/>
              <v:path gradientshapeok="t" o:connecttype="rect"/>
            </v:shapetype>
            <v:shape id="_x0000_s1029"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" fillcolor="white [3212]" stroked="f">
              <v:stroke joinstyle="round"/>
              <v:textbox style="layout-flow:vertical" inset="0,0,0,0">
                <w:txbxContent>
                  <w:p w14:paraId="59D91829" w14:textId="77777777" w:rsidR="002221BB" w:rsidRPr="00F257D1" w:rsidRDefault="002221BB" w:rsidP="002221BB">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Pr>
                        <w:rStyle w:val="PageNumber"/>
                        <w:noProof/>
                        <w:sz w:val="20"/>
                        <w:szCs w:val="22"/>
                      </w:rPr>
                      <w:t>2</w:t>
                    </w:r>
                    <w:r w:rsidRPr="0059131E">
                      <w:rPr>
                        <w:rStyle w:val="PageNumber"/>
                        <w:noProof/>
                        <w:sz w:val="20"/>
                        <w:szCs w:val="22"/>
                      </w:rPr>
                      <w:fldChar w:fldCharType="end"/>
                    </w:r>
                  </w:p>
                  <w:p w14:paraId="2334332C" w14:textId="77777777" w:rsidR="002221BB" w:rsidRDefault="002221B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8DCF" w14:textId="278E12B8" w:rsidR="002221BB" w:rsidRPr="000216CC" w:rsidRDefault="002221BB" w:rsidP="000216CC">
    <w:pPr>
      <w:pStyle w:val="Footer"/>
      <w:tabs>
        <w:tab w:val="right" w:pos="9638"/>
      </w:tabs>
      <w:rPr>
        <w:b/>
        <w:sz w:val="18"/>
      </w:rPr>
    </w:pPr>
    <w:r>
      <w:rPr>
        <w:noProof/>
      </w:rPr>
      <mc:AlternateContent>
        <mc:Choice Requires="wps">
          <w:drawing>
            <wp:anchor distT="45720" distB="45720" distL="114300" distR="114300" simplePos="0" relativeHeight="251666432" behindDoc="0" locked="0" layoutInCell="1" allowOverlap="1" wp14:anchorId="5ADD84D4" wp14:editId="1B34B72A">
              <wp:simplePos x="0" y="0"/>
              <wp:positionH relativeFrom="column">
                <wp:posOffset>-589280</wp:posOffset>
              </wp:positionH>
              <wp:positionV relativeFrom="paragraph">
                <wp:posOffset>-960755</wp:posOffset>
              </wp:positionV>
              <wp:extent cx="356870" cy="247650"/>
              <wp:effectExtent l="0" t="0" r="241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47650"/>
                      </a:xfrm>
                      <a:prstGeom prst="rect">
                        <a:avLst/>
                      </a:prstGeom>
                      <a:solidFill>
                        <a:srgbClr val="FFFFFF"/>
                      </a:solidFill>
                      <a:ln w="9525">
                        <a:solidFill>
                          <a:schemeClr val="bg1"/>
                        </a:solidFill>
                        <a:miter lim="800000"/>
                        <a:headEnd/>
                        <a:tailEnd/>
                      </a:ln>
                    </wps:spPr>
                    <wps:txbx>
                      <w:txbxContent>
                        <w:p w14:paraId="667EC6AD" w14:textId="051A366C" w:rsidR="002221BB" w:rsidRDefault="002221BB">
                          <w:r>
                            <w:t>3</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D84D4" id="_x0000_t202" coordsize="21600,21600" o:spt="202" path="m,l,21600r21600,l21600,xe">
              <v:stroke joinstyle="miter"/>
              <v:path gradientshapeok="t" o:connecttype="rect"/>
            </v:shapetype>
            <v:shape id="_x0000_s1030" type="#_x0000_t202" style="position:absolute;margin-left:-46.4pt;margin-top:-75.65pt;width:28.1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" strokecolor="white [3212]">
              <v:textbox style="layout-flow:vertical-ideographic">
                <w:txbxContent>
                  <w:p w14:paraId="667EC6AD" w14:textId="051A366C" w:rsidR="002221BB" w:rsidRDefault="002221BB">
                    <w:bookmarkStart w:id="1" w:name="_GoBack"/>
                    <w:r>
                      <w:t>3</w:t>
                    </w:r>
                    <w:bookmarkEnd w:id="1"/>
                  </w:p>
                </w:txbxContent>
              </v:textbox>
              <w10:wrap type="squar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F29EE" w14:textId="77777777" w:rsidR="00E05F2D" w:rsidRPr="000B175B" w:rsidRDefault="00E05F2D" w:rsidP="000B175B">
      <w:pPr>
        <w:tabs>
          <w:tab w:val="right" w:pos="2155"/>
        </w:tabs>
        <w:spacing w:after="80"/>
        <w:ind w:left="680"/>
        <w:rPr>
          <w:u w:val="single"/>
        </w:rPr>
      </w:pPr>
      <w:r>
        <w:rPr>
          <w:u w:val="single"/>
        </w:rPr>
        <w:tab/>
      </w:r>
    </w:p>
  </w:footnote>
  <w:footnote w:type="continuationSeparator" w:id="0">
    <w:p w14:paraId="2FC96ADD" w14:textId="77777777" w:rsidR="00E05F2D" w:rsidRPr="00FC68B7" w:rsidRDefault="00E05F2D" w:rsidP="00FC68B7">
      <w:pPr>
        <w:tabs>
          <w:tab w:val="left" w:pos="2155"/>
        </w:tabs>
        <w:spacing w:after="80"/>
        <w:ind w:left="680"/>
        <w:rPr>
          <w:u w:val="single"/>
        </w:rPr>
      </w:pPr>
      <w:r>
        <w:rPr>
          <w:u w:val="single"/>
        </w:rPr>
        <w:tab/>
      </w:r>
    </w:p>
  </w:footnote>
  <w:footnote w:type="continuationNotice" w:id="1">
    <w:p w14:paraId="18F5B217" w14:textId="77777777" w:rsidR="00E05F2D" w:rsidRDefault="00E05F2D"/>
  </w:footnote>
  <w:footnote w:id="2">
    <w:p w14:paraId="1EB280A3" w14:textId="77777777" w:rsidR="002221BB" w:rsidRDefault="002221BB" w:rsidP="002221BB">
      <w:pPr>
        <w:pStyle w:val="FootnoteText"/>
        <w:ind w:firstLine="0"/>
      </w:pPr>
      <w:r>
        <w:rPr>
          <w:rStyle w:val="FootnoteReference"/>
        </w:rPr>
        <w:footnoteRef/>
      </w:r>
      <w:r>
        <w:t xml:space="preserve"> </w:t>
      </w:r>
      <w:r w:rsidRPr="00327615">
        <w:t>ST/SG/AC.10/C.4/2018/</w:t>
      </w:r>
      <w:r>
        <w:t>5 and ST/SG/AC.10/C.4</w:t>
      </w:r>
      <w:r w:rsidRPr="00327615">
        <w:t>/</w:t>
      </w:r>
      <w:r>
        <w:t>70</w:t>
      </w:r>
    </w:p>
  </w:footnote>
  <w:footnote w:id="3">
    <w:p w14:paraId="40FDA4E3" w14:textId="77777777" w:rsidR="002221BB" w:rsidRDefault="002221BB" w:rsidP="002221BB">
      <w:pPr>
        <w:pStyle w:val="FootnoteText"/>
        <w:tabs>
          <w:tab w:val="clear" w:pos="1021"/>
        </w:tabs>
        <w:ind w:firstLine="0"/>
      </w:pPr>
      <w:r>
        <w:rPr>
          <w:rStyle w:val="FootnoteReference"/>
        </w:rPr>
        <w:footnoteRef/>
      </w:r>
      <w:r>
        <w:t xml:space="preserve"> </w:t>
      </w:r>
      <w:r w:rsidRPr="00327615">
        <w:t>ST/SG/AC.10/C.4/2018/</w:t>
      </w:r>
      <w:r>
        <w:t>6 (as amended by informal document INF.31, 35</w:t>
      </w:r>
      <w:r w:rsidRPr="0061647B">
        <w:rPr>
          <w:vertAlign w:val="superscript"/>
        </w:rPr>
        <w:t>th</w:t>
      </w:r>
      <w:r>
        <w:t xml:space="preserve"> session) and ST/SG/AC.10/C.4</w:t>
      </w:r>
      <w:r w:rsidRPr="00327615">
        <w:t>/</w:t>
      </w:r>
      <w:r>
        <w:t>70</w:t>
      </w:r>
    </w:p>
  </w:footnote>
  <w:footnote w:id="4">
    <w:p w14:paraId="5DAB70BB" w14:textId="77777777" w:rsidR="002221BB" w:rsidRDefault="002221BB" w:rsidP="002221BB">
      <w:pPr>
        <w:pStyle w:val="FootnoteText"/>
        <w:ind w:firstLine="0"/>
      </w:pPr>
      <w:r>
        <w:rPr>
          <w:rStyle w:val="FootnoteReference"/>
        </w:rPr>
        <w:footnoteRef/>
      </w:r>
      <w:r>
        <w:t xml:space="preserve"> Informal document INF.11 (34</w:t>
      </w:r>
      <w:r w:rsidRPr="0061647B">
        <w:rPr>
          <w:vertAlign w:val="superscript"/>
        </w:rPr>
        <w:t>th</w:t>
      </w:r>
      <w:r>
        <w:t xml:space="preserve"> session) and ST/SG/AC.10/C.4</w:t>
      </w:r>
      <w:r w:rsidRPr="00327615">
        <w:t>/</w:t>
      </w:r>
      <w:r>
        <w:t>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2A21" w14:textId="58A395ED" w:rsidR="00E05F2D" w:rsidRPr="00B5392B" w:rsidRDefault="00E05F2D">
    <w:pPr>
      <w:pStyle w:val="Header"/>
      <w:rPr>
        <w:lang w:val="nl-NL"/>
      </w:rPr>
    </w:pPr>
    <w:r w:rsidRPr="00460B22">
      <w:rPr>
        <w:lang w:val="nl-NL"/>
      </w:rPr>
      <w:t>UN/SCETDG/53/INF.</w:t>
    </w:r>
    <w:r>
      <w:rPr>
        <w:lang w:val="nl-NL"/>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D8AB" w14:textId="0AEEFA07" w:rsidR="00E05F2D" w:rsidRPr="000216CC" w:rsidRDefault="002221BB" w:rsidP="000216CC">
    <w:pPr>
      <w:pStyle w:val="Header"/>
      <w:jc w:val="right"/>
    </w:pPr>
    <w:r>
      <w:rPr>
        <w:noProof/>
      </w:rPr>
      <mc:AlternateContent>
        <mc:Choice Requires="wps">
          <w:drawing>
            <wp:anchor distT="45720" distB="45720" distL="114300" distR="114300" simplePos="0" relativeHeight="251662336" behindDoc="0" locked="0" layoutInCell="1" allowOverlap="1" wp14:anchorId="0CFA8489" wp14:editId="25BEBBA3">
              <wp:simplePos x="0" y="0"/>
              <wp:positionH relativeFrom="column">
                <wp:posOffset>8486775</wp:posOffset>
              </wp:positionH>
              <wp:positionV relativeFrom="paragraph">
                <wp:posOffset>640080</wp:posOffset>
              </wp:positionV>
              <wp:extent cx="2360930" cy="1404620"/>
              <wp:effectExtent l="0" t="0" r="1778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43FCE6A" w14:textId="15BE3B7C" w:rsidR="002221BB" w:rsidRDefault="002221BB" w:rsidP="002221BB">
                          <w:pPr>
                            <w:pBdr>
                              <w:bottom w:val="single" w:sz="4" w:space="1" w:color="auto"/>
                            </w:pBdr>
                          </w:pPr>
                          <w:r>
                            <w:t>UN/SCEGHS/36/INF.25</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FA8489" id="_x0000_t202" coordsize="21600,21600" o:spt="202" path="m,l,21600r21600,l21600,xe">
              <v:stroke joinstyle="miter"/>
              <v:path gradientshapeok="t" o:connecttype="rect"/>
            </v:shapetype>
            <v:shape id="Text Box 2" o:spid="_x0000_s1026" type="#_x0000_t202" style="position:absolute;left:0;text-align:left;margin-left:668.25pt;margin-top:50.4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" strokecolor="white [3212]">
              <v:textbox style="layout-flow:vertical-ideographic;mso-fit-shape-to-text:t">
                <w:txbxContent>
                  <w:p w14:paraId="343FCE6A" w14:textId="15BE3B7C" w:rsidR="002221BB" w:rsidRDefault="002221BB" w:rsidP="002221BB">
                    <w:pPr>
                      <w:pBdr>
                        <w:bottom w:val="single" w:sz="4" w:space="1" w:color="auto"/>
                      </w:pBdr>
                    </w:pPr>
                    <w:r>
                      <w:t>UN/SCEGHS/36/INF.25</w:t>
                    </w:r>
                  </w:p>
                </w:txbxContent>
              </v:textbox>
              <w10:wrap type="square"/>
            </v:shape>
          </w:pict>
        </mc:Fallback>
      </mc:AlternateContent>
    </w:r>
    <w:r w:rsidR="00E05F2D" w:rsidRPr="0059131E">
      <w:t>UN/SCETDG/53/INF.</w:t>
    </w:r>
    <w:r w:rsidR="00E05F2D">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DC62" w14:textId="1FCFE443" w:rsidR="00E05F2D" w:rsidRDefault="00E05F2D" w:rsidP="00532F7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1D98" w14:textId="34DF689A" w:rsidR="002221BB" w:rsidRPr="002221BB" w:rsidRDefault="002221BB" w:rsidP="002221BB">
    <w:r>
      <w:rPr>
        <w:noProof/>
      </w:rPr>
      <mc:AlternateContent>
        <mc:Choice Requires="wps">
          <w:drawing>
            <wp:anchor distT="0" distB="0" distL="114300" distR="114300" simplePos="0" relativeHeight="251659264" behindDoc="0" locked="0" layoutInCell="1" allowOverlap="1" wp14:anchorId="79BCB688" wp14:editId="45F65530">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349CA9D0" w14:textId="5A6DEB5F" w:rsidR="002221BB" w:rsidRPr="00B5392B" w:rsidRDefault="002221BB" w:rsidP="002221BB">
                          <w:pPr>
                            <w:pStyle w:val="Header"/>
                            <w:rPr>
                              <w:lang w:val="nl-NL"/>
                            </w:rPr>
                          </w:pPr>
                          <w:r>
                            <w:rPr>
                              <w:lang w:val="nl-NL"/>
                            </w:rPr>
                            <w:t>UN/SCETDG/54</w:t>
                          </w:r>
                          <w:r w:rsidRPr="00460B22">
                            <w:rPr>
                              <w:lang w:val="nl-NL"/>
                            </w:rPr>
                            <w:t>/INF.</w:t>
                          </w:r>
                          <w:r>
                            <w:rPr>
                              <w:lang w:val="nl-NL"/>
                            </w:rPr>
                            <w:t>30</w:t>
                          </w:r>
                        </w:p>
                        <w:p w14:paraId="2871007D" w14:textId="77777777" w:rsidR="002221BB" w:rsidRDefault="002221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BCB688" id="_x0000_t202" coordsize="21600,21600" o:spt="202" path="m,l,21600r21600,l21600,xe">
              <v:stroke joinstyle="miter"/>
              <v:path gradientshapeok="t" o:connecttype="rect"/>
            </v:shapetype>
            <v:shape id="Text Box 1" o:spid="_x0000_s1027"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" fillcolor="white [3212]" stroked="f">
              <v:stroke joinstyle="round"/>
              <v:textbox style="layout-flow:vertical" inset="0,0,0,0">
                <w:txbxContent>
                  <w:p w14:paraId="349CA9D0" w14:textId="5A6DEB5F" w:rsidR="002221BB" w:rsidRPr="00B5392B" w:rsidRDefault="002221BB" w:rsidP="002221BB">
                    <w:pPr>
                      <w:pStyle w:val="Header"/>
                      <w:rPr>
                        <w:lang w:val="nl-NL"/>
                      </w:rPr>
                    </w:pPr>
                    <w:r>
                      <w:rPr>
                        <w:lang w:val="nl-NL"/>
                      </w:rPr>
                      <w:t>UN/SCETDG/54</w:t>
                    </w:r>
                    <w:r w:rsidRPr="00460B22">
                      <w:rPr>
                        <w:lang w:val="nl-NL"/>
                      </w:rPr>
                      <w:t>/INF.</w:t>
                    </w:r>
                    <w:r>
                      <w:rPr>
                        <w:lang w:val="nl-NL"/>
                      </w:rPr>
                      <w:t>30</w:t>
                    </w:r>
                  </w:p>
                  <w:p w14:paraId="2871007D" w14:textId="77777777" w:rsidR="002221BB" w:rsidRDefault="002221B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F212" w14:textId="2810CCD0" w:rsidR="002221BB" w:rsidRPr="000216CC" w:rsidRDefault="002221BB" w:rsidP="002221BB">
    <w:pPr>
      <w:pStyle w:val="Header"/>
      <w:pBdr>
        <w:bottom w:val="none" w:sz="0" w:space="0" w:color="auto"/>
      </w:pBdr>
      <w:jc w:val="right"/>
    </w:pPr>
    <w:r>
      <w:rPr>
        <w:noProof/>
      </w:rPr>
      <mc:AlternateContent>
        <mc:Choice Requires="wps">
          <w:drawing>
            <wp:anchor distT="45720" distB="45720" distL="114300" distR="114300" simplePos="0" relativeHeight="251664384" behindDoc="0" locked="0" layoutInCell="1" allowOverlap="1" wp14:anchorId="57C363F2" wp14:editId="4F6F1D0A">
              <wp:simplePos x="0" y="0"/>
              <wp:positionH relativeFrom="column">
                <wp:posOffset>8484870</wp:posOffset>
              </wp:positionH>
              <wp:positionV relativeFrom="paragraph">
                <wp:posOffset>376555</wp:posOffset>
              </wp:positionV>
              <wp:extent cx="2360930" cy="5905500"/>
              <wp:effectExtent l="0" t="0" r="1778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05500"/>
                      </a:xfrm>
                      <a:prstGeom prst="rect">
                        <a:avLst/>
                      </a:prstGeom>
                      <a:solidFill>
                        <a:srgbClr val="FFFFFF"/>
                      </a:solidFill>
                      <a:ln w="9525">
                        <a:solidFill>
                          <a:schemeClr val="bg1"/>
                        </a:solidFill>
                        <a:miter lim="800000"/>
                        <a:headEnd/>
                        <a:tailEnd/>
                      </a:ln>
                    </wps:spPr>
                    <wps:txbx>
                      <w:txbxContent>
                        <w:p w14:paraId="27A6A39B" w14:textId="77777777" w:rsidR="002221BB" w:rsidRPr="002221BB" w:rsidRDefault="002221BB" w:rsidP="002221BB">
                          <w:pPr>
                            <w:pBdr>
                              <w:bottom w:val="single" w:sz="4" w:space="1" w:color="auto"/>
                            </w:pBdr>
                            <w:jc w:val="right"/>
                            <w:rPr>
                              <w:b/>
                              <w:bCs/>
                            </w:rPr>
                          </w:pPr>
                          <w:r w:rsidRPr="002221BB">
                            <w:rPr>
                              <w:b/>
                              <w:bCs/>
                            </w:rPr>
                            <w:t>UN/SCEGHS/36/INF.25</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57C363F2" id="_x0000_t202" coordsize="21600,21600" o:spt="202" path="m,l,21600r21600,l21600,xe">
              <v:stroke joinstyle="miter"/>
              <v:path gradientshapeok="t" o:connecttype="rect"/>
            </v:shapetype>
            <v:shape id="_x0000_s1028" type="#_x0000_t202" style="position:absolute;left:0;text-align:left;margin-left:668.1pt;margin-top:29.65pt;width:185.9pt;height:46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" strokecolor="white [3212]">
              <v:textbox style="layout-flow:vertical-ideographic;mso-fit-shape-to-text:t">
                <w:txbxContent>
                  <w:p w14:paraId="27A6A39B" w14:textId="77777777" w:rsidR="002221BB" w:rsidRPr="002221BB" w:rsidRDefault="002221BB" w:rsidP="002221BB">
                    <w:pPr>
                      <w:pBdr>
                        <w:bottom w:val="single" w:sz="4" w:space="1" w:color="auto"/>
                      </w:pBdr>
                      <w:jc w:val="right"/>
                      <w:rPr>
                        <w:b/>
                        <w:bCs/>
                      </w:rPr>
                    </w:pPr>
                    <w:r w:rsidRPr="002221BB">
                      <w:rPr>
                        <w:b/>
                        <w:bCs/>
                      </w:rPr>
                      <w:t>UN/SCEGHS/36/INF.25</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E897" w14:textId="77777777" w:rsidR="002221BB" w:rsidRDefault="002221BB" w:rsidP="00532F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535AAE"/>
    <w:multiLevelType w:val="hybridMultilevel"/>
    <w:tmpl w:val="F614FD44"/>
    <w:lvl w:ilvl="0" w:tplc="19B803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7C76AE4"/>
    <w:multiLevelType w:val="hybridMultilevel"/>
    <w:tmpl w:val="80C6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82740"/>
    <w:multiLevelType w:val="hybridMultilevel"/>
    <w:tmpl w:val="547EDA46"/>
    <w:lvl w:ilvl="0" w:tplc="66F2DB8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4344B"/>
    <w:multiLevelType w:val="hybridMultilevel"/>
    <w:tmpl w:val="B6E6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0"/>
  </w:num>
  <w:num w:numId="14">
    <w:abstractNumId w:val="16"/>
  </w:num>
  <w:num w:numId="15">
    <w:abstractNumId w:val="18"/>
  </w:num>
  <w:num w:numId="16">
    <w:abstractNumId w:val="14"/>
  </w:num>
  <w:num w:numId="17">
    <w:abstractNumId w:val="11"/>
  </w:num>
  <w:num w:numId="18">
    <w:abstractNumId w:val="13"/>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FAE"/>
    <w:rsid w:val="000133C5"/>
    <w:rsid w:val="00017D24"/>
    <w:rsid w:val="000216CC"/>
    <w:rsid w:val="0003061F"/>
    <w:rsid w:val="0003375D"/>
    <w:rsid w:val="00043180"/>
    <w:rsid w:val="000504CE"/>
    <w:rsid w:val="00050922"/>
    <w:rsid w:val="00050F6B"/>
    <w:rsid w:val="00053492"/>
    <w:rsid w:val="0005710C"/>
    <w:rsid w:val="00064402"/>
    <w:rsid w:val="00067E6D"/>
    <w:rsid w:val="00070BF1"/>
    <w:rsid w:val="00072C8C"/>
    <w:rsid w:val="00073129"/>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16E7"/>
    <w:rsid w:val="0010461A"/>
    <w:rsid w:val="00115303"/>
    <w:rsid w:val="00117787"/>
    <w:rsid w:val="00117D0D"/>
    <w:rsid w:val="00121EB7"/>
    <w:rsid w:val="00131B10"/>
    <w:rsid w:val="00131D42"/>
    <w:rsid w:val="00133C50"/>
    <w:rsid w:val="001406F4"/>
    <w:rsid w:val="00140F48"/>
    <w:rsid w:val="001633FB"/>
    <w:rsid w:val="00163A1B"/>
    <w:rsid w:val="00165735"/>
    <w:rsid w:val="00167786"/>
    <w:rsid w:val="00181019"/>
    <w:rsid w:val="0018168F"/>
    <w:rsid w:val="001835BF"/>
    <w:rsid w:val="00184B86"/>
    <w:rsid w:val="001944F1"/>
    <w:rsid w:val="001A02A4"/>
    <w:rsid w:val="001B35EE"/>
    <w:rsid w:val="001B4B04"/>
    <w:rsid w:val="001B6B72"/>
    <w:rsid w:val="001C429D"/>
    <w:rsid w:val="001C6663"/>
    <w:rsid w:val="001C7895"/>
    <w:rsid w:val="001D26DF"/>
    <w:rsid w:val="001D2FDC"/>
    <w:rsid w:val="001D3123"/>
    <w:rsid w:val="001D3A88"/>
    <w:rsid w:val="001D49F7"/>
    <w:rsid w:val="001D4B2D"/>
    <w:rsid w:val="001D4E70"/>
    <w:rsid w:val="001E5053"/>
    <w:rsid w:val="001E797C"/>
    <w:rsid w:val="00211468"/>
    <w:rsid w:val="00211B12"/>
    <w:rsid w:val="00211E0B"/>
    <w:rsid w:val="0021481D"/>
    <w:rsid w:val="00221589"/>
    <w:rsid w:val="00221AC2"/>
    <w:rsid w:val="002221BB"/>
    <w:rsid w:val="00224CD9"/>
    <w:rsid w:val="002309A7"/>
    <w:rsid w:val="00235381"/>
    <w:rsid w:val="00237785"/>
    <w:rsid w:val="00241178"/>
    <w:rsid w:val="00241466"/>
    <w:rsid w:val="002440E7"/>
    <w:rsid w:val="00247570"/>
    <w:rsid w:val="00257C1E"/>
    <w:rsid w:val="00261938"/>
    <w:rsid w:val="00261B71"/>
    <w:rsid w:val="002621F5"/>
    <w:rsid w:val="002708B5"/>
    <w:rsid w:val="002725CA"/>
    <w:rsid w:val="00273A92"/>
    <w:rsid w:val="00277896"/>
    <w:rsid w:val="00280EB7"/>
    <w:rsid w:val="00282C36"/>
    <w:rsid w:val="00294934"/>
    <w:rsid w:val="00295C28"/>
    <w:rsid w:val="002976CF"/>
    <w:rsid w:val="002A0BD2"/>
    <w:rsid w:val="002A5B17"/>
    <w:rsid w:val="002B067A"/>
    <w:rsid w:val="002B1069"/>
    <w:rsid w:val="002B1514"/>
    <w:rsid w:val="002B1CDA"/>
    <w:rsid w:val="002C7F25"/>
    <w:rsid w:val="002D5A85"/>
    <w:rsid w:val="002D5C7D"/>
    <w:rsid w:val="002E35BB"/>
    <w:rsid w:val="002F68FD"/>
    <w:rsid w:val="003107FA"/>
    <w:rsid w:val="00313AC2"/>
    <w:rsid w:val="00315D73"/>
    <w:rsid w:val="00316FF9"/>
    <w:rsid w:val="00321716"/>
    <w:rsid w:val="003229D8"/>
    <w:rsid w:val="00327D0A"/>
    <w:rsid w:val="003517C3"/>
    <w:rsid w:val="00355502"/>
    <w:rsid w:val="00356BC7"/>
    <w:rsid w:val="00357A20"/>
    <w:rsid w:val="00357F0E"/>
    <w:rsid w:val="00362531"/>
    <w:rsid w:val="00372F06"/>
    <w:rsid w:val="00391647"/>
    <w:rsid w:val="003916DB"/>
    <w:rsid w:val="0039260F"/>
    <w:rsid w:val="0039277A"/>
    <w:rsid w:val="00396F6A"/>
    <w:rsid w:val="003972E0"/>
    <w:rsid w:val="003A1EC2"/>
    <w:rsid w:val="003A52D7"/>
    <w:rsid w:val="003A5A16"/>
    <w:rsid w:val="003C0657"/>
    <w:rsid w:val="003C18C9"/>
    <w:rsid w:val="003C2CC4"/>
    <w:rsid w:val="003C655D"/>
    <w:rsid w:val="003D4B23"/>
    <w:rsid w:val="003E0FC3"/>
    <w:rsid w:val="003F23A4"/>
    <w:rsid w:val="003F5B52"/>
    <w:rsid w:val="00403EC6"/>
    <w:rsid w:val="00406CD4"/>
    <w:rsid w:val="00430086"/>
    <w:rsid w:val="00430918"/>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825C9"/>
    <w:rsid w:val="0048304D"/>
    <w:rsid w:val="00484A9B"/>
    <w:rsid w:val="00492AF9"/>
    <w:rsid w:val="00494C77"/>
    <w:rsid w:val="00497711"/>
    <w:rsid w:val="004A25C4"/>
    <w:rsid w:val="004B2C9D"/>
    <w:rsid w:val="004B5939"/>
    <w:rsid w:val="004B73D6"/>
    <w:rsid w:val="004C39D0"/>
    <w:rsid w:val="004C4F1A"/>
    <w:rsid w:val="004C6D6D"/>
    <w:rsid w:val="004E0C5D"/>
    <w:rsid w:val="004F4240"/>
    <w:rsid w:val="004F77CD"/>
    <w:rsid w:val="00507CF1"/>
    <w:rsid w:val="00522177"/>
    <w:rsid w:val="00527910"/>
    <w:rsid w:val="00532F73"/>
    <w:rsid w:val="005420F2"/>
    <w:rsid w:val="00542505"/>
    <w:rsid w:val="005475D4"/>
    <w:rsid w:val="00555CDB"/>
    <w:rsid w:val="00561B6D"/>
    <w:rsid w:val="00562D45"/>
    <w:rsid w:val="0056615B"/>
    <w:rsid w:val="00567DFB"/>
    <w:rsid w:val="00571DAA"/>
    <w:rsid w:val="00572210"/>
    <w:rsid w:val="0058129D"/>
    <w:rsid w:val="00590144"/>
    <w:rsid w:val="0059131E"/>
    <w:rsid w:val="0059682C"/>
    <w:rsid w:val="005A64DD"/>
    <w:rsid w:val="005B09F0"/>
    <w:rsid w:val="005B0CED"/>
    <w:rsid w:val="005B3DB3"/>
    <w:rsid w:val="005B528A"/>
    <w:rsid w:val="005C4CB5"/>
    <w:rsid w:val="005D0C6C"/>
    <w:rsid w:val="005D1BB4"/>
    <w:rsid w:val="005E5946"/>
    <w:rsid w:val="005F3A39"/>
    <w:rsid w:val="005F5C2F"/>
    <w:rsid w:val="005F7BB1"/>
    <w:rsid w:val="00602490"/>
    <w:rsid w:val="00603E3C"/>
    <w:rsid w:val="00611FC4"/>
    <w:rsid w:val="00612812"/>
    <w:rsid w:val="006176FB"/>
    <w:rsid w:val="00626B06"/>
    <w:rsid w:val="006279AC"/>
    <w:rsid w:val="0063419C"/>
    <w:rsid w:val="00635381"/>
    <w:rsid w:val="00636986"/>
    <w:rsid w:val="00637542"/>
    <w:rsid w:val="00640B26"/>
    <w:rsid w:val="00641194"/>
    <w:rsid w:val="00645A0B"/>
    <w:rsid w:val="0064618C"/>
    <w:rsid w:val="006500BA"/>
    <w:rsid w:val="006506DB"/>
    <w:rsid w:val="00662121"/>
    <w:rsid w:val="00662E09"/>
    <w:rsid w:val="00670CF0"/>
    <w:rsid w:val="00675F87"/>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27E85"/>
    <w:rsid w:val="00736E6A"/>
    <w:rsid w:val="00741F59"/>
    <w:rsid w:val="0074697D"/>
    <w:rsid w:val="00755EBE"/>
    <w:rsid w:val="00761619"/>
    <w:rsid w:val="0076177C"/>
    <w:rsid w:val="00763C33"/>
    <w:rsid w:val="00764269"/>
    <w:rsid w:val="00766322"/>
    <w:rsid w:val="00770BCD"/>
    <w:rsid w:val="00771904"/>
    <w:rsid w:val="00773353"/>
    <w:rsid w:val="00774129"/>
    <w:rsid w:val="00774E8F"/>
    <w:rsid w:val="00774EAA"/>
    <w:rsid w:val="0078123B"/>
    <w:rsid w:val="00781B57"/>
    <w:rsid w:val="00786434"/>
    <w:rsid w:val="00790791"/>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57789"/>
    <w:rsid w:val="0086107D"/>
    <w:rsid w:val="00864251"/>
    <w:rsid w:val="00871FD5"/>
    <w:rsid w:val="00881213"/>
    <w:rsid w:val="008830CC"/>
    <w:rsid w:val="00894156"/>
    <w:rsid w:val="008979B1"/>
    <w:rsid w:val="008A0B75"/>
    <w:rsid w:val="008A1542"/>
    <w:rsid w:val="008A6B25"/>
    <w:rsid w:val="008A6C4F"/>
    <w:rsid w:val="008A7679"/>
    <w:rsid w:val="008A7AB3"/>
    <w:rsid w:val="008B65FB"/>
    <w:rsid w:val="008C3B3C"/>
    <w:rsid w:val="008C4283"/>
    <w:rsid w:val="008C6671"/>
    <w:rsid w:val="008C74C3"/>
    <w:rsid w:val="008C7BF7"/>
    <w:rsid w:val="008D134F"/>
    <w:rsid w:val="008D3C75"/>
    <w:rsid w:val="008D6942"/>
    <w:rsid w:val="008E0E46"/>
    <w:rsid w:val="008E1DAE"/>
    <w:rsid w:val="008E295A"/>
    <w:rsid w:val="008F2D9A"/>
    <w:rsid w:val="008F44B8"/>
    <w:rsid w:val="008F504A"/>
    <w:rsid w:val="00904EBC"/>
    <w:rsid w:val="00923019"/>
    <w:rsid w:val="00924B63"/>
    <w:rsid w:val="00932E88"/>
    <w:rsid w:val="009363B6"/>
    <w:rsid w:val="00940F46"/>
    <w:rsid w:val="00941ECC"/>
    <w:rsid w:val="00945A5D"/>
    <w:rsid w:val="00946A0D"/>
    <w:rsid w:val="00955109"/>
    <w:rsid w:val="00963B67"/>
    <w:rsid w:val="00963CBA"/>
    <w:rsid w:val="00964682"/>
    <w:rsid w:val="009701ED"/>
    <w:rsid w:val="00984471"/>
    <w:rsid w:val="00985F37"/>
    <w:rsid w:val="009874A5"/>
    <w:rsid w:val="009879EA"/>
    <w:rsid w:val="009908A5"/>
    <w:rsid w:val="0099124E"/>
    <w:rsid w:val="00991261"/>
    <w:rsid w:val="009953D5"/>
    <w:rsid w:val="009A1D29"/>
    <w:rsid w:val="009C6394"/>
    <w:rsid w:val="009D0E2A"/>
    <w:rsid w:val="009D0F0E"/>
    <w:rsid w:val="009D1AAE"/>
    <w:rsid w:val="009D634E"/>
    <w:rsid w:val="009E1560"/>
    <w:rsid w:val="009F0F06"/>
    <w:rsid w:val="009F25EB"/>
    <w:rsid w:val="009F4FC5"/>
    <w:rsid w:val="00A1427D"/>
    <w:rsid w:val="00A235F1"/>
    <w:rsid w:val="00A34B00"/>
    <w:rsid w:val="00A3777A"/>
    <w:rsid w:val="00A50077"/>
    <w:rsid w:val="00A54CA8"/>
    <w:rsid w:val="00A60196"/>
    <w:rsid w:val="00A611EB"/>
    <w:rsid w:val="00A6199C"/>
    <w:rsid w:val="00A622AF"/>
    <w:rsid w:val="00A65F4A"/>
    <w:rsid w:val="00A66636"/>
    <w:rsid w:val="00A72F22"/>
    <w:rsid w:val="00A739E7"/>
    <w:rsid w:val="00A744D7"/>
    <w:rsid w:val="00A748A6"/>
    <w:rsid w:val="00A749BE"/>
    <w:rsid w:val="00A74A46"/>
    <w:rsid w:val="00A75EC9"/>
    <w:rsid w:val="00A810D4"/>
    <w:rsid w:val="00A83451"/>
    <w:rsid w:val="00A83538"/>
    <w:rsid w:val="00A8523D"/>
    <w:rsid w:val="00A879A4"/>
    <w:rsid w:val="00A9532E"/>
    <w:rsid w:val="00AA1D9A"/>
    <w:rsid w:val="00AA32EB"/>
    <w:rsid w:val="00AB382F"/>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04E1"/>
    <w:rsid w:val="00B3317B"/>
    <w:rsid w:val="00B41384"/>
    <w:rsid w:val="00B4398E"/>
    <w:rsid w:val="00B5392B"/>
    <w:rsid w:val="00B71E2B"/>
    <w:rsid w:val="00B73DA8"/>
    <w:rsid w:val="00B74F7C"/>
    <w:rsid w:val="00B75E05"/>
    <w:rsid w:val="00B81E12"/>
    <w:rsid w:val="00B84AAC"/>
    <w:rsid w:val="00B90F54"/>
    <w:rsid w:val="00B91CC3"/>
    <w:rsid w:val="00B92A0C"/>
    <w:rsid w:val="00B93068"/>
    <w:rsid w:val="00BB176D"/>
    <w:rsid w:val="00BB3B28"/>
    <w:rsid w:val="00BB710F"/>
    <w:rsid w:val="00BB7C15"/>
    <w:rsid w:val="00BC74E9"/>
    <w:rsid w:val="00BD2077"/>
    <w:rsid w:val="00BE1FF8"/>
    <w:rsid w:val="00BE50CA"/>
    <w:rsid w:val="00BE618E"/>
    <w:rsid w:val="00C0263F"/>
    <w:rsid w:val="00C03B44"/>
    <w:rsid w:val="00C05987"/>
    <w:rsid w:val="00C10822"/>
    <w:rsid w:val="00C10880"/>
    <w:rsid w:val="00C13A85"/>
    <w:rsid w:val="00C218A4"/>
    <w:rsid w:val="00C31519"/>
    <w:rsid w:val="00C36D37"/>
    <w:rsid w:val="00C463DD"/>
    <w:rsid w:val="00C46D5B"/>
    <w:rsid w:val="00C537D5"/>
    <w:rsid w:val="00C62F76"/>
    <w:rsid w:val="00C660D8"/>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274F"/>
    <w:rsid w:val="00D96248"/>
    <w:rsid w:val="00D96CC5"/>
    <w:rsid w:val="00D978C6"/>
    <w:rsid w:val="00D97B77"/>
    <w:rsid w:val="00DA6620"/>
    <w:rsid w:val="00DA67AD"/>
    <w:rsid w:val="00DD42A0"/>
    <w:rsid w:val="00DD569E"/>
    <w:rsid w:val="00DE236F"/>
    <w:rsid w:val="00DE3ECB"/>
    <w:rsid w:val="00DE4785"/>
    <w:rsid w:val="00DE7267"/>
    <w:rsid w:val="00DF0A4D"/>
    <w:rsid w:val="00DF3039"/>
    <w:rsid w:val="00DF3A04"/>
    <w:rsid w:val="00DF4518"/>
    <w:rsid w:val="00DF69A6"/>
    <w:rsid w:val="00E05F2D"/>
    <w:rsid w:val="00E130AB"/>
    <w:rsid w:val="00E1679E"/>
    <w:rsid w:val="00E239A0"/>
    <w:rsid w:val="00E34E58"/>
    <w:rsid w:val="00E36838"/>
    <w:rsid w:val="00E36C10"/>
    <w:rsid w:val="00E40B76"/>
    <w:rsid w:val="00E42461"/>
    <w:rsid w:val="00E4443D"/>
    <w:rsid w:val="00E45B25"/>
    <w:rsid w:val="00E52EB0"/>
    <w:rsid w:val="00E530DE"/>
    <w:rsid w:val="00E54352"/>
    <w:rsid w:val="00E5644E"/>
    <w:rsid w:val="00E5691C"/>
    <w:rsid w:val="00E60903"/>
    <w:rsid w:val="00E631BA"/>
    <w:rsid w:val="00E63481"/>
    <w:rsid w:val="00E63DE8"/>
    <w:rsid w:val="00E6613A"/>
    <w:rsid w:val="00E7260F"/>
    <w:rsid w:val="00E730D8"/>
    <w:rsid w:val="00E81230"/>
    <w:rsid w:val="00E8535A"/>
    <w:rsid w:val="00E864BE"/>
    <w:rsid w:val="00E90647"/>
    <w:rsid w:val="00E93D58"/>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A2A"/>
    <w:rsid w:val="00EE4D59"/>
    <w:rsid w:val="00EE4FA9"/>
    <w:rsid w:val="00EE73C3"/>
    <w:rsid w:val="00EF1D7F"/>
    <w:rsid w:val="00EF4AAC"/>
    <w:rsid w:val="00F01C57"/>
    <w:rsid w:val="00F03FA2"/>
    <w:rsid w:val="00F05283"/>
    <w:rsid w:val="00F07537"/>
    <w:rsid w:val="00F07E12"/>
    <w:rsid w:val="00F1200D"/>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357175"/>
  <w15:docId w15:val="{E06BED03-A452-4E4C-9AEB-3654CC2B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paragraph" w:styleId="DocumentMap">
    <w:name w:val="Document Map"/>
    <w:basedOn w:val="Normal"/>
    <w:link w:val="DocumentMapChar"/>
    <w:semiHidden/>
    <w:unhideWhenUsed/>
    <w:rsid w:val="00294934"/>
    <w:pPr>
      <w:spacing w:line="240" w:lineRule="auto"/>
    </w:pPr>
    <w:rPr>
      <w:sz w:val="24"/>
      <w:szCs w:val="24"/>
    </w:rPr>
  </w:style>
  <w:style w:type="character" w:customStyle="1" w:styleId="DocumentMapChar">
    <w:name w:val="Document Map Char"/>
    <w:basedOn w:val="DefaultParagraphFont"/>
    <w:link w:val="DocumentMap"/>
    <w:semiHidden/>
    <w:rsid w:val="00294934"/>
    <w:rPr>
      <w:sz w:val="24"/>
      <w:szCs w:val="24"/>
      <w:lang w:val="en-GB"/>
    </w:rPr>
  </w:style>
  <w:style w:type="character" w:customStyle="1" w:styleId="Heading2Char">
    <w:name w:val="Heading 2 Char"/>
    <w:basedOn w:val="DefaultParagraphFont"/>
    <w:link w:val="Heading2"/>
    <w:rsid w:val="002221B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6989-F67A-4F47-B33D-EECB23FD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2018-10-12T07:11:00Z</cp:lastPrinted>
  <dcterms:created xsi:type="dcterms:W3CDTF">2018-11-23T08:55:00Z</dcterms:created>
  <dcterms:modified xsi:type="dcterms:W3CDTF">2018-11-23T08:55:00Z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