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14:paraId="09425057" w14:textId="77777777" w:rsidTr="009F0F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F7D4F" w14:textId="77777777" w:rsidR="00446DE4" w:rsidRDefault="00446DE4" w:rsidP="00F54674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73FC0" w14:textId="77777777" w:rsidR="00446DE4" w:rsidRPr="00963CBA" w:rsidRDefault="00B3317B" w:rsidP="00F54674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E592ED" w14:textId="77777777" w:rsidR="00446DE4" w:rsidRPr="002309A7" w:rsidRDefault="005D7E4F" w:rsidP="005D7E4F">
            <w:pPr>
              <w:jc w:val="right"/>
            </w:pPr>
            <w:r w:rsidRPr="005D7E4F">
              <w:rPr>
                <w:sz w:val="40"/>
              </w:rPr>
              <w:t>ST</w:t>
            </w:r>
            <w:r w:rsidR="00AB6F1A">
              <w:t>/SG/AC.10/C.4/73</w:t>
            </w:r>
          </w:p>
        </w:tc>
      </w:tr>
      <w:tr w:rsidR="003107FA" w14:paraId="262BFD51" w14:textId="77777777" w:rsidTr="009F0F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010BC99" w14:textId="77777777" w:rsidR="003107FA" w:rsidRDefault="00057FD8" w:rsidP="002B1CDA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69FF07D6" wp14:editId="77DC8CE8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D200CC1" w14:textId="77777777" w:rsidR="003107FA" w:rsidRPr="00B3317B" w:rsidRDefault="00D96CC5" w:rsidP="001633F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196136B" w14:textId="77777777" w:rsidR="003107FA" w:rsidRDefault="005D7E4F" w:rsidP="005D7E4F">
            <w:pPr>
              <w:spacing w:before="240" w:line="240" w:lineRule="exact"/>
            </w:pPr>
            <w:r>
              <w:t>Distr.: General</w:t>
            </w:r>
          </w:p>
          <w:p w14:paraId="3573B867" w14:textId="77777777" w:rsidR="005D7E4F" w:rsidRDefault="00B605E2" w:rsidP="005D7E4F">
            <w:pPr>
              <w:spacing w:line="240" w:lineRule="exact"/>
            </w:pPr>
            <w:r>
              <w:t>28</w:t>
            </w:r>
            <w:r w:rsidR="00F177C0">
              <w:t xml:space="preserve"> February 2019</w:t>
            </w:r>
          </w:p>
          <w:p w14:paraId="33761AAA" w14:textId="77777777" w:rsidR="005D7E4F" w:rsidRPr="00CD2FD5" w:rsidRDefault="00CD2FD5" w:rsidP="005D7E4F">
            <w:pPr>
              <w:spacing w:line="240" w:lineRule="exact"/>
              <w:rPr>
                <w:b/>
                <w:bCs/>
              </w:rPr>
            </w:pPr>
            <w:r>
              <w:t>English</w:t>
            </w:r>
          </w:p>
          <w:p w14:paraId="54E9BE07" w14:textId="77777777" w:rsidR="005D7E4F" w:rsidRDefault="005D7E4F" w:rsidP="005D7E4F">
            <w:pPr>
              <w:spacing w:line="240" w:lineRule="exact"/>
            </w:pPr>
            <w:r>
              <w:t>Original: English</w:t>
            </w:r>
            <w:r w:rsidR="00CD2FD5">
              <w:t xml:space="preserve"> and French</w:t>
            </w:r>
          </w:p>
        </w:tc>
      </w:tr>
    </w:tbl>
    <w:p w14:paraId="00A1E00D" w14:textId="77777777" w:rsidR="005D7E4F" w:rsidRPr="00283442" w:rsidRDefault="005D7E4F" w:rsidP="005D7E4F">
      <w:pPr>
        <w:spacing w:before="120"/>
        <w:rPr>
          <w:b/>
          <w:sz w:val="24"/>
          <w:szCs w:val="24"/>
          <w:lang w:val="en-US"/>
        </w:rPr>
      </w:pPr>
      <w:r w:rsidRPr="00283442">
        <w:rPr>
          <w:b/>
          <w:sz w:val="24"/>
          <w:szCs w:val="24"/>
          <w:lang w:val="en-US"/>
        </w:rPr>
        <w:t>Committee of Experts on the Transport of Dangerous Goods</w:t>
      </w:r>
      <w:r w:rsidRPr="00283442">
        <w:rPr>
          <w:b/>
          <w:sz w:val="24"/>
          <w:szCs w:val="24"/>
          <w:lang w:val="en-US"/>
        </w:rPr>
        <w:br/>
        <w:t>and on the Globally Harmonized System of Classification</w:t>
      </w:r>
      <w:r w:rsidRPr="00283442">
        <w:rPr>
          <w:b/>
          <w:sz w:val="24"/>
          <w:szCs w:val="24"/>
          <w:lang w:val="en-US"/>
        </w:rPr>
        <w:br/>
        <w:t>and Labelling of Chemicals</w:t>
      </w:r>
    </w:p>
    <w:p w14:paraId="5D1CFB1C" w14:textId="77777777" w:rsidR="005D7E4F" w:rsidRPr="00283442" w:rsidRDefault="005D7E4F" w:rsidP="005D7E4F">
      <w:pPr>
        <w:spacing w:before="120"/>
        <w:rPr>
          <w:rFonts w:ascii="Helv" w:hAnsi="Helv" w:cs="Helv"/>
          <w:b/>
          <w:color w:val="000000"/>
          <w:lang w:val="en-US"/>
        </w:rPr>
      </w:pPr>
      <w:r w:rsidRPr="00283442">
        <w:rPr>
          <w:b/>
          <w:lang w:val="en-US"/>
        </w:rPr>
        <w:t>Sub-Committee of Experts on the Globally Harmonized</w:t>
      </w:r>
      <w:r w:rsidRPr="00283442">
        <w:rPr>
          <w:b/>
          <w:lang w:val="en-US"/>
        </w:rPr>
        <w:br/>
        <w:t>System of Classification and Labelling of Chemicals</w:t>
      </w:r>
    </w:p>
    <w:p w14:paraId="3BDA3757" w14:textId="77777777" w:rsidR="005D7E4F" w:rsidRPr="00283442" w:rsidRDefault="005D7E4F" w:rsidP="005D7E4F">
      <w:pPr>
        <w:spacing w:before="120"/>
        <w:rPr>
          <w:b/>
        </w:rPr>
      </w:pPr>
      <w:r w:rsidRPr="00283442">
        <w:rPr>
          <w:b/>
          <w:bCs/>
        </w:rPr>
        <w:t>T</w:t>
      </w:r>
      <w:r>
        <w:rPr>
          <w:b/>
          <w:bCs/>
        </w:rPr>
        <w:t>hirty-</w:t>
      </w:r>
      <w:r w:rsidR="00F535EC">
        <w:rPr>
          <w:b/>
          <w:bCs/>
        </w:rPr>
        <w:t>seventh</w:t>
      </w:r>
      <w:r w:rsidR="00F535EC" w:rsidRPr="00283442">
        <w:rPr>
          <w:b/>
          <w:bCs/>
        </w:rPr>
        <w:t xml:space="preserve"> </w:t>
      </w:r>
      <w:r w:rsidRPr="00283442">
        <w:rPr>
          <w:b/>
          <w:bCs/>
        </w:rPr>
        <w:t>session</w:t>
      </w:r>
    </w:p>
    <w:p w14:paraId="3D89E590" w14:textId="77777777" w:rsidR="005D7E4F" w:rsidRPr="00283442" w:rsidRDefault="005D7E4F" w:rsidP="005D7E4F">
      <w:pPr>
        <w:jc w:val="both"/>
      </w:pPr>
      <w:r w:rsidRPr="00283442">
        <w:t xml:space="preserve">Geneva, </w:t>
      </w:r>
      <w:r w:rsidR="00F535EC">
        <w:t>8-10 July 2019</w:t>
      </w:r>
    </w:p>
    <w:p w14:paraId="6E38A0CC" w14:textId="77777777" w:rsidR="005D7E4F" w:rsidRPr="00283442" w:rsidRDefault="005D7E4F" w:rsidP="005D7E4F">
      <w:pPr>
        <w:jc w:val="both"/>
        <w:rPr>
          <w:lang w:val="en-US"/>
        </w:rPr>
      </w:pPr>
      <w:r w:rsidRPr="00283442">
        <w:rPr>
          <w:lang w:val="en-US"/>
        </w:rPr>
        <w:t>Item 1 of the provisional agenda</w:t>
      </w:r>
    </w:p>
    <w:p w14:paraId="0D7DAA00" w14:textId="77777777" w:rsidR="005D7E4F" w:rsidRPr="00283442" w:rsidRDefault="005D7E4F" w:rsidP="006F4CE9">
      <w:pPr>
        <w:jc w:val="both"/>
        <w:rPr>
          <w:b/>
        </w:rPr>
      </w:pPr>
      <w:r w:rsidRPr="00283442">
        <w:rPr>
          <w:b/>
          <w:lang w:val="en-US"/>
        </w:rPr>
        <w:t>Adoption of the agenda</w:t>
      </w:r>
    </w:p>
    <w:p w14:paraId="28EF6717" w14:textId="77777777" w:rsidR="005D7E4F" w:rsidRPr="00283442" w:rsidRDefault="005D7E4F" w:rsidP="005D7E4F">
      <w:pPr>
        <w:pStyle w:val="HChG"/>
        <w:keepNext w:val="0"/>
        <w:keepLines w:val="0"/>
        <w:rPr>
          <w:b w:val="0"/>
        </w:rPr>
      </w:pPr>
      <w:r w:rsidRPr="00283442">
        <w:tab/>
      </w:r>
      <w:r w:rsidRPr="00283442">
        <w:tab/>
        <w:t>Provisional agenda for the t</w:t>
      </w:r>
      <w:r>
        <w:t>hirty-</w:t>
      </w:r>
      <w:r w:rsidR="00F535EC">
        <w:t>seventh</w:t>
      </w:r>
      <w:r w:rsidR="00F535EC" w:rsidRPr="00283442">
        <w:t xml:space="preserve"> </w:t>
      </w:r>
      <w:r w:rsidRPr="00283442">
        <w:t>session</w:t>
      </w:r>
      <w:r w:rsidRPr="005E444C">
        <w:rPr>
          <w:rStyle w:val="FootnoteReference"/>
          <w:sz w:val="20"/>
        </w:rPr>
        <w:footnoteReference w:customMarkFollows="1" w:id="2"/>
        <w:t>*</w:t>
      </w:r>
      <w:r>
        <w:rPr>
          <w:rStyle w:val="FootnoteReference"/>
          <w:sz w:val="20"/>
        </w:rPr>
        <w:t>,</w:t>
      </w:r>
      <w:r w:rsidRPr="00283442">
        <w:t xml:space="preserve"> </w:t>
      </w:r>
      <w:r w:rsidRPr="005E444C">
        <w:rPr>
          <w:rStyle w:val="FootnoteReference"/>
          <w:sz w:val="20"/>
        </w:rPr>
        <w:footnoteReference w:customMarkFollows="1" w:id="3"/>
        <w:t>**</w:t>
      </w:r>
      <w:r>
        <w:rPr>
          <w:rStyle w:val="FootnoteReference"/>
          <w:sz w:val="20"/>
        </w:rPr>
        <w:t>,</w:t>
      </w:r>
      <w:r>
        <w:rPr>
          <w:sz w:val="20"/>
        </w:rPr>
        <w:t xml:space="preserve"> </w:t>
      </w:r>
      <w:r w:rsidRPr="008A41E5">
        <w:rPr>
          <w:rStyle w:val="FootnoteReference"/>
          <w:sz w:val="20"/>
        </w:rPr>
        <w:footnoteReference w:customMarkFollows="1" w:id="4"/>
        <w:t>***</w:t>
      </w:r>
    </w:p>
    <w:p w14:paraId="0352B3D4" w14:textId="77777777" w:rsidR="005D7E4F" w:rsidRPr="00283442" w:rsidRDefault="005D7E4F" w:rsidP="005D7E4F">
      <w:pPr>
        <w:pStyle w:val="H56G"/>
        <w:keepNext w:val="0"/>
        <w:keepLines w:val="0"/>
      </w:pPr>
      <w:r w:rsidRPr="00283442">
        <w:tab/>
      </w:r>
      <w:r w:rsidRPr="00283442">
        <w:tab/>
        <w:t>to be held at the Palais des Nations, Geneva</w:t>
      </w:r>
      <w:r>
        <w:t>,</w:t>
      </w:r>
      <w:r w:rsidRPr="00283442">
        <w:t xml:space="preserve"> starting at </w:t>
      </w:r>
      <w:r w:rsidR="00B605E2">
        <w:t>10 a.m.</w:t>
      </w:r>
      <w:r w:rsidR="005A67E1">
        <w:t xml:space="preserve"> </w:t>
      </w:r>
      <w:r w:rsidRPr="00283442">
        <w:t xml:space="preserve">on </w:t>
      </w:r>
      <w:r w:rsidR="00F535EC">
        <w:t>Monday</w:t>
      </w:r>
      <w:r>
        <w:t>,</w:t>
      </w:r>
      <w:r w:rsidRPr="00283442">
        <w:t xml:space="preserve"> </w:t>
      </w:r>
      <w:r w:rsidR="00F535EC">
        <w:t>8 July 2019</w:t>
      </w:r>
    </w:p>
    <w:p w14:paraId="16C970A9" w14:textId="77777777" w:rsidR="005D7E4F" w:rsidRPr="00283442" w:rsidRDefault="005D7E4F" w:rsidP="005D7E4F">
      <w:pPr>
        <w:pStyle w:val="SingleTxtG"/>
      </w:pPr>
      <w:r w:rsidRPr="00283442">
        <w:t>1.</w:t>
      </w:r>
      <w:r w:rsidRPr="00283442">
        <w:tab/>
        <w:t>Adoption of the agenda.</w:t>
      </w:r>
    </w:p>
    <w:p w14:paraId="48F3B00E" w14:textId="77777777" w:rsidR="005D7E4F" w:rsidRPr="00283442" w:rsidRDefault="00AD3F06" w:rsidP="005D7E4F">
      <w:pPr>
        <w:pStyle w:val="SingleTxt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505"/>
        </w:tabs>
        <w:ind w:left="1701" w:hanging="567"/>
      </w:pPr>
      <w:r>
        <w:t>2</w:t>
      </w:r>
      <w:r w:rsidR="005D7E4F" w:rsidRPr="00283442">
        <w:t>.</w:t>
      </w:r>
      <w:r w:rsidR="005D7E4F" w:rsidRPr="00283442">
        <w:tab/>
        <w:t>Classification criteria and related hazard communication:</w:t>
      </w:r>
    </w:p>
    <w:p w14:paraId="47B5DD74" w14:textId="77777777" w:rsidR="005D7E4F" w:rsidRDefault="005D7E4F" w:rsidP="005A67E1">
      <w:pPr>
        <w:pStyle w:val="SingleTxtG"/>
        <w:spacing w:line="220" w:lineRule="exact"/>
        <w:ind w:left="2268" w:hanging="567"/>
      </w:pPr>
      <w:r w:rsidRPr="00283442">
        <w:t>(</w:t>
      </w:r>
      <w:r w:rsidR="00D938FE">
        <w:t>a</w:t>
      </w:r>
      <w:r w:rsidRPr="00283442">
        <w:t>)</w:t>
      </w:r>
      <w:r w:rsidRPr="00283442">
        <w:tab/>
        <w:t>Work of the Sub-Committee of Experts on the Transport of Dangerous Goods (TDG)</w:t>
      </w:r>
      <w:r>
        <w:t xml:space="preserve"> on matters of interest to the GHS Sub-Committee</w:t>
      </w:r>
      <w:r w:rsidRPr="00283442">
        <w:rPr>
          <w:rStyle w:val="FootnoteReference"/>
        </w:rPr>
        <w:footnoteReference w:id="5"/>
      </w:r>
      <w:r w:rsidR="00B605E2">
        <w:t>;</w:t>
      </w:r>
    </w:p>
    <w:p w14:paraId="26FD9936" w14:textId="77777777" w:rsidR="005D7E4F" w:rsidRDefault="005D7E4F" w:rsidP="005D7E4F">
      <w:pPr>
        <w:pStyle w:val="SingleTxtG"/>
        <w:spacing w:line="220" w:lineRule="atLeast"/>
        <w:ind w:left="2268" w:hanging="567"/>
      </w:pPr>
      <w:r w:rsidRPr="00283442">
        <w:lastRenderedPageBreak/>
        <w:t>(</w:t>
      </w:r>
      <w:r w:rsidR="00D938FE">
        <w:t>b</w:t>
      </w:r>
      <w:r w:rsidRPr="00283442">
        <w:t>)</w:t>
      </w:r>
      <w:r w:rsidRPr="00283442">
        <w:tab/>
      </w:r>
      <w:r>
        <w:t>Review of Chapter 2.1</w:t>
      </w:r>
      <w:r w:rsidRPr="00283442">
        <w:t>;</w:t>
      </w:r>
    </w:p>
    <w:p w14:paraId="69EB7FEF" w14:textId="77777777" w:rsidR="005D7E4F" w:rsidRDefault="005D7E4F" w:rsidP="005D7E4F">
      <w:pPr>
        <w:pStyle w:val="SingleTxtG"/>
        <w:spacing w:line="220" w:lineRule="atLeast"/>
        <w:ind w:left="2268" w:hanging="567"/>
      </w:pPr>
      <w:r>
        <w:t>(</w:t>
      </w:r>
      <w:r w:rsidR="007E224F">
        <w:t>c</w:t>
      </w:r>
      <w:r>
        <w:t>)</w:t>
      </w:r>
      <w:r>
        <w:tab/>
        <w:t>Use of non-animal testing methods for classification of health hazards;</w:t>
      </w:r>
      <w:r w:rsidRPr="00276CA2">
        <w:t xml:space="preserve"> </w:t>
      </w:r>
    </w:p>
    <w:p w14:paraId="0A97F36E" w14:textId="77777777" w:rsidR="005D7E4F" w:rsidRPr="00283442" w:rsidRDefault="005D7E4F" w:rsidP="005D7E4F">
      <w:pPr>
        <w:pStyle w:val="SingleTxtG"/>
        <w:spacing w:line="220" w:lineRule="atLeast"/>
        <w:ind w:left="2268" w:hanging="567"/>
      </w:pPr>
      <w:r w:rsidRPr="00283442">
        <w:t>(</w:t>
      </w:r>
      <w:r w:rsidR="007E224F">
        <w:t>d</w:t>
      </w:r>
      <w:r w:rsidRPr="00283442">
        <w:t>)</w:t>
      </w:r>
      <w:r w:rsidRPr="00283442">
        <w:tab/>
        <w:t>Practical classification issues;</w:t>
      </w:r>
    </w:p>
    <w:p w14:paraId="02628341" w14:textId="77777777" w:rsidR="005D7E4F" w:rsidRPr="00283442" w:rsidRDefault="005D7E4F" w:rsidP="005D7E4F">
      <w:pPr>
        <w:pStyle w:val="SingleTxtG"/>
        <w:spacing w:line="220" w:lineRule="atLeast"/>
        <w:ind w:left="2268" w:hanging="567"/>
      </w:pPr>
      <w:r w:rsidRPr="00283442">
        <w:t>(</w:t>
      </w:r>
      <w:r w:rsidR="007E224F">
        <w:t>e</w:t>
      </w:r>
      <w:r w:rsidRPr="00283442">
        <w:t>)</w:t>
      </w:r>
      <w:r w:rsidRPr="00283442">
        <w:tab/>
        <w:t>Aspiration hazard;</w:t>
      </w:r>
    </w:p>
    <w:p w14:paraId="1852023F" w14:textId="77777777" w:rsidR="005D7E4F" w:rsidRDefault="005D7E4F" w:rsidP="005D7E4F">
      <w:pPr>
        <w:pStyle w:val="SingleTxtG"/>
        <w:spacing w:line="220" w:lineRule="atLeast"/>
        <w:ind w:left="2268" w:hanging="567"/>
      </w:pPr>
      <w:r w:rsidRPr="00283442">
        <w:t>(</w:t>
      </w:r>
      <w:r w:rsidR="007E224F">
        <w:t>f</w:t>
      </w:r>
      <w:r w:rsidRPr="00283442">
        <w:t>)</w:t>
      </w:r>
      <w:r w:rsidRPr="00283442">
        <w:tab/>
        <w:t>Nanomaterials;</w:t>
      </w:r>
    </w:p>
    <w:p w14:paraId="1D2CF61F" w14:textId="77777777" w:rsidR="00F177C0" w:rsidRDefault="00F177C0" w:rsidP="005D7E4F">
      <w:pPr>
        <w:pStyle w:val="SingleTxtG"/>
        <w:spacing w:line="220" w:lineRule="atLeast"/>
        <w:ind w:left="2268" w:hanging="567"/>
      </w:pPr>
      <w:r>
        <w:t>(</w:t>
      </w:r>
      <w:r w:rsidR="007E224F">
        <w:t>g</w:t>
      </w:r>
      <w:r>
        <w:t>)</w:t>
      </w:r>
      <w:r>
        <w:tab/>
        <w:t>Simultaneous classification in physical hazard classes and precedence of hazards</w:t>
      </w:r>
    </w:p>
    <w:p w14:paraId="60EAB576" w14:textId="77777777" w:rsidR="005D7E4F" w:rsidRPr="00283442" w:rsidRDefault="005D7E4F" w:rsidP="005D7E4F">
      <w:pPr>
        <w:pStyle w:val="SingleTxtG"/>
        <w:ind w:left="2268" w:hanging="567"/>
      </w:pPr>
      <w:r w:rsidRPr="00283442">
        <w:t>(</w:t>
      </w:r>
      <w:r w:rsidR="00D938FE">
        <w:t>h</w:t>
      </w:r>
      <w:r w:rsidRPr="00283442">
        <w:t>)</w:t>
      </w:r>
      <w:r w:rsidRPr="00283442">
        <w:tab/>
      </w:r>
      <w:r>
        <w:t>Other issues</w:t>
      </w:r>
      <w:r w:rsidRPr="00283442">
        <w:t>.</w:t>
      </w:r>
    </w:p>
    <w:p w14:paraId="27406488" w14:textId="77777777" w:rsidR="005D7E4F" w:rsidRPr="00283442" w:rsidRDefault="00B605E2" w:rsidP="005D7E4F">
      <w:pPr>
        <w:pStyle w:val="SingleTxtG"/>
      </w:pPr>
      <w:r>
        <w:t>3</w:t>
      </w:r>
      <w:r w:rsidR="005D7E4F" w:rsidRPr="00283442">
        <w:t>.</w:t>
      </w:r>
      <w:r w:rsidR="005D7E4F" w:rsidRPr="00283442">
        <w:tab/>
        <w:t>Hazard communication:</w:t>
      </w:r>
    </w:p>
    <w:p w14:paraId="6C5D8820" w14:textId="77777777" w:rsidR="005D7E4F" w:rsidRPr="00283442" w:rsidRDefault="005D7E4F" w:rsidP="000A01DA">
      <w:pPr>
        <w:pStyle w:val="SingleTxtG"/>
        <w:spacing w:line="220" w:lineRule="atLeast"/>
        <w:ind w:left="2268" w:hanging="567"/>
      </w:pPr>
      <w:r w:rsidRPr="00283442">
        <w:t>(</w:t>
      </w:r>
      <w:r w:rsidR="00D938FE">
        <w:t>a</w:t>
      </w:r>
      <w:r w:rsidRPr="00283442">
        <w:t>)</w:t>
      </w:r>
      <w:r w:rsidRPr="00283442">
        <w:tab/>
      </w:r>
      <w:r w:rsidR="00F177C0">
        <w:t>Practical labelling issues</w:t>
      </w:r>
      <w:r w:rsidRPr="00283442">
        <w:t>;</w:t>
      </w:r>
    </w:p>
    <w:p w14:paraId="5B3C21D8" w14:textId="77777777" w:rsidR="005D7E4F" w:rsidRPr="00283442" w:rsidRDefault="005D7E4F" w:rsidP="005D7E4F">
      <w:pPr>
        <w:pStyle w:val="SingleTxtG"/>
        <w:spacing w:line="220" w:lineRule="atLeast"/>
        <w:ind w:left="2268" w:hanging="567"/>
      </w:pPr>
      <w:r w:rsidRPr="00283442">
        <w:t>(</w:t>
      </w:r>
      <w:r w:rsidR="00D938FE">
        <w:t>b</w:t>
      </w:r>
      <w:r w:rsidRPr="00283442">
        <w:t>)</w:t>
      </w:r>
      <w:r w:rsidRPr="00283442">
        <w:tab/>
        <w:t>Improvement of annexes 1 to 3 and further rationalization of precautionary statements;</w:t>
      </w:r>
    </w:p>
    <w:p w14:paraId="2CEB3CCD" w14:textId="77777777" w:rsidR="005D7E4F" w:rsidRDefault="005D7E4F" w:rsidP="005D7E4F">
      <w:pPr>
        <w:pStyle w:val="SingleTxtG"/>
        <w:spacing w:line="220" w:lineRule="atLeast"/>
        <w:ind w:left="2268" w:hanging="567"/>
      </w:pPr>
      <w:r w:rsidRPr="00283442">
        <w:t>(</w:t>
      </w:r>
      <w:r w:rsidR="00D938FE">
        <w:t>c</w:t>
      </w:r>
      <w:r w:rsidRPr="00283442">
        <w:t>)</w:t>
      </w:r>
      <w:r w:rsidRPr="00283442">
        <w:tab/>
      </w:r>
      <w:r w:rsidR="00F177C0">
        <w:t>Review of Annex 4, sub-section A4.3.3.2.3</w:t>
      </w:r>
      <w:r>
        <w:t xml:space="preserve">; </w:t>
      </w:r>
    </w:p>
    <w:p w14:paraId="57885C70" w14:textId="77777777" w:rsidR="005D7E4F" w:rsidRPr="00283442" w:rsidRDefault="005D7E4F" w:rsidP="005D7E4F">
      <w:pPr>
        <w:pStyle w:val="SingleTxtG"/>
        <w:spacing w:line="220" w:lineRule="atLeast"/>
        <w:ind w:left="2268" w:hanging="567"/>
      </w:pPr>
      <w:r>
        <w:t>(</w:t>
      </w:r>
      <w:r w:rsidR="00D938FE">
        <w:t>d</w:t>
      </w:r>
      <w:r>
        <w:t>)</w:t>
      </w:r>
      <w:r>
        <w:tab/>
        <w:t>Other issues</w:t>
      </w:r>
      <w:r w:rsidRPr="00283442">
        <w:t>.</w:t>
      </w:r>
    </w:p>
    <w:p w14:paraId="254F17F8" w14:textId="77777777" w:rsidR="005D7E4F" w:rsidRPr="00283442" w:rsidRDefault="00B605E2" w:rsidP="005D7E4F">
      <w:pPr>
        <w:pStyle w:val="SingleTxtG"/>
      </w:pPr>
      <w:r>
        <w:t>4</w:t>
      </w:r>
      <w:r w:rsidR="005D7E4F" w:rsidRPr="00283442">
        <w:t>.</w:t>
      </w:r>
      <w:r w:rsidR="005D7E4F" w:rsidRPr="00283442">
        <w:tab/>
        <w:t>Implementation of the GHS:</w:t>
      </w:r>
    </w:p>
    <w:p w14:paraId="6657526B" w14:textId="77777777" w:rsidR="005D7E4F" w:rsidRPr="00283442" w:rsidRDefault="005D7E4F" w:rsidP="005D7E4F">
      <w:pPr>
        <w:pStyle w:val="SingleTxtG"/>
        <w:spacing w:line="220" w:lineRule="atLeast"/>
        <w:ind w:left="2268" w:hanging="567"/>
      </w:pPr>
      <w:r w:rsidRPr="00283442">
        <w:t>(a)</w:t>
      </w:r>
      <w:r w:rsidRPr="00283442">
        <w:tab/>
      </w:r>
      <w:r w:rsidR="00F177C0">
        <w:t>Possible d</w:t>
      </w:r>
      <w:r w:rsidR="00F177C0" w:rsidRPr="00283442">
        <w:t xml:space="preserve">evelopment </w:t>
      </w:r>
      <w:r w:rsidRPr="00283442">
        <w:t>of a list of chemicals classified in accordance with the GHS;</w:t>
      </w:r>
    </w:p>
    <w:p w14:paraId="3F01BE18" w14:textId="77777777" w:rsidR="005D7E4F" w:rsidRPr="00283442" w:rsidRDefault="005D7E4F" w:rsidP="005D7E4F">
      <w:pPr>
        <w:pStyle w:val="SingleTxtG"/>
        <w:spacing w:line="220" w:lineRule="atLeast"/>
        <w:ind w:left="2268" w:hanging="567"/>
      </w:pPr>
      <w:r w:rsidRPr="00283442">
        <w:t>(b)</w:t>
      </w:r>
      <w:r w:rsidRPr="00283442">
        <w:tab/>
        <w:t>Reports on the status of implementation;</w:t>
      </w:r>
    </w:p>
    <w:p w14:paraId="40E675C9" w14:textId="77777777" w:rsidR="005D7E4F" w:rsidRPr="00283442" w:rsidRDefault="005D7E4F" w:rsidP="005D7E4F">
      <w:pPr>
        <w:pStyle w:val="SingleTxtG"/>
        <w:spacing w:line="220" w:lineRule="atLeast"/>
        <w:ind w:left="2268" w:hanging="567"/>
      </w:pPr>
      <w:r w:rsidRPr="00283442">
        <w:t>(c)</w:t>
      </w:r>
      <w:r w:rsidRPr="00283442">
        <w:tab/>
        <w:t>Cooperation with other bodies or international organizations;</w:t>
      </w:r>
    </w:p>
    <w:p w14:paraId="64417C67" w14:textId="77777777" w:rsidR="005D7E4F" w:rsidRPr="00283442" w:rsidRDefault="005D7E4F" w:rsidP="005D7E4F">
      <w:pPr>
        <w:pStyle w:val="SingleTxtG"/>
        <w:spacing w:line="220" w:lineRule="atLeast"/>
        <w:ind w:left="2268" w:hanging="567"/>
      </w:pPr>
      <w:r w:rsidRPr="00283442">
        <w:t>(d)</w:t>
      </w:r>
      <w:r w:rsidRPr="00283442">
        <w:tab/>
        <w:t>Miscellaneous.</w:t>
      </w:r>
    </w:p>
    <w:p w14:paraId="3F4E7A32" w14:textId="77777777" w:rsidR="005D7E4F" w:rsidRPr="00283442" w:rsidRDefault="00B605E2" w:rsidP="005D7E4F">
      <w:pPr>
        <w:pStyle w:val="SingleTxtG"/>
      </w:pPr>
      <w:r>
        <w:t>5</w:t>
      </w:r>
      <w:r w:rsidR="005D7E4F" w:rsidRPr="00283442">
        <w:t>.</w:t>
      </w:r>
      <w:r w:rsidR="005D7E4F" w:rsidRPr="00283442">
        <w:tab/>
        <w:t>Development of guidance on the application of GHS criteria.</w:t>
      </w:r>
    </w:p>
    <w:p w14:paraId="40B2B6E4" w14:textId="77777777" w:rsidR="005D7E4F" w:rsidRPr="00283442" w:rsidRDefault="00B605E2" w:rsidP="005D7E4F">
      <w:pPr>
        <w:pStyle w:val="SingleTxtG"/>
      </w:pPr>
      <w:r>
        <w:t>6</w:t>
      </w:r>
      <w:r w:rsidR="005D7E4F" w:rsidRPr="00283442">
        <w:t>.</w:t>
      </w:r>
      <w:r w:rsidR="005D7E4F" w:rsidRPr="00283442">
        <w:tab/>
        <w:t>Capacity building.</w:t>
      </w:r>
    </w:p>
    <w:p w14:paraId="231F23CB" w14:textId="77777777" w:rsidR="005D7E4F" w:rsidRPr="00283442" w:rsidRDefault="00B605E2" w:rsidP="005D7E4F">
      <w:pPr>
        <w:pStyle w:val="SingleTxtG"/>
      </w:pPr>
      <w:r>
        <w:t>7</w:t>
      </w:r>
      <w:r w:rsidR="005D7E4F" w:rsidRPr="00283442">
        <w:t>.</w:t>
      </w:r>
      <w:r w:rsidR="005D7E4F" w:rsidRPr="00283442">
        <w:tab/>
        <w:t>Other business.</w:t>
      </w:r>
    </w:p>
    <w:p w14:paraId="7CACE9DA" w14:textId="77777777" w:rsidR="005D7E4F" w:rsidRDefault="00B605E2" w:rsidP="005D7E4F">
      <w:pPr>
        <w:pStyle w:val="SingleTxtG"/>
      </w:pPr>
      <w:r>
        <w:t>8</w:t>
      </w:r>
      <w:r w:rsidR="005D7E4F" w:rsidRPr="00283442">
        <w:t>.</w:t>
      </w:r>
      <w:r w:rsidR="005D7E4F" w:rsidRPr="00283442">
        <w:tab/>
        <w:t>Adoption of the report.</w:t>
      </w:r>
    </w:p>
    <w:p w14:paraId="10943880" w14:textId="77777777" w:rsidR="005D7E4F" w:rsidRPr="00686549" w:rsidRDefault="005D7E4F" w:rsidP="005D7E4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4833FC" w14:textId="77777777" w:rsidR="009F0F06" w:rsidRPr="005D7E4F" w:rsidRDefault="009F0F06" w:rsidP="005D7E4F">
      <w:pPr>
        <w:suppressAutoHyphens w:val="0"/>
        <w:spacing w:line="240" w:lineRule="auto"/>
      </w:pPr>
    </w:p>
    <w:sectPr w:rsidR="009F0F06" w:rsidRPr="005D7E4F" w:rsidSect="005D7E4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6D8A9" w14:textId="77777777" w:rsidR="005D7E4F" w:rsidRDefault="005D7E4F"/>
  </w:endnote>
  <w:endnote w:type="continuationSeparator" w:id="0">
    <w:p w14:paraId="0EA04D9C" w14:textId="77777777" w:rsidR="005D7E4F" w:rsidRDefault="005D7E4F"/>
  </w:endnote>
  <w:endnote w:type="continuationNotice" w:id="1">
    <w:p w14:paraId="1D14375D" w14:textId="77777777" w:rsidR="005D7E4F" w:rsidRDefault="005D7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B853" w14:textId="77777777" w:rsidR="005D7E4F" w:rsidRPr="005D7E4F" w:rsidRDefault="005D7E4F" w:rsidP="005D7E4F">
    <w:pPr>
      <w:pStyle w:val="Footer"/>
      <w:tabs>
        <w:tab w:val="right" w:pos="9638"/>
      </w:tabs>
      <w:rPr>
        <w:sz w:val="18"/>
      </w:rPr>
    </w:pPr>
    <w:r w:rsidRPr="005D7E4F">
      <w:rPr>
        <w:b/>
        <w:sz w:val="18"/>
      </w:rPr>
      <w:fldChar w:fldCharType="begin"/>
    </w:r>
    <w:r w:rsidRPr="005D7E4F">
      <w:rPr>
        <w:b/>
        <w:sz w:val="18"/>
      </w:rPr>
      <w:instrText xml:space="preserve"> PAGE  \* MERGEFORMAT </w:instrText>
    </w:r>
    <w:r w:rsidRPr="005D7E4F">
      <w:rPr>
        <w:b/>
        <w:sz w:val="18"/>
      </w:rPr>
      <w:fldChar w:fldCharType="separate"/>
    </w:r>
    <w:r w:rsidR="00B605E2">
      <w:rPr>
        <w:b/>
        <w:noProof/>
        <w:sz w:val="18"/>
      </w:rPr>
      <w:t>2</w:t>
    </w:r>
    <w:r w:rsidRPr="005D7E4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1DCE0" w14:textId="77777777" w:rsidR="005D7E4F" w:rsidRPr="005D7E4F" w:rsidRDefault="005D7E4F" w:rsidP="005D7E4F">
    <w:pPr>
      <w:pStyle w:val="Footer"/>
      <w:tabs>
        <w:tab w:val="right" w:pos="9638"/>
      </w:tabs>
      <w:rPr>
        <w:b/>
        <w:sz w:val="18"/>
      </w:rPr>
    </w:pPr>
    <w:r>
      <w:tab/>
    </w:r>
    <w:r w:rsidRPr="005D7E4F">
      <w:rPr>
        <w:b/>
        <w:sz w:val="18"/>
      </w:rPr>
      <w:fldChar w:fldCharType="begin"/>
    </w:r>
    <w:r w:rsidRPr="005D7E4F">
      <w:rPr>
        <w:b/>
        <w:sz w:val="18"/>
      </w:rPr>
      <w:instrText xml:space="preserve"> PAGE  \* MERGEFORMAT </w:instrText>
    </w:r>
    <w:r w:rsidRPr="005D7E4F">
      <w:rPr>
        <w:b/>
        <w:sz w:val="18"/>
      </w:rPr>
      <w:fldChar w:fldCharType="separate"/>
    </w:r>
    <w:r w:rsidRPr="005D7E4F">
      <w:rPr>
        <w:b/>
        <w:noProof/>
        <w:sz w:val="18"/>
      </w:rPr>
      <w:t>3</w:t>
    </w:r>
    <w:r w:rsidRPr="005D7E4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BEC47" w14:textId="77777777" w:rsidR="005D7E4F" w:rsidRPr="000B175B" w:rsidRDefault="005D7E4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61C573" w14:textId="77777777" w:rsidR="005D7E4F" w:rsidRPr="00FC68B7" w:rsidRDefault="005D7E4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AD40E8C" w14:textId="77777777" w:rsidR="005D7E4F" w:rsidRDefault="005D7E4F"/>
  </w:footnote>
  <w:footnote w:id="2">
    <w:p w14:paraId="2935B6F8" w14:textId="77777777" w:rsidR="005D7E4F" w:rsidRPr="00AB6F1A" w:rsidRDefault="005D7E4F" w:rsidP="005D7E4F">
      <w:pPr>
        <w:pStyle w:val="FootnoteText"/>
      </w:pPr>
      <w:r>
        <w:rPr>
          <w:sz w:val="20"/>
        </w:rPr>
        <w:tab/>
      </w:r>
      <w:r w:rsidRPr="005E444C">
        <w:rPr>
          <w:rStyle w:val="FootnoteReference"/>
          <w:sz w:val="20"/>
        </w:rPr>
        <w:t>*</w:t>
      </w:r>
      <w:r w:rsidRPr="005E444C">
        <w:rPr>
          <w:sz w:val="20"/>
        </w:rPr>
        <w:t xml:space="preserve"> </w:t>
      </w:r>
      <w:r>
        <w:rPr>
          <w:sz w:val="20"/>
        </w:rPr>
        <w:tab/>
      </w:r>
      <w:r w:rsidRPr="002219F6">
        <w:rPr>
          <w:bCs/>
          <w:szCs w:val="18"/>
        </w:rPr>
        <w:t>Annotations to the agenda will be circulated as document ST/SG/AC.10/C.4/</w:t>
      </w:r>
      <w:r w:rsidR="00AD3F06">
        <w:rPr>
          <w:bCs/>
          <w:szCs w:val="18"/>
        </w:rPr>
        <w:t>73</w:t>
      </w:r>
      <w:r w:rsidRPr="002219F6">
        <w:rPr>
          <w:bCs/>
          <w:szCs w:val="18"/>
        </w:rPr>
        <w:t xml:space="preserve">/Add.1. The deadline </w:t>
      </w:r>
      <w:r>
        <w:rPr>
          <w:bCs/>
          <w:szCs w:val="18"/>
        </w:rPr>
        <w:t xml:space="preserve">for submission of documents to be considered by the GHS Sub-Committee is </w:t>
      </w:r>
      <w:r w:rsidR="00AD3F06">
        <w:rPr>
          <w:bCs/>
          <w:szCs w:val="18"/>
        </w:rPr>
        <w:t>12 April 2019</w:t>
      </w:r>
      <w:r w:rsidRPr="002219F6">
        <w:rPr>
          <w:bCs/>
          <w:szCs w:val="18"/>
        </w:rPr>
        <w:t>.</w:t>
      </w:r>
      <w:r w:rsidRPr="00B07B78">
        <w:rPr>
          <w:bCs/>
          <w:szCs w:val="18"/>
        </w:rPr>
        <w:t xml:space="preserve"> </w:t>
      </w:r>
      <w:r>
        <w:rPr>
          <w:bCs/>
          <w:szCs w:val="18"/>
        </w:rPr>
        <w:t xml:space="preserve">The deadline for submission of documents to be considered by both sub-committees (TDG and GHS) is </w:t>
      </w:r>
      <w:r w:rsidR="00AD3F06">
        <w:rPr>
          <w:bCs/>
          <w:szCs w:val="18"/>
        </w:rPr>
        <w:t>5 April 2019</w:t>
      </w:r>
      <w:r>
        <w:rPr>
          <w:bCs/>
          <w:szCs w:val="18"/>
        </w:rPr>
        <w:t>.</w:t>
      </w:r>
    </w:p>
  </w:footnote>
  <w:footnote w:id="3">
    <w:p w14:paraId="0CB923A9" w14:textId="77777777" w:rsidR="005D7E4F" w:rsidRPr="00AB6F1A" w:rsidRDefault="005D7E4F" w:rsidP="005D7E4F">
      <w:pPr>
        <w:pStyle w:val="FootnoteText"/>
      </w:pPr>
      <w:r>
        <w:tab/>
      </w:r>
      <w:r w:rsidRPr="005E444C">
        <w:rPr>
          <w:rStyle w:val="FootnoteReference"/>
          <w:sz w:val="20"/>
        </w:rPr>
        <w:t>**</w:t>
      </w:r>
      <w:r>
        <w:t xml:space="preserve"> </w:t>
      </w:r>
      <w:r>
        <w:tab/>
      </w:r>
      <w:r w:rsidRPr="002219F6">
        <w:rPr>
          <w:szCs w:val="18"/>
        </w:rPr>
        <w:t>For reasons of economy, delegates are requested to bring copies of all rele</w:t>
      </w:r>
      <w:r>
        <w:rPr>
          <w:szCs w:val="18"/>
        </w:rPr>
        <w:t xml:space="preserve">vant documents to the session. </w:t>
      </w:r>
      <w:r w:rsidRPr="002219F6">
        <w:rPr>
          <w:szCs w:val="18"/>
        </w:rPr>
        <w:t>There will be no documentation available</w:t>
      </w:r>
      <w:r>
        <w:rPr>
          <w:szCs w:val="18"/>
        </w:rPr>
        <w:t xml:space="preserve"> in the conference room. </w:t>
      </w:r>
      <w:r w:rsidRPr="002219F6">
        <w:rPr>
          <w:szCs w:val="18"/>
        </w:rPr>
        <w:t>Before the session, documents may be downloaded from the UNECE Transport Division's website (</w:t>
      </w:r>
      <w:hyperlink r:id="rId1" w:history="1">
        <w:r w:rsidRPr="002219F6">
          <w:rPr>
            <w:rStyle w:val="Hyperlink"/>
            <w:szCs w:val="18"/>
          </w:rPr>
          <w:t>http://www.unece.org/trans/main/dgdb/dgsubc4/c4age.html</w:t>
        </w:r>
      </w:hyperlink>
      <w:r w:rsidRPr="002219F6">
        <w:rPr>
          <w:szCs w:val="18"/>
        </w:rPr>
        <w:t>). During the session, official documents may be obtained from the UNOG Documents Distribution Section (Room C.337, third floor, Palais des Nations).</w:t>
      </w:r>
    </w:p>
  </w:footnote>
  <w:footnote w:id="4">
    <w:p w14:paraId="3599D387" w14:textId="77777777" w:rsidR="005D7E4F" w:rsidRPr="0045122C" w:rsidRDefault="005D7E4F" w:rsidP="005D7E4F">
      <w:pPr>
        <w:pStyle w:val="FootnoteText"/>
      </w:pPr>
      <w:r>
        <w:tab/>
      </w:r>
      <w:r w:rsidRPr="005E444C">
        <w:rPr>
          <w:rStyle w:val="FootnoteReference"/>
          <w:sz w:val="20"/>
        </w:rPr>
        <w:t>***</w:t>
      </w:r>
      <w:r>
        <w:t xml:space="preserve"> </w:t>
      </w:r>
      <w:r>
        <w:tab/>
      </w:r>
      <w:r w:rsidR="005A67E1">
        <w:rPr>
          <w:color w:val="000000"/>
          <w:szCs w:val="18"/>
        </w:rPr>
        <w:t xml:space="preserve">Delegates are requested to register online using the UNECE meeting registration system </w:t>
      </w:r>
      <w:r w:rsidR="005A67E1">
        <w:t>(</w:t>
      </w:r>
      <w:r w:rsidR="00264959" w:rsidRPr="00264959">
        <w:rPr>
          <w:rStyle w:val="Hyperlink"/>
        </w:rPr>
        <w:t>https://uncdb.unece.org/app/ext/meeting-registration?id=9R3OG8</w:t>
      </w:r>
      <w:r w:rsidR="005A67E1">
        <w:t>)</w:t>
      </w:r>
      <w:r w:rsidR="005A67E1">
        <w:rPr>
          <w:color w:val="000000"/>
          <w:szCs w:val="18"/>
        </w:rPr>
        <w:t xml:space="preserve">. Upon arrival at the Palais des Nations, delegates should obtain an identification badge at the UNOG Security and Safety Section, located at the </w:t>
      </w:r>
      <w:proofErr w:type="spellStart"/>
      <w:r w:rsidR="005A67E1">
        <w:rPr>
          <w:color w:val="000000"/>
          <w:szCs w:val="18"/>
        </w:rPr>
        <w:t>Pregny</w:t>
      </w:r>
      <w:proofErr w:type="spellEnd"/>
      <w:r w:rsidR="005A67E1">
        <w:rPr>
          <w:color w:val="000000"/>
          <w:szCs w:val="18"/>
        </w:rPr>
        <w:t xml:space="preserve"> Gate (14, Avenue de la </w:t>
      </w:r>
      <w:proofErr w:type="spellStart"/>
      <w:r w:rsidR="005A67E1">
        <w:rPr>
          <w:color w:val="000000"/>
          <w:szCs w:val="18"/>
        </w:rPr>
        <w:t>Paix</w:t>
      </w:r>
      <w:proofErr w:type="spellEnd"/>
      <w:r w:rsidR="005A67E1">
        <w:rPr>
          <w:color w:val="000000"/>
          <w:szCs w:val="18"/>
        </w:rPr>
        <w:t xml:space="preserve">).  In case of difficulty, please contact the secretariat by telephone (ext. 72106).  For a map of the Palais des Nations and other useful information, see </w:t>
      </w:r>
      <w:r w:rsidR="002A7C0E" w:rsidRPr="002A7C0E">
        <w:t>https://www.unog.ch/80256EDD006B8954/(httpAssets)/88FFDD768F055AECC1256F2A0052A3CC/$file/Palais+des+Nations+map.pdf</w:t>
      </w:r>
    </w:p>
  </w:footnote>
  <w:footnote w:id="5">
    <w:p w14:paraId="6954A04E" w14:textId="77777777" w:rsidR="005D7E4F" w:rsidRPr="00283442" w:rsidRDefault="005D7E4F" w:rsidP="005D7E4F">
      <w:pPr>
        <w:pStyle w:val="FootnoteText"/>
        <w:spacing w:line="200" w:lineRule="exact"/>
      </w:pPr>
      <w:r>
        <w:tab/>
      </w:r>
      <w:r w:rsidRPr="00553330">
        <w:rPr>
          <w:rStyle w:val="FootnoteReference"/>
          <w:sz w:val="20"/>
        </w:rPr>
        <w:footnoteRef/>
      </w:r>
      <w:r>
        <w:t xml:space="preserve"> </w:t>
      </w:r>
      <w:r>
        <w:tab/>
      </w:r>
      <w:r w:rsidRPr="00554224">
        <w:t xml:space="preserve">Participants in the work of the GHS Sub-Committee who are not normally involved in the work of the TDG Sub-Committee are invited to participate in sessions of the TDG Sub-Committee when the TDG Sub-Committee is acting as GHS focal point on physical hazards </w:t>
      </w:r>
      <w:r w:rsidRPr="00B9105A">
        <w:t>(see ST/SG/AC.10/C.4/2, par</w:t>
      </w:r>
      <w:r>
        <w:t>agraph </w:t>
      </w:r>
      <w:r w:rsidRPr="00B9105A">
        <w:t>43</w:t>
      </w:r>
      <w:r>
        <w:t> </w:t>
      </w:r>
      <w:r w:rsidRPr="00B9105A">
        <w:t>(b)). At its fifty-</w:t>
      </w:r>
      <w:r w:rsidR="0045122C">
        <w:t>fifth</w:t>
      </w:r>
      <w:r w:rsidR="0045122C" w:rsidRPr="00B9105A">
        <w:t xml:space="preserve"> </w:t>
      </w:r>
      <w:r w:rsidRPr="00B9105A">
        <w:t>session</w:t>
      </w:r>
      <w:r>
        <w:t xml:space="preserve"> (</w:t>
      </w:r>
      <w:r w:rsidR="0045122C">
        <w:t>1-5 July 2019</w:t>
      </w:r>
      <w:r>
        <w:t>)</w:t>
      </w:r>
      <w:r w:rsidRPr="00B9105A">
        <w:t xml:space="preserve">, the TDG Sub-Committee will consider issues relating to the GHS </w:t>
      </w:r>
      <w:r w:rsidRPr="00B95BB2">
        <w:t xml:space="preserve">under item </w:t>
      </w:r>
      <w:r w:rsidR="0045122C">
        <w:t>10</w:t>
      </w:r>
      <w:r w:rsidR="0045122C" w:rsidRPr="00B95BB2">
        <w:t xml:space="preserve"> </w:t>
      </w:r>
      <w:r w:rsidRPr="00B95BB2">
        <w:t>of its provisional</w:t>
      </w:r>
      <w:r w:rsidRPr="00B9105A">
        <w:t xml:space="preserve"> agenda (see</w:t>
      </w:r>
      <w:r>
        <w:t> </w:t>
      </w:r>
      <w:r w:rsidRPr="00B9105A">
        <w:t>ST/SG/AC.10/C.3/</w:t>
      </w:r>
      <w:r w:rsidR="0045122C">
        <w:t>109</w:t>
      </w:r>
      <w:r w:rsidR="0045122C" w:rsidRPr="00B9105A">
        <w:t xml:space="preserve"> </w:t>
      </w:r>
      <w:r w:rsidRPr="00B9105A">
        <w:t>for more details). GHS Sub-Committee delegates interested in participating in the work of the TDG Sub-Committee on these issues should register for both sessions.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178A" w14:textId="77777777" w:rsidR="005D7E4F" w:rsidRPr="005D7E4F" w:rsidRDefault="005D7E4F">
    <w:pPr>
      <w:pStyle w:val="Header"/>
    </w:pPr>
    <w:r>
      <w:t>ST/SG/AC.10/C.4/7</w:t>
    </w:r>
    <w:r w:rsidR="00AB6F1A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0B56" w14:textId="77777777" w:rsidR="005D7E4F" w:rsidRPr="005D7E4F" w:rsidRDefault="005D7E4F" w:rsidP="005D7E4F">
    <w:pPr>
      <w:pStyle w:val="Header"/>
      <w:jc w:val="right"/>
    </w:pPr>
    <w:r>
      <w:t>ST/SG/AC.10/C.4/71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4F"/>
    <w:rsid w:val="00050F6B"/>
    <w:rsid w:val="00057FD8"/>
    <w:rsid w:val="00072C8C"/>
    <w:rsid w:val="00091419"/>
    <w:rsid w:val="000931C0"/>
    <w:rsid w:val="000A01DA"/>
    <w:rsid w:val="000B175B"/>
    <w:rsid w:val="000B3A0F"/>
    <w:rsid w:val="000E0415"/>
    <w:rsid w:val="0011582C"/>
    <w:rsid w:val="00117787"/>
    <w:rsid w:val="00131D42"/>
    <w:rsid w:val="001633FB"/>
    <w:rsid w:val="001B4B04"/>
    <w:rsid w:val="001C6663"/>
    <w:rsid w:val="001C7895"/>
    <w:rsid w:val="001D26DF"/>
    <w:rsid w:val="001D2FDC"/>
    <w:rsid w:val="00211E0B"/>
    <w:rsid w:val="002125C2"/>
    <w:rsid w:val="002309A7"/>
    <w:rsid w:val="00237785"/>
    <w:rsid w:val="00241466"/>
    <w:rsid w:val="00264959"/>
    <w:rsid w:val="002725CA"/>
    <w:rsid w:val="00280EB7"/>
    <w:rsid w:val="002A7C0E"/>
    <w:rsid w:val="002B1CDA"/>
    <w:rsid w:val="003107FA"/>
    <w:rsid w:val="003229D8"/>
    <w:rsid w:val="0032774F"/>
    <w:rsid w:val="0039277A"/>
    <w:rsid w:val="003972E0"/>
    <w:rsid w:val="003C2CC4"/>
    <w:rsid w:val="003D4B23"/>
    <w:rsid w:val="004325CB"/>
    <w:rsid w:val="00437F3F"/>
    <w:rsid w:val="00446DE4"/>
    <w:rsid w:val="0045122C"/>
    <w:rsid w:val="00475A6F"/>
    <w:rsid w:val="004B2C9D"/>
    <w:rsid w:val="004D14F6"/>
    <w:rsid w:val="00526BC4"/>
    <w:rsid w:val="00527910"/>
    <w:rsid w:val="005420F2"/>
    <w:rsid w:val="00590144"/>
    <w:rsid w:val="005A67E1"/>
    <w:rsid w:val="005B3DB3"/>
    <w:rsid w:val="005D7E4F"/>
    <w:rsid w:val="00611FC4"/>
    <w:rsid w:val="006176FB"/>
    <w:rsid w:val="0063419C"/>
    <w:rsid w:val="00640B26"/>
    <w:rsid w:val="006A7392"/>
    <w:rsid w:val="006C0D34"/>
    <w:rsid w:val="006E564B"/>
    <w:rsid w:val="006F4CE9"/>
    <w:rsid w:val="0072632A"/>
    <w:rsid w:val="00767292"/>
    <w:rsid w:val="00790791"/>
    <w:rsid w:val="007B6BA5"/>
    <w:rsid w:val="007C3390"/>
    <w:rsid w:val="007C4F4B"/>
    <w:rsid w:val="007E224F"/>
    <w:rsid w:val="007F6611"/>
    <w:rsid w:val="008175E9"/>
    <w:rsid w:val="008242D7"/>
    <w:rsid w:val="00871FD5"/>
    <w:rsid w:val="008979B1"/>
    <w:rsid w:val="008A6B25"/>
    <w:rsid w:val="008A6C4F"/>
    <w:rsid w:val="008E0E46"/>
    <w:rsid w:val="008E5D15"/>
    <w:rsid w:val="00945A5D"/>
    <w:rsid w:val="00963CBA"/>
    <w:rsid w:val="0099124E"/>
    <w:rsid w:val="00991261"/>
    <w:rsid w:val="0099386C"/>
    <w:rsid w:val="009D7007"/>
    <w:rsid w:val="009F0F06"/>
    <w:rsid w:val="00A1427D"/>
    <w:rsid w:val="00A56BA9"/>
    <w:rsid w:val="00A72F22"/>
    <w:rsid w:val="00A748A6"/>
    <w:rsid w:val="00A75EC9"/>
    <w:rsid w:val="00A81FD3"/>
    <w:rsid w:val="00A879A4"/>
    <w:rsid w:val="00AB6F1A"/>
    <w:rsid w:val="00AD3F06"/>
    <w:rsid w:val="00B30179"/>
    <w:rsid w:val="00B3317B"/>
    <w:rsid w:val="00B605E2"/>
    <w:rsid w:val="00B81E12"/>
    <w:rsid w:val="00B93068"/>
    <w:rsid w:val="00BC74E9"/>
    <w:rsid w:val="00BE618E"/>
    <w:rsid w:val="00C463DD"/>
    <w:rsid w:val="00C62F76"/>
    <w:rsid w:val="00C745C3"/>
    <w:rsid w:val="00CD2FD5"/>
    <w:rsid w:val="00CE4A8F"/>
    <w:rsid w:val="00CF5DB3"/>
    <w:rsid w:val="00D2031B"/>
    <w:rsid w:val="00D25FE2"/>
    <w:rsid w:val="00D43252"/>
    <w:rsid w:val="00D753D8"/>
    <w:rsid w:val="00D938FE"/>
    <w:rsid w:val="00D96CC5"/>
    <w:rsid w:val="00D978C6"/>
    <w:rsid w:val="00DA67AD"/>
    <w:rsid w:val="00E130AB"/>
    <w:rsid w:val="00E52455"/>
    <w:rsid w:val="00E5644E"/>
    <w:rsid w:val="00E7260F"/>
    <w:rsid w:val="00E8535A"/>
    <w:rsid w:val="00E96630"/>
    <w:rsid w:val="00EA772F"/>
    <w:rsid w:val="00EB6832"/>
    <w:rsid w:val="00ED7A2A"/>
    <w:rsid w:val="00EF1D7F"/>
    <w:rsid w:val="00F177C0"/>
    <w:rsid w:val="00F40E75"/>
    <w:rsid w:val="00F535EC"/>
    <w:rsid w:val="00F54674"/>
    <w:rsid w:val="00FC68B7"/>
    <w:rsid w:val="00FD6B2B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302C78"/>
  <w15:docId w15:val="{61338D2F-7D02-4655-AA5E-ABF42C35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D7E4F"/>
    <w:rPr>
      <w:sz w:val="18"/>
      <w:lang w:eastAsia="en-US"/>
    </w:rPr>
  </w:style>
  <w:style w:type="paragraph" w:styleId="BalloonText">
    <w:name w:val="Balloon Text"/>
    <w:basedOn w:val="Normal"/>
    <w:link w:val="BalloonTextChar"/>
    <w:rsid w:val="006F4C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4C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dgdb/dgsubc4/c4ag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ST_SG\AC10_C4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AC10_C4_E</Template>
  <TotalTime>2</TotalTime>
  <Pages>2</Pages>
  <Words>252</Words>
  <Characters>1457</Characters>
  <Application>Microsoft Office Word</Application>
  <DocSecurity>0</DocSecurity>
  <Lines>49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Editorial</dc:creator>
  <cp:lastModifiedBy>Laurence Berthet</cp:lastModifiedBy>
  <cp:revision>4</cp:revision>
  <cp:lastPrinted>2019-02-28T13:15:00Z</cp:lastPrinted>
  <dcterms:created xsi:type="dcterms:W3CDTF">2019-02-20T14:34:00Z</dcterms:created>
  <dcterms:modified xsi:type="dcterms:W3CDTF">2019-02-28T13:15:00Z</dcterms:modified>
</cp:coreProperties>
</file>