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F7789D" w:rsidTr="00F01738">
        <w:trPr>
          <w:trHeight w:hRule="exact" w:val="851"/>
        </w:trPr>
        <w:tc>
          <w:tcPr>
            <w:tcW w:w="1276" w:type="dxa"/>
            <w:tcBorders>
              <w:bottom w:val="single" w:sz="4" w:space="0" w:color="auto"/>
            </w:tcBorders>
          </w:tcPr>
          <w:p w:rsidR="00132EA9" w:rsidRPr="00DB58B5" w:rsidRDefault="00132EA9" w:rsidP="00F7789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F7789D" w:rsidRDefault="00F7789D" w:rsidP="00F7789D">
            <w:pPr>
              <w:jc w:val="right"/>
              <w:rPr>
                <w:lang w:val="en-US"/>
              </w:rPr>
            </w:pPr>
            <w:r w:rsidRPr="00F7789D">
              <w:rPr>
                <w:sz w:val="40"/>
                <w:lang w:val="en-US"/>
              </w:rPr>
              <w:t>ST</w:t>
            </w:r>
            <w:r w:rsidRPr="00F7789D">
              <w:rPr>
                <w:lang w:val="en-US"/>
              </w:rPr>
              <w:t>/SG/AC.10/C.4/69/Add.1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7789D" w:rsidP="00F01738">
            <w:pPr>
              <w:spacing w:before="240"/>
            </w:pPr>
            <w:proofErr w:type="spellStart"/>
            <w:r>
              <w:t>Distr</w:t>
            </w:r>
            <w:proofErr w:type="spellEnd"/>
            <w:r>
              <w:t xml:space="preserve">. </w:t>
            </w:r>
            <w:proofErr w:type="gramStart"/>
            <w:r>
              <w:t>générale</w:t>
            </w:r>
            <w:proofErr w:type="gramEnd"/>
          </w:p>
          <w:p w:rsidR="00F7789D" w:rsidRDefault="00F7789D" w:rsidP="00F7789D">
            <w:pPr>
              <w:spacing w:line="240" w:lineRule="exact"/>
            </w:pPr>
            <w:r>
              <w:t>25 avril 2018</w:t>
            </w:r>
          </w:p>
          <w:p w:rsidR="00F7789D" w:rsidRDefault="00F7789D" w:rsidP="00F7789D">
            <w:pPr>
              <w:spacing w:line="240" w:lineRule="exact"/>
            </w:pPr>
            <w:r>
              <w:t>Français</w:t>
            </w:r>
          </w:p>
          <w:p w:rsidR="00F7789D" w:rsidRPr="00DB58B5" w:rsidRDefault="00F7789D" w:rsidP="00F7789D">
            <w:pPr>
              <w:spacing w:line="240" w:lineRule="exact"/>
            </w:pPr>
            <w:r>
              <w:t>Original : anglais</w:t>
            </w:r>
          </w:p>
        </w:tc>
      </w:tr>
    </w:tbl>
    <w:p w:rsidR="00F7789D" w:rsidRPr="00F7789D" w:rsidRDefault="00F7789D" w:rsidP="00DF38C1">
      <w:pPr>
        <w:spacing w:before="120" w:after="120"/>
        <w:rPr>
          <w:b/>
          <w:sz w:val="24"/>
          <w:szCs w:val="24"/>
        </w:rPr>
      </w:pPr>
      <w:r w:rsidRPr="00F7789D">
        <w:rPr>
          <w:b/>
          <w:sz w:val="24"/>
          <w:szCs w:val="24"/>
        </w:rPr>
        <w:t>Comité d’experts du transpo</w:t>
      </w:r>
      <w:r>
        <w:rPr>
          <w:b/>
          <w:sz w:val="24"/>
          <w:szCs w:val="24"/>
        </w:rPr>
        <w:t>rt des marchandises dangereuses</w:t>
      </w:r>
      <w:r>
        <w:rPr>
          <w:b/>
          <w:sz w:val="24"/>
          <w:szCs w:val="24"/>
        </w:rPr>
        <w:br/>
      </w:r>
      <w:r w:rsidRPr="00F7789D">
        <w:rPr>
          <w:b/>
          <w:sz w:val="24"/>
          <w:szCs w:val="24"/>
        </w:rPr>
        <w:t>et du Système général harmonisé de c</w:t>
      </w:r>
      <w:r>
        <w:rPr>
          <w:b/>
          <w:sz w:val="24"/>
          <w:szCs w:val="24"/>
        </w:rPr>
        <w:t>lassification</w:t>
      </w:r>
      <w:r>
        <w:rPr>
          <w:b/>
          <w:sz w:val="24"/>
          <w:szCs w:val="24"/>
        </w:rPr>
        <w:br/>
      </w:r>
      <w:r w:rsidRPr="00F7789D">
        <w:rPr>
          <w:b/>
          <w:sz w:val="24"/>
          <w:szCs w:val="24"/>
        </w:rPr>
        <w:t xml:space="preserve">et d’étiquetage des produits chimiques </w:t>
      </w:r>
    </w:p>
    <w:p w:rsidR="00F7789D" w:rsidRPr="00F7789D" w:rsidRDefault="00F7789D" w:rsidP="00F7789D">
      <w:pPr>
        <w:spacing w:before="120" w:after="120"/>
        <w:rPr>
          <w:rFonts w:ascii="Helv" w:hAnsi="Helv" w:cs="Helv"/>
          <w:b/>
          <w:color w:val="000000"/>
        </w:rPr>
      </w:pPr>
      <w:r w:rsidRPr="00F7789D">
        <w:rPr>
          <w:b/>
        </w:rPr>
        <w:t>Sous-Comité d’exper</w:t>
      </w:r>
      <w:r>
        <w:rPr>
          <w:b/>
        </w:rPr>
        <w:t>ts du Système général harmonisé</w:t>
      </w:r>
      <w:r>
        <w:rPr>
          <w:b/>
        </w:rPr>
        <w:br/>
      </w:r>
      <w:r w:rsidRPr="00F7789D">
        <w:rPr>
          <w:b/>
        </w:rPr>
        <w:t>de classification et d’étiquetage des produits chimiques</w:t>
      </w:r>
    </w:p>
    <w:p w:rsidR="00F7789D" w:rsidRPr="00F7789D" w:rsidRDefault="00F7789D" w:rsidP="00F7789D">
      <w:pPr>
        <w:rPr>
          <w:b/>
        </w:rPr>
      </w:pPr>
      <w:r w:rsidRPr="00F7789D">
        <w:rPr>
          <w:b/>
          <w:bCs/>
        </w:rPr>
        <w:t>Trente-cinquième session</w:t>
      </w:r>
    </w:p>
    <w:p w:rsidR="00F7789D" w:rsidRPr="00F7789D" w:rsidRDefault="00F7789D" w:rsidP="00F7789D">
      <w:r w:rsidRPr="00F7789D">
        <w:t>Genève, 4-6 juillet 2018</w:t>
      </w:r>
    </w:p>
    <w:p w:rsidR="00F7789D" w:rsidRPr="00F7789D" w:rsidRDefault="00F7789D" w:rsidP="00F7789D">
      <w:r w:rsidRPr="00F7789D">
        <w:t>Point 1 de l’ordre du jour provisoire</w:t>
      </w:r>
    </w:p>
    <w:p w:rsidR="00F7789D" w:rsidRPr="00F7789D" w:rsidRDefault="00F7789D" w:rsidP="00F7789D">
      <w:pPr>
        <w:rPr>
          <w:b/>
        </w:rPr>
      </w:pPr>
      <w:r w:rsidRPr="00F7789D">
        <w:rPr>
          <w:b/>
        </w:rPr>
        <w:t>Adoption de l’ordre du jour</w:t>
      </w:r>
    </w:p>
    <w:p w:rsidR="00F7789D" w:rsidRPr="00F7789D" w:rsidRDefault="00F7789D" w:rsidP="00F7789D">
      <w:pPr>
        <w:pStyle w:val="HChG"/>
      </w:pPr>
      <w:r w:rsidRPr="00F7789D">
        <w:tab/>
      </w:r>
      <w:r w:rsidRPr="00F7789D">
        <w:tab/>
        <w:t>Ordre du jour provisoire de la trente-cinquième session</w:t>
      </w:r>
    </w:p>
    <w:p w:rsidR="00F7789D" w:rsidRPr="00F7789D" w:rsidRDefault="00F7789D" w:rsidP="00F7789D">
      <w:pPr>
        <w:pStyle w:val="H23G"/>
      </w:pPr>
      <w:r w:rsidRPr="00F7789D">
        <w:tab/>
      </w:r>
      <w:r w:rsidRPr="00F7789D">
        <w:tab/>
        <w:t>Additif</w:t>
      </w:r>
    </w:p>
    <w:p w:rsidR="00F7789D" w:rsidRPr="00F7789D" w:rsidRDefault="00F7789D" w:rsidP="00F7789D">
      <w:pPr>
        <w:pStyle w:val="H1G"/>
      </w:pPr>
      <w:r w:rsidRPr="00F7789D">
        <w:tab/>
      </w:r>
      <w:r w:rsidRPr="00F7789D">
        <w:tab/>
        <w:t>Liste des documents et annotations</w:t>
      </w:r>
    </w:p>
    <w:p w:rsidR="00F7789D" w:rsidRDefault="00F7789D" w:rsidP="00F7789D">
      <w:pPr>
        <w:pStyle w:val="H1G"/>
      </w:pPr>
      <w:r w:rsidRPr="00F7789D">
        <w:tab/>
        <w:t>1.</w:t>
      </w:r>
      <w:r w:rsidRPr="00F7789D">
        <w:tab/>
        <w:t>Adoption de l’ordre du jour</w:t>
      </w:r>
    </w:p>
    <w:tbl>
      <w:tblPr>
        <w:tblW w:w="8505" w:type="dxa"/>
        <w:tblInd w:w="1134" w:type="dxa"/>
        <w:tblCellMar>
          <w:left w:w="0" w:type="dxa"/>
          <w:right w:w="0" w:type="dxa"/>
        </w:tblCellMar>
        <w:tblLook w:val="01E0" w:firstRow="1" w:lastRow="1" w:firstColumn="1" w:lastColumn="1" w:noHBand="0" w:noVBand="0"/>
      </w:tblPr>
      <w:tblGrid>
        <w:gridCol w:w="3402"/>
        <w:gridCol w:w="5103"/>
      </w:tblGrid>
      <w:tr w:rsidR="00F7789D" w:rsidRPr="00F7789D" w:rsidTr="00DD512A">
        <w:tc>
          <w:tcPr>
            <w:tcW w:w="3402" w:type="dxa"/>
            <w:shd w:val="clear" w:color="auto" w:fill="auto"/>
          </w:tcPr>
          <w:p w:rsidR="00F7789D" w:rsidRPr="00F7789D" w:rsidRDefault="00F7789D" w:rsidP="00F7789D">
            <w:pPr>
              <w:spacing w:after="120"/>
            </w:pPr>
            <w:r w:rsidRPr="00F7789D">
              <w:t>ST/SG/AC.10/C.4/69</w:t>
            </w:r>
          </w:p>
        </w:tc>
        <w:tc>
          <w:tcPr>
            <w:tcW w:w="5103" w:type="dxa"/>
            <w:shd w:val="clear" w:color="auto" w:fill="auto"/>
          </w:tcPr>
          <w:p w:rsidR="00F7789D" w:rsidRPr="00F7789D" w:rsidRDefault="00F7789D" w:rsidP="00F7789D">
            <w:pPr>
              <w:spacing w:after="120"/>
            </w:pPr>
            <w:r w:rsidRPr="00F7789D">
              <w:t>Ordre du jour provisoire de la trente-cinquième session</w:t>
            </w:r>
          </w:p>
        </w:tc>
      </w:tr>
      <w:tr w:rsidR="00F7789D" w:rsidRPr="00F7789D" w:rsidTr="00DD512A">
        <w:tc>
          <w:tcPr>
            <w:tcW w:w="3402" w:type="dxa"/>
            <w:shd w:val="clear" w:color="auto" w:fill="auto"/>
          </w:tcPr>
          <w:p w:rsidR="00F7789D" w:rsidRPr="00F7789D" w:rsidRDefault="00F7789D" w:rsidP="00F7789D">
            <w:pPr>
              <w:spacing w:after="120"/>
              <w:rPr>
                <w:lang w:val="en-US"/>
              </w:rPr>
            </w:pPr>
            <w:r w:rsidRPr="00F7789D">
              <w:rPr>
                <w:lang w:val="en-US"/>
              </w:rPr>
              <w:t>ST/SG/AC.10/C.4/69/Add.1</w:t>
            </w:r>
          </w:p>
        </w:tc>
        <w:tc>
          <w:tcPr>
            <w:tcW w:w="5103" w:type="dxa"/>
            <w:shd w:val="clear" w:color="auto" w:fill="auto"/>
          </w:tcPr>
          <w:p w:rsidR="00F7789D" w:rsidRPr="00F7789D" w:rsidRDefault="00F7789D" w:rsidP="00F7789D">
            <w:pPr>
              <w:spacing w:after="120"/>
            </w:pPr>
            <w:r w:rsidRPr="00F7789D">
              <w:t>Liste des documents et annotations</w:t>
            </w:r>
          </w:p>
        </w:tc>
      </w:tr>
    </w:tbl>
    <w:p w:rsidR="00F7789D" w:rsidRPr="00F7789D" w:rsidRDefault="00F7789D" w:rsidP="00F7789D">
      <w:pPr>
        <w:pStyle w:val="H23G"/>
      </w:pPr>
      <w:r w:rsidRPr="00F7789D">
        <w:tab/>
      </w:r>
      <w:r w:rsidRPr="00F7789D">
        <w:tab/>
        <w:t>Documents de référence (secrétariat)</w:t>
      </w:r>
    </w:p>
    <w:tbl>
      <w:tblPr>
        <w:tblW w:w="8505" w:type="dxa"/>
        <w:tblInd w:w="1134" w:type="dxa"/>
        <w:tblCellMar>
          <w:left w:w="0" w:type="dxa"/>
          <w:right w:w="0" w:type="dxa"/>
        </w:tblCellMar>
        <w:tblLook w:val="01E0" w:firstRow="1" w:lastRow="1" w:firstColumn="1" w:lastColumn="1" w:noHBand="0" w:noVBand="0"/>
      </w:tblPr>
      <w:tblGrid>
        <w:gridCol w:w="3402"/>
        <w:gridCol w:w="5103"/>
      </w:tblGrid>
      <w:tr w:rsidR="00F7789D" w:rsidRPr="00F7789D" w:rsidTr="00DD512A">
        <w:tc>
          <w:tcPr>
            <w:tcW w:w="3402" w:type="dxa"/>
            <w:shd w:val="clear" w:color="auto" w:fill="auto"/>
          </w:tcPr>
          <w:p w:rsidR="00F7789D" w:rsidRPr="00F7789D" w:rsidRDefault="00F7789D" w:rsidP="00B9123D">
            <w:pPr>
              <w:spacing w:after="120"/>
            </w:pPr>
            <w:r w:rsidRPr="00F7789D">
              <w:t>ST/SG/AC.10/30/Rev.7</w:t>
            </w:r>
          </w:p>
        </w:tc>
        <w:tc>
          <w:tcPr>
            <w:tcW w:w="5103" w:type="dxa"/>
            <w:shd w:val="clear" w:color="auto" w:fill="auto"/>
          </w:tcPr>
          <w:p w:rsidR="00F7789D" w:rsidRPr="00F7789D" w:rsidRDefault="00F7789D" w:rsidP="00B9123D">
            <w:pPr>
              <w:spacing w:after="120"/>
            </w:pPr>
            <w:r w:rsidRPr="00F7789D">
              <w:t>Système général harmonisé de classification et d’étiquetage des produits chimiques (SGH), septième édition révisée</w:t>
            </w:r>
          </w:p>
        </w:tc>
      </w:tr>
      <w:tr w:rsidR="00F7789D" w:rsidRPr="00F7789D" w:rsidTr="00DD512A">
        <w:tc>
          <w:tcPr>
            <w:tcW w:w="3402" w:type="dxa"/>
            <w:shd w:val="clear" w:color="auto" w:fill="auto"/>
          </w:tcPr>
          <w:p w:rsidR="00F7789D" w:rsidRPr="00F7789D" w:rsidRDefault="00F7789D" w:rsidP="00B9123D">
            <w:pPr>
              <w:spacing w:after="120"/>
            </w:pPr>
            <w:r w:rsidRPr="00F7789D">
              <w:t>ST/SG/AC.10/1/Rev.20</w:t>
            </w:r>
          </w:p>
        </w:tc>
        <w:tc>
          <w:tcPr>
            <w:tcW w:w="5103" w:type="dxa"/>
            <w:shd w:val="clear" w:color="auto" w:fill="auto"/>
          </w:tcPr>
          <w:p w:rsidR="00F7789D" w:rsidRPr="00F7789D" w:rsidRDefault="00F7789D" w:rsidP="00B9123D">
            <w:pPr>
              <w:spacing w:after="120"/>
            </w:pPr>
            <w:r w:rsidRPr="00F7789D">
              <w:t>Recommandations relatives au transport des marchandises dangereuses, Règlement type, vingtième édition révisée</w:t>
            </w:r>
          </w:p>
        </w:tc>
      </w:tr>
      <w:tr w:rsidR="00F7789D" w:rsidRPr="00F7789D" w:rsidTr="00DD512A">
        <w:tc>
          <w:tcPr>
            <w:tcW w:w="3402" w:type="dxa"/>
            <w:shd w:val="clear" w:color="auto" w:fill="auto"/>
          </w:tcPr>
          <w:p w:rsidR="00F7789D" w:rsidRPr="00F7789D" w:rsidRDefault="00F7789D" w:rsidP="00B9123D">
            <w:pPr>
              <w:spacing w:after="120"/>
              <w:rPr>
                <w:lang w:val="en-US"/>
              </w:rPr>
            </w:pPr>
            <w:r w:rsidRPr="00F7789D">
              <w:rPr>
                <w:lang w:val="en-US"/>
              </w:rPr>
              <w:t>ST/SG/AC.10/11/Rev.6 et</w:t>
            </w:r>
            <w:r w:rsidR="00DD512A">
              <w:rPr>
                <w:lang w:val="en-US"/>
              </w:rPr>
              <w:t xml:space="preserve"> </w:t>
            </w:r>
            <w:r w:rsidRPr="00F7789D">
              <w:rPr>
                <w:lang w:val="en-US"/>
              </w:rPr>
              <w:t>Amend.1</w:t>
            </w:r>
          </w:p>
        </w:tc>
        <w:tc>
          <w:tcPr>
            <w:tcW w:w="5103" w:type="dxa"/>
            <w:shd w:val="clear" w:color="auto" w:fill="auto"/>
          </w:tcPr>
          <w:p w:rsidR="00F7789D" w:rsidRPr="00F7789D" w:rsidRDefault="00F7789D" w:rsidP="00B9123D">
            <w:pPr>
              <w:spacing w:after="120"/>
            </w:pPr>
            <w:r w:rsidRPr="00F7789D">
              <w:t xml:space="preserve">Recommandations relatives au transport des marchandises dangereuses, Manuel d’épreuves et de critères, sixième édition révisée telle que modifiée </w:t>
            </w:r>
          </w:p>
        </w:tc>
      </w:tr>
      <w:tr w:rsidR="00F7789D" w:rsidRPr="00F7789D" w:rsidTr="00DD512A">
        <w:tc>
          <w:tcPr>
            <w:tcW w:w="3402" w:type="dxa"/>
            <w:shd w:val="clear" w:color="auto" w:fill="auto"/>
          </w:tcPr>
          <w:p w:rsidR="00F7789D" w:rsidRPr="00F7789D" w:rsidRDefault="00F7789D" w:rsidP="00B9123D">
            <w:pPr>
              <w:spacing w:after="120"/>
            </w:pPr>
            <w:r w:rsidRPr="00F7789D">
              <w:t>ST/SG/AC.10/C.3/104 et Add.1</w:t>
            </w:r>
          </w:p>
        </w:tc>
        <w:tc>
          <w:tcPr>
            <w:tcW w:w="5103" w:type="dxa"/>
            <w:shd w:val="clear" w:color="auto" w:fill="auto"/>
          </w:tcPr>
          <w:p w:rsidR="00F7789D" w:rsidRPr="00F7789D" w:rsidRDefault="00F7789D" w:rsidP="00B9123D">
            <w:pPr>
              <w:spacing w:after="120"/>
            </w:pPr>
            <w:r w:rsidRPr="00F7789D">
              <w:t>Rapport du Sous-Comité d’experts du transport des marchandises dangereuses sur sa cinquante-deuxième session</w:t>
            </w:r>
          </w:p>
        </w:tc>
      </w:tr>
      <w:tr w:rsidR="00F7789D" w:rsidRPr="00F7789D" w:rsidTr="00DD512A">
        <w:tc>
          <w:tcPr>
            <w:tcW w:w="3402" w:type="dxa"/>
            <w:shd w:val="clear" w:color="auto" w:fill="auto"/>
          </w:tcPr>
          <w:p w:rsidR="00F7789D" w:rsidRPr="00F7789D" w:rsidRDefault="00F7789D" w:rsidP="00B9123D">
            <w:pPr>
              <w:spacing w:after="120"/>
            </w:pPr>
            <w:r w:rsidRPr="00F7789D">
              <w:t>ST/SG/AC.10/C.4/68</w:t>
            </w:r>
          </w:p>
        </w:tc>
        <w:tc>
          <w:tcPr>
            <w:tcW w:w="5103" w:type="dxa"/>
            <w:shd w:val="clear" w:color="auto" w:fill="auto"/>
          </w:tcPr>
          <w:p w:rsidR="00F7789D" w:rsidRPr="00F7789D" w:rsidRDefault="00F7789D" w:rsidP="00B9123D">
            <w:pPr>
              <w:spacing w:after="120"/>
            </w:pPr>
            <w:r w:rsidRPr="00F7789D">
              <w:t>Rapport du Sous-Comité d’experts du Système général harmonisé de classification et d’étiquetage des produits chimiques sur sa trente-quatrième session</w:t>
            </w:r>
          </w:p>
        </w:tc>
      </w:tr>
    </w:tbl>
    <w:p w:rsidR="00F7789D" w:rsidRPr="00F7789D" w:rsidRDefault="00F7789D" w:rsidP="00F7789D">
      <w:pPr>
        <w:pStyle w:val="H1G"/>
      </w:pPr>
      <w:r w:rsidRPr="00F7789D">
        <w:lastRenderedPageBreak/>
        <w:tab/>
        <w:t>2.</w:t>
      </w:r>
      <w:r w:rsidRPr="00F7789D">
        <w:tab/>
        <w:t>Travaux à mener conjointement avec le Sous-Comité d’</w:t>
      </w:r>
      <w:r>
        <w:t>experts</w:t>
      </w:r>
      <w:r>
        <w:br/>
      </w:r>
      <w:r w:rsidRPr="00F7789D">
        <w:t>du transport des marchandises dangereuses (Sous-Comité TMD)</w:t>
      </w:r>
    </w:p>
    <w:p w:rsidR="00F7789D" w:rsidRPr="00F7789D" w:rsidRDefault="00F7789D" w:rsidP="00DF38C1">
      <w:pPr>
        <w:pStyle w:val="SingleTxtG"/>
        <w:ind w:firstLine="567"/>
        <w:rPr>
          <w:rFonts w:eastAsia="MS Mincho"/>
          <w:lang w:eastAsia="ja-JP"/>
        </w:rPr>
      </w:pPr>
      <w:r w:rsidRPr="00F7789D">
        <w:rPr>
          <w:rFonts w:eastAsia="MS Mincho"/>
          <w:lang w:eastAsia="ja-JP"/>
        </w:rPr>
        <w:t>Au moment de la rédaction du présent rapport, les documents suivants intéressant les deux Sous-Comité avaient été soumis aux fins de leur examen au cours de la session conjointe le jeudi 3</w:t>
      </w:r>
      <w:r>
        <w:rPr>
          <w:rFonts w:eastAsia="MS Mincho"/>
          <w:lang w:eastAsia="ja-JP"/>
        </w:rPr>
        <w:t> </w:t>
      </w:r>
      <w:r w:rsidRPr="00F7789D">
        <w:rPr>
          <w:rFonts w:eastAsia="MS Mincho"/>
          <w:lang w:eastAsia="ja-JP"/>
        </w:rPr>
        <w:t>juillet 2018 dans l’après-midi.</w:t>
      </w:r>
    </w:p>
    <w:tbl>
      <w:tblPr>
        <w:tblW w:w="8505" w:type="dxa"/>
        <w:tblInd w:w="1134" w:type="dxa"/>
        <w:tblCellMar>
          <w:left w:w="0" w:type="dxa"/>
          <w:right w:w="0" w:type="dxa"/>
        </w:tblCellMar>
        <w:tblLook w:val="01E0" w:firstRow="1" w:lastRow="1" w:firstColumn="1" w:lastColumn="1" w:noHBand="0" w:noVBand="0"/>
      </w:tblPr>
      <w:tblGrid>
        <w:gridCol w:w="3402"/>
        <w:gridCol w:w="5103"/>
      </w:tblGrid>
      <w:tr w:rsidR="00F7789D" w:rsidRPr="00F7789D" w:rsidTr="00E36C19">
        <w:tc>
          <w:tcPr>
            <w:tcW w:w="3402" w:type="dxa"/>
            <w:shd w:val="clear" w:color="auto" w:fill="auto"/>
          </w:tcPr>
          <w:p w:rsidR="00F7789D" w:rsidRPr="00F7789D" w:rsidRDefault="00F7789D" w:rsidP="00F7789D">
            <w:pPr>
              <w:spacing w:after="120"/>
            </w:pPr>
            <w:r w:rsidRPr="00F7789D">
              <w:t>ST/SG/AC.10/C.4/2018/1 (Président du Groupe de travail des explosifs du Sous-Comité d’experts du transport des marchandises dangereuses (Sous-Comité TMD)</w:t>
            </w:r>
            <w:r w:rsidR="007B6669">
              <w:t>)</w:t>
            </w:r>
            <w:r w:rsidRPr="00F7789D">
              <w:t xml:space="preserve"> et documents informels INF.3, INF.4 et INF.5</w:t>
            </w:r>
          </w:p>
        </w:tc>
        <w:tc>
          <w:tcPr>
            <w:tcW w:w="5103" w:type="dxa"/>
            <w:shd w:val="clear" w:color="auto" w:fill="auto"/>
          </w:tcPr>
          <w:p w:rsidR="00F7789D" w:rsidRPr="00F7789D" w:rsidRDefault="00F7789D" w:rsidP="00F7789D">
            <w:pPr>
              <w:spacing w:after="120"/>
              <w:ind w:left="113"/>
            </w:pPr>
            <w:r w:rsidRPr="00F7789D">
              <w:t>Utilisation du Manuel d’épreuves et de critères dans le contexte du Système général harmonisé de classification et d’étiquetage des produits chimiques (SGH)</w:t>
            </w:r>
            <w:r w:rsidR="00040430" w:rsidRPr="00DD512A">
              <w:rPr>
                <w:rStyle w:val="FootnoteReference"/>
              </w:rPr>
              <w:footnoteReference w:id="2"/>
            </w:r>
          </w:p>
        </w:tc>
      </w:tr>
      <w:tr w:rsidR="00F7789D" w:rsidRPr="00F7789D" w:rsidTr="00E36C19">
        <w:tc>
          <w:tcPr>
            <w:tcW w:w="3402" w:type="dxa"/>
            <w:shd w:val="clear" w:color="auto" w:fill="auto"/>
          </w:tcPr>
          <w:p w:rsidR="00F7789D" w:rsidRPr="00F7789D" w:rsidRDefault="00F7789D" w:rsidP="00F7789D">
            <w:pPr>
              <w:spacing w:after="120"/>
              <w:rPr>
                <w:lang w:val="en-US"/>
              </w:rPr>
            </w:pPr>
            <w:r w:rsidRPr="00F7789D">
              <w:rPr>
                <w:lang w:val="en-US"/>
              </w:rPr>
              <w:t>ST/SG/AC.10/C.4/2018/2 (EIGA)</w:t>
            </w:r>
          </w:p>
        </w:tc>
        <w:tc>
          <w:tcPr>
            <w:tcW w:w="5103" w:type="dxa"/>
            <w:shd w:val="clear" w:color="auto" w:fill="auto"/>
          </w:tcPr>
          <w:p w:rsidR="00F7789D" w:rsidRPr="00F7789D" w:rsidRDefault="00F7789D" w:rsidP="00F7789D">
            <w:pPr>
              <w:spacing w:after="120"/>
              <w:ind w:left="113"/>
            </w:pPr>
            <w:r w:rsidRPr="00F7789D">
              <w:t>Mise à jour des renvois à la norme ISO 10156 dans le Règlement type et dans le Système général harmonisé de classification et d’étiquetage des produits chimiques (SGH)</w:t>
            </w:r>
          </w:p>
        </w:tc>
      </w:tr>
      <w:tr w:rsidR="00F7789D" w:rsidRPr="00F7789D" w:rsidTr="00E36C19">
        <w:tc>
          <w:tcPr>
            <w:tcW w:w="3402" w:type="dxa"/>
            <w:shd w:val="clear" w:color="auto" w:fill="auto"/>
          </w:tcPr>
          <w:p w:rsidR="00F7789D" w:rsidRPr="00F7789D" w:rsidRDefault="00F7789D" w:rsidP="00F7789D">
            <w:pPr>
              <w:spacing w:after="120"/>
              <w:rPr>
                <w:lang w:val="en-US"/>
              </w:rPr>
            </w:pPr>
            <w:r w:rsidRPr="00F7789D">
              <w:rPr>
                <w:lang w:val="en-US"/>
              </w:rPr>
              <w:t>ST/SG/AC.10/C.4/2018/3 (CEFIC, EIGA)</w:t>
            </w:r>
          </w:p>
        </w:tc>
        <w:tc>
          <w:tcPr>
            <w:tcW w:w="5103" w:type="dxa"/>
            <w:shd w:val="clear" w:color="auto" w:fill="auto"/>
          </w:tcPr>
          <w:p w:rsidR="00F7789D" w:rsidRPr="00F7789D" w:rsidRDefault="00F7789D" w:rsidP="00B9123D">
            <w:pPr>
              <w:spacing w:after="120"/>
              <w:ind w:left="113"/>
            </w:pPr>
            <w:r w:rsidRPr="00F7789D">
              <w:t>Proposition de classement des produits chimiques sous pression dans le chapitre</w:t>
            </w:r>
            <w:r w:rsidR="00B9123D">
              <w:t> </w:t>
            </w:r>
            <w:r w:rsidRPr="00F7789D">
              <w:t>2.3 du SGH</w:t>
            </w:r>
          </w:p>
        </w:tc>
      </w:tr>
      <w:tr w:rsidR="00F7789D" w:rsidRPr="00F7789D" w:rsidTr="00E36C19">
        <w:tc>
          <w:tcPr>
            <w:tcW w:w="3402" w:type="dxa"/>
            <w:shd w:val="clear" w:color="auto" w:fill="auto"/>
          </w:tcPr>
          <w:p w:rsidR="00F7789D" w:rsidRPr="00F7789D" w:rsidRDefault="00F7789D" w:rsidP="00F7789D">
            <w:pPr>
              <w:spacing w:after="120"/>
              <w:rPr>
                <w:lang w:val="en-US"/>
              </w:rPr>
            </w:pPr>
            <w:r w:rsidRPr="00F7789D">
              <w:rPr>
                <w:lang w:val="en-US"/>
              </w:rPr>
              <w:t>ST/SG/AC.10/C.4/2018/11 (FEA)</w:t>
            </w:r>
          </w:p>
        </w:tc>
        <w:tc>
          <w:tcPr>
            <w:tcW w:w="5103" w:type="dxa"/>
            <w:shd w:val="clear" w:color="auto" w:fill="auto"/>
          </w:tcPr>
          <w:p w:rsidR="00F7789D" w:rsidRPr="00F7789D" w:rsidRDefault="00F7789D" w:rsidP="00DD512A">
            <w:pPr>
              <w:spacing w:after="120"/>
              <w:ind w:left="113"/>
            </w:pPr>
            <w:r w:rsidRPr="00F7789D">
              <w:t>Aé</w:t>
            </w:r>
            <w:r w:rsidR="00DD512A">
              <w:t>rosols − </w:t>
            </w:r>
            <w:r w:rsidRPr="00F7789D">
              <w:t xml:space="preserve">Amendements découlant des propositions figurant dans les documents ST/SG/AC.10/C.3/2018/5 </w:t>
            </w:r>
            <w:r>
              <w:t>-</w:t>
            </w:r>
            <w:r w:rsidRPr="00F7789D">
              <w:t xml:space="preserve"> ST/SG/AC.10/C.4/2018/3 et ST/SG/AC.10/C.4/2018/9</w:t>
            </w:r>
          </w:p>
        </w:tc>
      </w:tr>
      <w:tr w:rsidR="00F7789D" w:rsidRPr="00F7789D" w:rsidTr="00E36C19">
        <w:tc>
          <w:tcPr>
            <w:tcW w:w="3402" w:type="dxa"/>
            <w:shd w:val="clear" w:color="auto" w:fill="auto"/>
          </w:tcPr>
          <w:p w:rsidR="00F7789D" w:rsidRPr="00F7789D" w:rsidRDefault="00F7789D" w:rsidP="00F7789D">
            <w:pPr>
              <w:spacing w:after="120"/>
            </w:pPr>
            <w:r w:rsidRPr="00F7789D">
              <w:t>ST/SG/AC.10/C.3/2018/30</w:t>
            </w:r>
            <w:r w:rsidR="00040430" w:rsidRPr="00F7789D">
              <w:rPr>
                <w:rStyle w:val="FootnoteReference"/>
              </w:rPr>
              <w:footnoteReference w:id="3"/>
            </w:r>
            <w:r w:rsidRPr="00F7789D">
              <w:t xml:space="preserve"> (Union</w:t>
            </w:r>
            <w:r w:rsidR="007B6669">
              <w:t> </w:t>
            </w:r>
            <w:r w:rsidRPr="00F7789D">
              <w:t>Européenne)</w:t>
            </w:r>
          </w:p>
        </w:tc>
        <w:tc>
          <w:tcPr>
            <w:tcW w:w="5103" w:type="dxa"/>
            <w:shd w:val="clear" w:color="auto" w:fill="auto"/>
          </w:tcPr>
          <w:p w:rsidR="00F7789D" w:rsidRPr="00F7789D" w:rsidRDefault="00F7789D" w:rsidP="00F7789D">
            <w:pPr>
              <w:spacing w:after="120"/>
              <w:ind w:left="113"/>
            </w:pPr>
            <w:r w:rsidRPr="00F7789D">
              <w:t>Ligne directrice 431 révisée de l’OCDE devant permettre l’utilisation de sous-catégories pour la corrosion cutanée</w:t>
            </w:r>
          </w:p>
        </w:tc>
      </w:tr>
      <w:tr w:rsidR="00F7789D" w:rsidRPr="00F7789D" w:rsidTr="00E36C19">
        <w:tc>
          <w:tcPr>
            <w:tcW w:w="3402" w:type="dxa"/>
            <w:shd w:val="clear" w:color="auto" w:fill="auto"/>
          </w:tcPr>
          <w:p w:rsidR="00F7789D" w:rsidRPr="00F7789D" w:rsidRDefault="00F7789D" w:rsidP="00F7789D">
            <w:pPr>
              <w:spacing w:after="120"/>
            </w:pPr>
            <w:r w:rsidRPr="00F7789D">
              <w:t>Document informel</w:t>
            </w:r>
            <w:r w:rsidR="007B6669">
              <w:t xml:space="preserve"> INF.6 (CEFIC, </w:t>
            </w:r>
            <w:r w:rsidRPr="00F7789D">
              <w:t>WONIPA)</w:t>
            </w:r>
          </w:p>
        </w:tc>
        <w:tc>
          <w:tcPr>
            <w:tcW w:w="5103" w:type="dxa"/>
            <w:shd w:val="clear" w:color="auto" w:fill="auto"/>
          </w:tcPr>
          <w:p w:rsidR="00F7789D" w:rsidRPr="00F7789D" w:rsidRDefault="00F7789D" w:rsidP="00F7789D">
            <w:pPr>
              <w:spacing w:after="120"/>
              <w:ind w:left="113"/>
            </w:pPr>
            <w:r w:rsidRPr="00F7789D">
              <w:t>Classement des explosifs désensibilisés aux fins de la distribution et de l’utilisation conformément aux rés</w:t>
            </w:r>
            <w:r w:rsidR="00DD512A">
              <w:t>ultats des épreuves du chapitre </w:t>
            </w:r>
            <w:r w:rsidRPr="00F7789D">
              <w:t>2.17 du SGH applicables à la nitrocellulose industrielle</w:t>
            </w:r>
          </w:p>
        </w:tc>
      </w:tr>
    </w:tbl>
    <w:p w:rsidR="00F7789D" w:rsidRPr="00F7789D" w:rsidRDefault="00F7789D" w:rsidP="00F7789D">
      <w:pPr>
        <w:pStyle w:val="H1G"/>
      </w:pPr>
      <w:r w:rsidRPr="00F7789D">
        <w:tab/>
        <w:t>3.</w:t>
      </w:r>
      <w:r w:rsidRPr="00F7789D">
        <w:tab/>
        <w:t>Critères de classification et communication des dangers y relatifs</w:t>
      </w:r>
    </w:p>
    <w:p w:rsidR="00F7789D" w:rsidRPr="00F7789D" w:rsidRDefault="00F7789D" w:rsidP="00F7789D">
      <w:pPr>
        <w:pStyle w:val="H23G"/>
      </w:pPr>
      <w:r w:rsidRPr="00F7789D">
        <w:tab/>
        <w:t>a)</w:t>
      </w:r>
      <w:r w:rsidRPr="00F7789D">
        <w:tab/>
        <w:t>Travaux du Sous-Comité TMD sur des questions intéressant le Sous-Comité SGH</w:t>
      </w:r>
    </w:p>
    <w:p w:rsidR="00F7789D" w:rsidRPr="00F7789D" w:rsidRDefault="00F7789D" w:rsidP="00F7789D">
      <w:pPr>
        <w:pStyle w:val="SingleTxtG"/>
        <w:ind w:firstLine="567"/>
        <w:rPr>
          <w:lang w:eastAsia="ja-JP"/>
        </w:rPr>
      </w:pPr>
      <w:r w:rsidRPr="00F7789D">
        <w:rPr>
          <w:lang w:eastAsia="ja-JP"/>
        </w:rPr>
        <w:t>Au moment de la rédaction du présent document, le document ci-après intéressant le Sous-Comité avait été soumis pour examen par le Sous-Comité TMD, en tant que coordonnateur pour les dangers physiques, à sa cinquante-troisième session, au titre du point 10 de son ordre du jour provisoire</w:t>
      </w:r>
      <w:r w:rsidR="00040430" w:rsidRPr="00F7789D">
        <w:rPr>
          <w:sz w:val="18"/>
          <w:vertAlign w:val="superscript"/>
        </w:rPr>
        <w:footnoteReference w:id="4"/>
      </w:r>
      <w:r w:rsidRPr="00F7789D">
        <w:rPr>
          <w:lang w:eastAsia="ja-JP"/>
        </w:rPr>
        <w:t>:</w:t>
      </w:r>
    </w:p>
    <w:tbl>
      <w:tblPr>
        <w:tblW w:w="8505" w:type="dxa"/>
        <w:tblInd w:w="1134" w:type="dxa"/>
        <w:tblCellMar>
          <w:left w:w="0" w:type="dxa"/>
          <w:right w:w="0" w:type="dxa"/>
        </w:tblCellMar>
        <w:tblLook w:val="01E0" w:firstRow="1" w:lastRow="1" w:firstColumn="1" w:lastColumn="1" w:noHBand="0" w:noVBand="0"/>
      </w:tblPr>
      <w:tblGrid>
        <w:gridCol w:w="3402"/>
        <w:gridCol w:w="5103"/>
      </w:tblGrid>
      <w:tr w:rsidR="00F7789D" w:rsidRPr="00F7789D" w:rsidTr="00E36C19">
        <w:tc>
          <w:tcPr>
            <w:tcW w:w="3402" w:type="dxa"/>
            <w:shd w:val="clear" w:color="auto" w:fill="auto"/>
          </w:tcPr>
          <w:p w:rsidR="00F7789D" w:rsidRPr="00F7789D" w:rsidDel="00A44F4F" w:rsidRDefault="00F7789D" w:rsidP="00F7789D">
            <w:pPr>
              <w:spacing w:after="120"/>
              <w:rPr>
                <w:lang w:val="en-US"/>
              </w:rPr>
            </w:pPr>
            <w:r w:rsidRPr="00F7789D">
              <w:rPr>
                <w:lang w:val="en-US"/>
              </w:rPr>
              <w:t>ST/SG/AC.10/C.4/2018/8 (France)</w:t>
            </w:r>
          </w:p>
        </w:tc>
        <w:tc>
          <w:tcPr>
            <w:tcW w:w="5103" w:type="dxa"/>
            <w:shd w:val="clear" w:color="auto" w:fill="auto"/>
          </w:tcPr>
          <w:p w:rsidR="00F7789D" w:rsidRPr="00F7789D" w:rsidDel="00A44F4F" w:rsidRDefault="00F7789D" w:rsidP="00DD512A">
            <w:pPr>
              <w:spacing w:after="120"/>
              <w:ind w:left="113"/>
            </w:pPr>
            <w:r w:rsidRPr="00F7789D">
              <w:t>Épreuves pour les matières liquides comburantes (épreuve</w:t>
            </w:r>
            <w:r w:rsidR="00DD512A">
              <w:t> </w:t>
            </w:r>
            <w:r w:rsidRPr="00F7789D">
              <w:t>O.2) et les matières solides comburantes (épreuves</w:t>
            </w:r>
            <w:r w:rsidR="00DD512A">
              <w:t> </w:t>
            </w:r>
            <w:r w:rsidRPr="00F7789D">
              <w:t>O.1 et O.3)</w:t>
            </w:r>
            <w:r w:rsidR="00DD512A">
              <w:t> </w:t>
            </w:r>
            <w:r w:rsidRPr="00F7789D">
              <w:t>: Amendements corollaires aux descriptifs des épreuves à la suite du remplacement de la cellulose</w:t>
            </w:r>
          </w:p>
        </w:tc>
      </w:tr>
    </w:tbl>
    <w:p w:rsidR="00F7789D" w:rsidRPr="00F7789D" w:rsidRDefault="00F7789D" w:rsidP="00DD512A">
      <w:pPr>
        <w:pStyle w:val="SingleTxtG"/>
        <w:keepNext/>
        <w:keepLines/>
        <w:spacing w:before="120"/>
        <w:ind w:firstLine="567"/>
        <w:rPr>
          <w:lang w:eastAsia="ja-JP"/>
        </w:rPr>
      </w:pPr>
      <w:r w:rsidRPr="00F7789D">
        <w:rPr>
          <w:lang w:eastAsia="ja-JP"/>
        </w:rPr>
        <w:lastRenderedPageBreak/>
        <w:t>Les explosifs et questions connexes seront examinés par le Sous-Comité TMD au titre du point</w:t>
      </w:r>
      <w:r>
        <w:rPr>
          <w:lang w:eastAsia="ja-JP"/>
        </w:rPr>
        <w:t> </w:t>
      </w:r>
      <w:r w:rsidRPr="00F7789D">
        <w:rPr>
          <w:lang w:eastAsia="ja-JP"/>
        </w:rPr>
        <w:t xml:space="preserve">2 de son ordre du jour provisoire. Il est probable que l’examen des documents soumis au titre de ce point sera confié au Groupe de travail des explosifs, qui devrait se réunir en parallèle. </w:t>
      </w:r>
    </w:p>
    <w:p w:rsidR="00F7789D" w:rsidRPr="00F7789D" w:rsidRDefault="00F7789D" w:rsidP="00F7789D">
      <w:pPr>
        <w:pStyle w:val="SingleTxtG"/>
        <w:ind w:firstLine="567"/>
        <w:rPr>
          <w:lang w:eastAsia="ja-JP"/>
        </w:rPr>
      </w:pPr>
      <w:r w:rsidRPr="00F7789D">
        <w:rPr>
          <w:lang w:eastAsia="ja-JP"/>
        </w:rPr>
        <w:t>Le Sous-Comité sera tenu au courant des résultats des discussions ayant eu lieu au sein du Sous-Comité TMD sur toutes les questions l’intéressant.</w:t>
      </w:r>
    </w:p>
    <w:p w:rsidR="00F7789D" w:rsidRPr="00F7789D" w:rsidRDefault="00F7789D" w:rsidP="00F7789D">
      <w:pPr>
        <w:pStyle w:val="H23G"/>
        <w:rPr>
          <w:lang w:eastAsia="ja-JP"/>
        </w:rPr>
      </w:pPr>
      <w:r w:rsidRPr="00F7789D">
        <w:rPr>
          <w:lang w:eastAsia="ja-JP"/>
        </w:rPr>
        <w:tab/>
        <w:t>b)</w:t>
      </w:r>
      <w:r w:rsidRPr="00F7789D">
        <w:rPr>
          <w:lang w:eastAsia="ja-JP"/>
        </w:rPr>
        <w:tab/>
        <w:t>Révision du chapitre 2.1</w:t>
      </w:r>
    </w:p>
    <w:tbl>
      <w:tblPr>
        <w:tblW w:w="8505" w:type="dxa"/>
        <w:tblInd w:w="1134" w:type="dxa"/>
        <w:tblCellMar>
          <w:left w:w="0" w:type="dxa"/>
          <w:right w:w="0" w:type="dxa"/>
        </w:tblCellMar>
        <w:tblLook w:val="01E0" w:firstRow="1" w:lastRow="1" w:firstColumn="1" w:lastColumn="1" w:noHBand="0" w:noVBand="0"/>
      </w:tblPr>
      <w:tblGrid>
        <w:gridCol w:w="3402"/>
        <w:gridCol w:w="5103"/>
      </w:tblGrid>
      <w:tr w:rsidR="00F7789D" w:rsidRPr="00F7789D" w:rsidTr="00E36C19">
        <w:tc>
          <w:tcPr>
            <w:tcW w:w="3402" w:type="dxa"/>
            <w:shd w:val="clear" w:color="auto" w:fill="auto"/>
          </w:tcPr>
          <w:p w:rsidR="00F7789D" w:rsidRPr="00F7789D" w:rsidDel="00A44F4F" w:rsidRDefault="00F7789D" w:rsidP="00F7789D">
            <w:pPr>
              <w:spacing w:before="120" w:after="120"/>
              <w:rPr>
                <w:lang w:val="en-US"/>
              </w:rPr>
            </w:pPr>
            <w:r w:rsidRPr="00F7789D">
              <w:rPr>
                <w:lang w:val="en-US"/>
              </w:rPr>
              <w:t>ST/SG/AC.10/C.4/2018/7 (</w:t>
            </w:r>
            <w:proofErr w:type="spellStart"/>
            <w:r w:rsidRPr="00F7789D">
              <w:rPr>
                <w:lang w:val="en-US"/>
              </w:rPr>
              <w:t>Suède</w:t>
            </w:r>
            <w:proofErr w:type="spellEnd"/>
            <w:r w:rsidRPr="00F7789D">
              <w:rPr>
                <w:lang w:val="en-US"/>
              </w:rPr>
              <w:t>)</w:t>
            </w:r>
          </w:p>
        </w:tc>
        <w:tc>
          <w:tcPr>
            <w:tcW w:w="5103" w:type="dxa"/>
            <w:shd w:val="clear" w:color="auto" w:fill="auto"/>
          </w:tcPr>
          <w:p w:rsidR="00F7789D" w:rsidRPr="00F7789D" w:rsidDel="00A44F4F" w:rsidRDefault="00F7789D" w:rsidP="00F7789D">
            <w:pPr>
              <w:spacing w:after="120"/>
              <w:ind w:left="113"/>
            </w:pPr>
            <w:r w:rsidRPr="00F7789D">
              <w:t xml:space="preserve">Présentation du projet d’éventuel nouveau système de classification des matières et objets explosifs dans le SGH </w:t>
            </w:r>
          </w:p>
        </w:tc>
      </w:tr>
    </w:tbl>
    <w:p w:rsidR="00F7789D" w:rsidRPr="00F7789D" w:rsidRDefault="00F7789D" w:rsidP="00F7789D">
      <w:pPr>
        <w:pStyle w:val="H23G"/>
        <w:rPr>
          <w:lang w:eastAsia="ja-JP"/>
        </w:rPr>
      </w:pPr>
      <w:r w:rsidRPr="00F7789D">
        <w:rPr>
          <w:lang w:eastAsia="ja-JP"/>
        </w:rPr>
        <w:tab/>
        <w:t>c)</w:t>
      </w:r>
      <w:r w:rsidRPr="00F7789D">
        <w:rPr>
          <w:lang w:eastAsia="ja-JP"/>
        </w:rPr>
        <w:tab/>
        <w:t>Danger d’explosion de poussières</w:t>
      </w:r>
    </w:p>
    <w:p w:rsidR="00F7789D" w:rsidRPr="00F7789D" w:rsidRDefault="00F7789D" w:rsidP="00F7789D">
      <w:pPr>
        <w:pStyle w:val="SingleTxtG"/>
        <w:ind w:firstLine="567"/>
        <w:rPr>
          <w:rFonts w:eastAsia="MS Mincho"/>
          <w:lang w:eastAsia="ja-JP"/>
        </w:rPr>
      </w:pPr>
      <w:r w:rsidRPr="00F7789D">
        <w:rPr>
          <w:rFonts w:eastAsia="MS Mincho"/>
          <w:lang w:eastAsia="ja-JP"/>
        </w:rPr>
        <w:t>Aucun document n’avait été soumis au titre de ce point de l’ordre du jour au moment de la rédaction du présent document.</w:t>
      </w:r>
    </w:p>
    <w:p w:rsidR="00F7789D" w:rsidRPr="00F7789D" w:rsidRDefault="00F7789D" w:rsidP="00F7789D">
      <w:pPr>
        <w:pStyle w:val="H23G"/>
        <w:rPr>
          <w:lang w:eastAsia="ja-JP"/>
        </w:rPr>
      </w:pPr>
      <w:r w:rsidRPr="00F7789D">
        <w:rPr>
          <w:lang w:eastAsia="ja-JP"/>
        </w:rPr>
        <w:tab/>
        <w:t>d)</w:t>
      </w:r>
      <w:r w:rsidRPr="00F7789D">
        <w:rPr>
          <w:lang w:eastAsia="ja-JP"/>
        </w:rPr>
        <w:tab/>
        <w:t xml:space="preserve">Utilisation de méthodes d’expérimentation </w:t>
      </w:r>
      <w:r w:rsidR="00EE3679">
        <w:rPr>
          <w:lang w:eastAsia="ja-JP"/>
        </w:rPr>
        <w:t>non animales pour le classement</w:t>
      </w:r>
      <w:r w:rsidR="00EE3679">
        <w:rPr>
          <w:lang w:eastAsia="ja-JP"/>
        </w:rPr>
        <w:br/>
      </w:r>
      <w:r w:rsidRPr="00F7789D">
        <w:rPr>
          <w:lang w:eastAsia="ja-JP"/>
        </w:rPr>
        <w:t>des dangers pour la santé</w:t>
      </w:r>
    </w:p>
    <w:p w:rsidR="00F7789D" w:rsidRPr="00F7789D" w:rsidRDefault="00F7789D" w:rsidP="00F7789D">
      <w:pPr>
        <w:pStyle w:val="SingleTxtG"/>
        <w:ind w:firstLine="567"/>
        <w:rPr>
          <w:rFonts w:eastAsia="MS Mincho"/>
          <w:lang w:eastAsia="ja-JP"/>
        </w:rPr>
      </w:pPr>
      <w:r w:rsidRPr="00F7789D">
        <w:rPr>
          <w:rFonts w:eastAsia="MS Mincho"/>
          <w:lang w:eastAsia="ja-JP"/>
        </w:rPr>
        <w:t>Les experts des Pays-Bas et du Royaume-Uni souhaiteront sans doute informer le Sous-Comité de l’état d’avancement des travaux du groupe de travail informel par correspondance chargé de l’utilisation de méthodes d’expérimentation non animales aux fins du classement des dangers pour la santé depuis la dernière session. Pour en savoir plus, on consultera le rapport du Sous-Comité sur sa trente-quatrième session (ST/SG/AC.10/C.4/68, par.</w:t>
      </w:r>
      <w:r w:rsidR="00DD512A">
        <w:rPr>
          <w:rFonts w:eastAsia="MS Mincho"/>
          <w:lang w:eastAsia="ja-JP"/>
        </w:rPr>
        <w:t> </w:t>
      </w:r>
      <w:r w:rsidRPr="00F7789D">
        <w:rPr>
          <w:rFonts w:eastAsia="MS Mincho"/>
          <w:lang w:eastAsia="ja-JP"/>
        </w:rPr>
        <w:t>21 à 24).</w:t>
      </w:r>
    </w:p>
    <w:p w:rsidR="00F7789D" w:rsidRPr="00F7789D" w:rsidRDefault="00F7789D" w:rsidP="00F7789D">
      <w:pPr>
        <w:pStyle w:val="H23G"/>
        <w:rPr>
          <w:lang w:eastAsia="ja-JP"/>
        </w:rPr>
      </w:pPr>
      <w:r w:rsidRPr="00F7789D">
        <w:rPr>
          <w:lang w:eastAsia="ja-JP"/>
        </w:rPr>
        <w:tab/>
        <w:t>e)</w:t>
      </w:r>
      <w:r w:rsidRPr="00F7789D">
        <w:rPr>
          <w:lang w:eastAsia="ja-JP"/>
        </w:rPr>
        <w:tab/>
        <w:t>Questions pratiques de classification</w:t>
      </w:r>
    </w:p>
    <w:p w:rsidR="00F7789D" w:rsidRPr="00F7789D" w:rsidRDefault="00F7789D" w:rsidP="00F7789D">
      <w:pPr>
        <w:pStyle w:val="SingleTxtG"/>
        <w:ind w:firstLine="567"/>
        <w:rPr>
          <w:rFonts w:eastAsia="MS Mincho"/>
          <w:lang w:eastAsia="ja-JP"/>
        </w:rPr>
      </w:pPr>
      <w:r w:rsidRPr="00F7789D">
        <w:rPr>
          <w:rFonts w:eastAsia="MS Mincho"/>
          <w:lang w:eastAsia="ja-JP"/>
        </w:rPr>
        <w:t>L’expert des États-Unis d’Amérique souhaitera sans doute informer le Sous-Comité de l’état d’avancement des travaux du groupe de travail informel par correspondance chargé des questions pratiques de classification depuis la dernière session. Pour en savoir plus, on consultera le rapport du Sous-Comité sur sa trente-quatrième session (ST/SG/AC.10/C.4/68, par.</w:t>
      </w:r>
      <w:r w:rsidR="00DD512A">
        <w:rPr>
          <w:rFonts w:eastAsia="MS Mincho"/>
          <w:lang w:eastAsia="ja-JP"/>
        </w:rPr>
        <w:t> </w:t>
      </w:r>
      <w:r w:rsidRPr="00F7789D">
        <w:rPr>
          <w:rFonts w:eastAsia="MS Mincho"/>
          <w:lang w:eastAsia="ja-JP"/>
        </w:rPr>
        <w:t>25 à 29).</w:t>
      </w:r>
      <w:r w:rsidRPr="00F7789D" w:rsidDel="006654DB">
        <w:rPr>
          <w:rFonts w:eastAsia="MS Mincho"/>
          <w:lang w:eastAsia="ja-JP"/>
        </w:rPr>
        <w:t xml:space="preserve"> </w:t>
      </w:r>
    </w:p>
    <w:p w:rsidR="00F7789D" w:rsidRPr="00F7789D" w:rsidRDefault="00F7789D" w:rsidP="00F7789D">
      <w:pPr>
        <w:pStyle w:val="H23G"/>
        <w:rPr>
          <w:lang w:eastAsia="ja-JP"/>
        </w:rPr>
      </w:pPr>
      <w:r w:rsidRPr="00F7789D">
        <w:rPr>
          <w:lang w:eastAsia="ja-JP"/>
        </w:rPr>
        <w:tab/>
        <w:t>f)</w:t>
      </w:r>
      <w:r w:rsidRPr="00F7789D">
        <w:rPr>
          <w:lang w:eastAsia="ja-JP"/>
        </w:rPr>
        <w:tab/>
        <w:t xml:space="preserve">Danger par aspiration </w:t>
      </w:r>
    </w:p>
    <w:p w:rsidR="00F7789D" w:rsidRPr="00F7789D" w:rsidRDefault="00F7789D" w:rsidP="00F7789D">
      <w:pPr>
        <w:pStyle w:val="SingleTxtG"/>
        <w:ind w:firstLine="567"/>
        <w:rPr>
          <w:rFonts w:eastAsia="MS Mincho"/>
          <w:lang w:eastAsia="ja-JP"/>
        </w:rPr>
      </w:pPr>
      <w:r w:rsidRPr="00F7789D">
        <w:rPr>
          <w:rFonts w:eastAsia="MS Mincho"/>
          <w:lang w:eastAsia="ja-JP"/>
        </w:rPr>
        <w:t>Les représentants de l’International Paint and Printing Ink Council (IPPIC) et de l’Organisation maritime internationale (OMI) souhaiteront sans doute informer le Sous</w:t>
      </w:r>
      <w:r w:rsidR="00EE3679">
        <w:rPr>
          <w:rFonts w:eastAsia="MS Mincho"/>
          <w:lang w:eastAsia="ja-JP"/>
        </w:rPr>
        <w:noBreakHyphen/>
      </w:r>
      <w:r w:rsidRPr="00F7789D">
        <w:rPr>
          <w:rFonts w:eastAsia="MS Mincho"/>
          <w:lang w:eastAsia="ja-JP"/>
        </w:rPr>
        <w:t>Comité de l’état d’avancement des travaux sur cette question depuis la dernière session. Pour en savoir plus, on consultera le rapport du Sous-Comité sur sa trente-quatrième session (ST/SG/AC.10/C.4/68, par.</w:t>
      </w:r>
      <w:r w:rsidR="00DD512A">
        <w:rPr>
          <w:rFonts w:eastAsia="MS Mincho"/>
          <w:lang w:eastAsia="ja-JP"/>
        </w:rPr>
        <w:t> </w:t>
      </w:r>
      <w:r w:rsidRPr="00F7789D">
        <w:rPr>
          <w:rFonts w:eastAsia="MS Mincho"/>
          <w:lang w:eastAsia="ja-JP"/>
        </w:rPr>
        <w:t>30).</w:t>
      </w:r>
    </w:p>
    <w:p w:rsidR="00F7789D" w:rsidRPr="00F7789D" w:rsidRDefault="00F7789D" w:rsidP="00F7789D">
      <w:pPr>
        <w:pStyle w:val="H23G"/>
        <w:rPr>
          <w:lang w:eastAsia="ja-JP"/>
        </w:rPr>
      </w:pPr>
      <w:r w:rsidRPr="00F7789D">
        <w:rPr>
          <w:lang w:eastAsia="ja-JP"/>
        </w:rPr>
        <w:tab/>
        <w:t>g)</w:t>
      </w:r>
      <w:r w:rsidRPr="00F7789D">
        <w:rPr>
          <w:lang w:eastAsia="ja-JP"/>
        </w:rPr>
        <w:tab/>
        <w:t>Nanomatériaux</w:t>
      </w:r>
    </w:p>
    <w:p w:rsidR="00F7789D" w:rsidRPr="00F7789D" w:rsidRDefault="00F7789D" w:rsidP="00F7789D">
      <w:pPr>
        <w:pStyle w:val="SingleTxtG"/>
        <w:ind w:firstLine="567"/>
        <w:rPr>
          <w:rFonts w:eastAsia="MS Mincho"/>
          <w:lang w:eastAsia="ja-JP"/>
        </w:rPr>
      </w:pPr>
      <w:r w:rsidRPr="00F7789D">
        <w:rPr>
          <w:rFonts w:eastAsia="MS Mincho"/>
          <w:lang w:eastAsia="ja-JP"/>
        </w:rPr>
        <w:t>L’expert de la France souhaitera sans doute informer le Sous-Comité de l’état d’avancement des travaux du groupe de travail informel par correspondance chargé des nanomatériaux. Pour en savoir plus, on consultera le rapport du Sous-Comité sur sa trente</w:t>
      </w:r>
      <w:r w:rsidR="00EE3679">
        <w:rPr>
          <w:rFonts w:eastAsia="MS Mincho"/>
          <w:lang w:eastAsia="ja-JP"/>
        </w:rPr>
        <w:noBreakHyphen/>
      </w:r>
      <w:r w:rsidRPr="00F7789D">
        <w:rPr>
          <w:rFonts w:eastAsia="MS Mincho"/>
          <w:lang w:eastAsia="ja-JP"/>
        </w:rPr>
        <w:t>quatrième session (ST/SG/AC.10/C.4/68, par.</w:t>
      </w:r>
      <w:r w:rsidR="00DD512A">
        <w:rPr>
          <w:rFonts w:eastAsia="MS Mincho"/>
          <w:lang w:eastAsia="ja-JP"/>
        </w:rPr>
        <w:t> </w:t>
      </w:r>
      <w:r w:rsidRPr="00F7789D">
        <w:rPr>
          <w:rFonts w:eastAsia="MS Mincho"/>
          <w:lang w:eastAsia="ja-JP"/>
        </w:rPr>
        <w:t>31).</w:t>
      </w:r>
    </w:p>
    <w:p w:rsidR="00F7789D" w:rsidRPr="00F7789D" w:rsidRDefault="00F7789D" w:rsidP="00F7789D">
      <w:pPr>
        <w:pStyle w:val="H23G"/>
        <w:rPr>
          <w:lang w:eastAsia="ja-JP"/>
        </w:rPr>
      </w:pPr>
      <w:r w:rsidRPr="00F7789D">
        <w:rPr>
          <w:lang w:eastAsia="ja-JP"/>
        </w:rPr>
        <w:tab/>
        <w:t>h)</w:t>
      </w:r>
      <w:r w:rsidRPr="00F7789D">
        <w:rPr>
          <w:lang w:eastAsia="ja-JP"/>
        </w:rPr>
        <w:tab/>
        <w:t>Autres questions</w:t>
      </w:r>
    </w:p>
    <w:tbl>
      <w:tblPr>
        <w:tblW w:w="8505" w:type="dxa"/>
        <w:tblInd w:w="1134" w:type="dxa"/>
        <w:tblCellMar>
          <w:left w:w="0" w:type="dxa"/>
          <w:right w:w="0" w:type="dxa"/>
        </w:tblCellMar>
        <w:tblLook w:val="04A0" w:firstRow="1" w:lastRow="0" w:firstColumn="1" w:lastColumn="0" w:noHBand="0" w:noVBand="1"/>
      </w:tblPr>
      <w:tblGrid>
        <w:gridCol w:w="3402"/>
        <w:gridCol w:w="5103"/>
      </w:tblGrid>
      <w:tr w:rsidR="00F7789D" w:rsidRPr="00F7789D" w:rsidTr="00E36C19">
        <w:trPr>
          <w:trHeight w:val="70"/>
        </w:trPr>
        <w:tc>
          <w:tcPr>
            <w:tcW w:w="3402" w:type="dxa"/>
            <w:shd w:val="clear" w:color="auto" w:fill="auto"/>
          </w:tcPr>
          <w:p w:rsidR="00F7789D" w:rsidRPr="00F7789D" w:rsidRDefault="00F7789D" w:rsidP="00F7789D">
            <w:pPr>
              <w:spacing w:after="120"/>
              <w:rPr>
                <w:lang w:val="en-US"/>
              </w:rPr>
            </w:pPr>
            <w:r w:rsidRPr="00F7789D">
              <w:rPr>
                <w:lang w:val="en-US"/>
              </w:rPr>
              <w:t>ST/SG/AC.10/C.4/2018/9 (Canada, FEA)</w:t>
            </w:r>
          </w:p>
        </w:tc>
        <w:tc>
          <w:tcPr>
            <w:tcW w:w="5103" w:type="dxa"/>
            <w:shd w:val="clear" w:color="auto" w:fill="auto"/>
          </w:tcPr>
          <w:p w:rsidR="00F7789D" w:rsidRPr="00F7789D" w:rsidRDefault="00F7789D" w:rsidP="00F7789D">
            <w:pPr>
              <w:spacing w:after="120"/>
              <w:ind w:left="113"/>
            </w:pPr>
            <w:r w:rsidRPr="00F7789D">
              <w:t>Propositions d’amendements au chapitre</w:t>
            </w:r>
            <w:r w:rsidR="00E36C19">
              <w:t> </w:t>
            </w:r>
            <w:r w:rsidRPr="00F7789D">
              <w:t>2.3 visant à convertir les diagrammes de décision en texte</w:t>
            </w:r>
          </w:p>
        </w:tc>
      </w:tr>
      <w:tr w:rsidR="00F7789D" w:rsidRPr="00F7789D" w:rsidTr="00E36C19">
        <w:trPr>
          <w:trHeight w:val="70"/>
        </w:trPr>
        <w:tc>
          <w:tcPr>
            <w:tcW w:w="3402" w:type="dxa"/>
            <w:shd w:val="clear" w:color="auto" w:fill="auto"/>
          </w:tcPr>
          <w:p w:rsidR="00F7789D" w:rsidRPr="00F7789D" w:rsidRDefault="00F7789D" w:rsidP="00F7789D">
            <w:pPr>
              <w:spacing w:after="120"/>
              <w:rPr>
                <w:lang w:val="en-US"/>
              </w:rPr>
            </w:pPr>
            <w:r w:rsidRPr="00F7789D">
              <w:rPr>
                <w:lang w:val="en-US"/>
              </w:rPr>
              <w:t>ST/SG/AC.10/C.4/2018/11 (FEA)</w:t>
            </w:r>
          </w:p>
        </w:tc>
        <w:tc>
          <w:tcPr>
            <w:tcW w:w="5103" w:type="dxa"/>
            <w:shd w:val="clear" w:color="auto" w:fill="auto"/>
          </w:tcPr>
          <w:p w:rsidR="00F7789D" w:rsidRPr="00F7789D" w:rsidRDefault="00F7789D" w:rsidP="00E36C19">
            <w:pPr>
              <w:spacing w:after="120"/>
              <w:ind w:left="113"/>
            </w:pPr>
            <w:r w:rsidRPr="00F7789D">
              <w:t>Aé</w:t>
            </w:r>
            <w:r w:rsidR="00E36C19">
              <w:t>rosols − </w:t>
            </w:r>
            <w:r w:rsidRPr="00F7789D">
              <w:t xml:space="preserve">Amendements découlant des propositions figurant dans les documents ST/SG/AC.10/C.3/2018/5 </w:t>
            </w:r>
            <w:r w:rsidR="00E36C19">
              <w:t>-</w:t>
            </w:r>
            <w:r w:rsidRPr="00F7789D">
              <w:t xml:space="preserve"> ST/SG/AC.10/C.4/2018/3 et ST/SG/AC.10/C.4/2018/9</w:t>
            </w:r>
          </w:p>
        </w:tc>
      </w:tr>
      <w:tr w:rsidR="00F7789D" w:rsidRPr="00F7789D" w:rsidTr="00E36C19">
        <w:trPr>
          <w:trHeight w:val="70"/>
        </w:trPr>
        <w:tc>
          <w:tcPr>
            <w:tcW w:w="3402" w:type="dxa"/>
            <w:shd w:val="clear" w:color="auto" w:fill="auto"/>
          </w:tcPr>
          <w:p w:rsidR="00F7789D" w:rsidRPr="00F7789D" w:rsidRDefault="00F7789D" w:rsidP="00F7789D">
            <w:pPr>
              <w:spacing w:after="120"/>
              <w:rPr>
                <w:lang w:val="en-US"/>
              </w:rPr>
            </w:pPr>
            <w:r w:rsidRPr="00F7789D">
              <w:rPr>
                <w:lang w:val="en-US"/>
              </w:rPr>
              <w:t>ST/SG/AC.10/C.4/2018/12 (</w:t>
            </w:r>
            <w:proofErr w:type="spellStart"/>
            <w:r w:rsidRPr="00F7789D">
              <w:rPr>
                <w:lang w:val="en-US"/>
              </w:rPr>
              <w:t>Suède</w:t>
            </w:r>
            <w:proofErr w:type="spellEnd"/>
            <w:r w:rsidRPr="00F7789D">
              <w:rPr>
                <w:lang w:val="en-US"/>
              </w:rPr>
              <w:t>)</w:t>
            </w:r>
          </w:p>
        </w:tc>
        <w:tc>
          <w:tcPr>
            <w:tcW w:w="5103" w:type="dxa"/>
            <w:shd w:val="clear" w:color="auto" w:fill="auto"/>
          </w:tcPr>
          <w:p w:rsidR="00F7789D" w:rsidRPr="00F7789D" w:rsidRDefault="00F7789D" w:rsidP="00EE3679">
            <w:pPr>
              <w:spacing w:after="120"/>
              <w:ind w:left="113"/>
            </w:pPr>
            <w:r w:rsidRPr="00F7789D">
              <w:t xml:space="preserve">Modification des </w:t>
            </w:r>
            <w:r w:rsidR="00E36C19">
              <w:t>directives données au chapitre </w:t>
            </w:r>
            <w:r w:rsidRPr="00F7789D">
              <w:t>2.3 concernant le calcul de la chaleur de combustion pour les préparations comprenant plusieurs composants</w:t>
            </w:r>
          </w:p>
        </w:tc>
      </w:tr>
    </w:tbl>
    <w:p w:rsidR="00F7789D" w:rsidRPr="00F7789D" w:rsidRDefault="00F7789D" w:rsidP="00F7789D">
      <w:pPr>
        <w:pStyle w:val="H1G"/>
      </w:pPr>
      <w:r w:rsidRPr="00F7789D">
        <w:lastRenderedPageBreak/>
        <w:tab/>
        <w:t>4.</w:t>
      </w:r>
      <w:r w:rsidRPr="00F7789D">
        <w:tab/>
        <w:t>Questions relatives à la communication des dangers</w:t>
      </w:r>
    </w:p>
    <w:p w:rsidR="00F7789D" w:rsidRPr="00F7789D" w:rsidRDefault="00F7789D" w:rsidP="00F7789D">
      <w:pPr>
        <w:pStyle w:val="H23G"/>
      </w:pPr>
      <w:r w:rsidRPr="00F7789D">
        <w:tab/>
        <w:t>a)</w:t>
      </w:r>
      <w:r w:rsidRPr="00F7789D">
        <w:tab/>
        <w:t>Étiquetage des petits emballages</w:t>
      </w:r>
    </w:p>
    <w:tbl>
      <w:tblPr>
        <w:tblW w:w="8505" w:type="dxa"/>
        <w:tblInd w:w="1134" w:type="dxa"/>
        <w:tblCellMar>
          <w:left w:w="0" w:type="dxa"/>
          <w:right w:w="0" w:type="dxa"/>
        </w:tblCellMar>
        <w:tblLook w:val="04A0" w:firstRow="1" w:lastRow="0" w:firstColumn="1" w:lastColumn="0" w:noHBand="0" w:noVBand="1"/>
      </w:tblPr>
      <w:tblGrid>
        <w:gridCol w:w="3402"/>
        <w:gridCol w:w="5103"/>
      </w:tblGrid>
      <w:tr w:rsidR="00F7789D" w:rsidRPr="00F7789D" w:rsidTr="00E36C19">
        <w:trPr>
          <w:trHeight w:val="70"/>
        </w:trPr>
        <w:tc>
          <w:tcPr>
            <w:tcW w:w="3402" w:type="dxa"/>
            <w:shd w:val="clear" w:color="auto" w:fill="auto"/>
          </w:tcPr>
          <w:p w:rsidR="00F7789D" w:rsidRPr="00F7789D" w:rsidRDefault="00F7789D" w:rsidP="00CA1B3B">
            <w:pPr>
              <w:spacing w:after="120"/>
              <w:rPr>
                <w:lang w:val="en-US"/>
              </w:rPr>
            </w:pPr>
            <w:r w:rsidRPr="00F7789D">
              <w:rPr>
                <w:lang w:val="en-US"/>
              </w:rPr>
              <w:t>ST/SG/AC.10/C.4/2018/10 (CEFIC)</w:t>
            </w:r>
          </w:p>
        </w:tc>
        <w:tc>
          <w:tcPr>
            <w:tcW w:w="5103" w:type="dxa"/>
            <w:shd w:val="clear" w:color="auto" w:fill="auto"/>
          </w:tcPr>
          <w:p w:rsidR="00F7789D" w:rsidRPr="00F7789D" w:rsidRDefault="00F7789D" w:rsidP="00CA1B3B">
            <w:pPr>
              <w:spacing w:after="120"/>
              <w:ind w:left="113"/>
            </w:pPr>
            <w:r w:rsidRPr="00F7789D">
              <w:t>Étiquetage des lots ou des coffrets</w:t>
            </w:r>
          </w:p>
        </w:tc>
      </w:tr>
    </w:tbl>
    <w:p w:rsidR="00F7789D" w:rsidRPr="00F7789D" w:rsidRDefault="00F7789D" w:rsidP="00F7789D">
      <w:pPr>
        <w:pStyle w:val="H23G"/>
      </w:pPr>
      <w:r w:rsidRPr="00F7789D">
        <w:tab/>
        <w:t>b)</w:t>
      </w:r>
      <w:r w:rsidRPr="00F7789D">
        <w:tab/>
        <w:t xml:space="preserve">Amélioration des annexes 1 à 3 et poursuite de </w:t>
      </w:r>
      <w:r w:rsidR="00DD512A">
        <w:t>la rationalisation des conseils</w:t>
      </w:r>
      <w:r w:rsidR="00DD512A">
        <w:br/>
      </w:r>
      <w:r w:rsidRPr="00F7789D">
        <w:t>de prudence</w:t>
      </w:r>
    </w:p>
    <w:tbl>
      <w:tblPr>
        <w:tblW w:w="8505" w:type="dxa"/>
        <w:tblInd w:w="1134" w:type="dxa"/>
        <w:tblCellMar>
          <w:left w:w="0" w:type="dxa"/>
          <w:right w:w="0" w:type="dxa"/>
        </w:tblCellMar>
        <w:tblLook w:val="04A0" w:firstRow="1" w:lastRow="0" w:firstColumn="1" w:lastColumn="0" w:noHBand="0" w:noVBand="1"/>
      </w:tblPr>
      <w:tblGrid>
        <w:gridCol w:w="3402"/>
        <w:gridCol w:w="5103"/>
      </w:tblGrid>
      <w:tr w:rsidR="00F7789D" w:rsidRPr="00F7789D" w:rsidTr="00E36C19">
        <w:trPr>
          <w:cantSplit/>
          <w:trHeight w:val="70"/>
        </w:trPr>
        <w:tc>
          <w:tcPr>
            <w:tcW w:w="3402" w:type="dxa"/>
            <w:shd w:val="clear" w:color="auto" w:fill="auto"/>
          </w:tcPr>
          <w:p w:rsidR="00F7789D" w:rsidRPr="00F7789D" w:rsidRDefault="00CA1B3B" w:rsidP="00F7789D">
            <w:pPr>
              <w:spacing w:after="120"/>
            </w:pPr>
            <w:r>
              <w:t>ST/SG/AC.10/C.4/2018/5</w:t>
            </w:r>
            <w:r>
              <w:br/>
            </w:r>
            <w:r w:rsidR="00F7789D" w:rsidRPr="00F7789D">
              <w:t>(Royaume-Uni)</w:t>
            </w:r>
          </w:p>
        </w:tc>
        <w:tc>
          <w:tcPr>
            <w:tcW w:w="5103" w:type="dxa"/>
            <w:shd w:val="clear" w:color="auto" w:fill="auto"/>
          </w:tcPr>
          <w:p w:rsidR="00F7789D" w:rsidRPr="00F7789D" w:rsidRDefault="00F7789D" w:rsidP="00F7789D">
            <w:pPr>
              <w:spacing w:after="120"/>
              <w:ind w:left="113"/>
            </w:pPr>
            <w:r w:rsidRPr="00F7789D">
              <w:t>Propositions de pictogrammes de mise en garde équivalant au conseil de prudence P102 «</w:t>
            </w:r>
            <w:r w:rsidR="00E36C19">
              <w:t> </w:t>
            </w:r>
            <w:r w:rsidRPr="00F7789D">
              <w:t>tenir hors de portée des enfants</w:t>
            </w:r>
            <w:r w:rsidR="00E36C19">
              <w:t> </w:t>
            </w:r>
            <w:r w:rsidRPr="00F7789D">
              <w:t>»</w:t>
            </w:r>
          </w:p>
        </w:tc>
      </w:tr>
      <w:tr w:rsidR="00F7789D" w:rsidRPr="00F7789D" w:rsidTr="00E36C19">
        <w:trPr>
          <w:cantSplit/>
          <w:trHeight w:val="70"/>
        </w:trPr>
        <w:tc>
          <w:tcPr>
            <w:tcW w:w="3402" w:type="dxa"/>
            <w:shd w:val="clear" w:color="auto" w:fill="auto"/>
          </w:tcPr>
          <w:p w:rsidR="00F7789D" w:rsidRPr="00F7789D" w:rsidRDefault="00CA1B3B" w:rsidP="00F7789D">
            <w:pPr>
              <w:spacing w:after="120"/>
            </w:pPr>
            <w:r>
              <w:t>ST/SG/AC.10/C.4/2018/6</w:t>
            </w:r>
            <w:r>
              <w:br/>
            </w:r>
            <w:r w:rsidR="00F7789D" w:rsidRPr="00F7789D">
              <w:t>(Royaume-Uni) et document informel INF.7</w:t>
            </w:r>
          </w:p>
        </w:tc>
        <w:tc>
          <w:tcPr>
            <w:tcW w:w="5103" w:type="dxa"/>
            <w:shd w:val="clear" w:color="auto" w:fill="auto"/>
          </w:tcPr>
          <w:p w:rsidR="00F7789D" w:rsidRPr="00F7789D" w:rsidRDefault="00F7789D" w:rsidP="00F7789D">
            <w:pPr>
              <w:spacing w:after="120"/>
              <w:ind w:left="113"/>
            </w:pPr>
            <w:r w:rsidRPr="00F7789D">
              <w:rPr>
                <w:rFonts w:eastAsia="MS Mincho"/>
                <w:lang w:eastAsia="ja-JP"/>
              </w:rPr>
              <w:t>Propositions de modifications à apporter à l’</w:t>
            </w:r>
            <w:r w:rsidR="00E36C19">
              <w:rPr>
                <w:rFonts w:eastAsia="MS Mincho"/>
                <w:lang w:eastAsia="ja-JP"/>
              </w:rPr>
              <w:t>annexe </w:t>
            </w:r>
            <w:r w:rsidRPr="00F7789D">
              <w:rPr>
                <w:rFonts w:eastAsia="MS Mincho"/>
                <w:lang w:eastAsia="ja-JP"/>
              </w:rPr>
              <w:t>3 du SGH afin de prendre en compte les sous-</w:t>
            </w:r>
            <w:r w:rsidRPr="00F7789D">
              <w:t>catégories</w:t>
            </w:r>
            <w:r w:rsidRPr="00F7789D">
              <w:rPr>
                <w:rFonts w:eastAsia="MS Mincho"/>
                <w:lang w:eastAsia="ja-JP"/>
              </w:rPr>
              <w:t xml:space="preserve"> de danger</w:t>
            </w:r>
          </w:p>
        </w:tc>
      </w:tr>
      <w:tr w:rsidR="00F7789D" w:rsidRPr="00F7789D" w:rsidTr="00E36C19">
        <w:trPr>
          <w:cantSplit/>
          <w:trHeight w:val="70"/>
        </w:trPr>
        <w:tc>
          <w:tcPr>
            <w:tcW w:w="3402" w:type="dxa"/>
            <w:shd w:val="clear" w:color="auto" w:fill="auto"/>
          </w:tcPr>
          <w:p w:rsidR="00F7789D" w:rsidRPr="00F7789D" w:rsidRDefault="00F7789D" w:rsidP="00CA1B3B">
            <w:pPr>
              <w:spacing w:after="120"/>
            </w:pPr>
            <w:r w:rsidRPr="00F7789D">
              <w:t>ST/SG/AC.10/C.4/2018/13 (Royaume</w:t>
            </w:r>
            <w:r w:rsidR="00CA1B3B">
              <w:noBreakHyphen/>
            </w:r>
            <w:r w:rsidRPr="00F7789D">
              <w:t>Uni) et document informel INF.8</w:t>
            </w:r>
          </w:p>
        </w:tc>
        <w:tc>
          <w:tcPr>
            <w:tcW w:w="5103" w:type="dxa"/>
            <w:shd w:val="clear" w:color="auto" w:fill="auto"/>
          </w:tcPr>
          <w:p w:rsidR="00F7789D" w:rsidRPr="00F7789D" w:rsidRDefault="00F7789D" w:rsidP="00F7789D">
            <w:pPr>
              <w:spacing w:after="120"/>
              <w:ind w:left="113"/>
            </w:pPr>
            <w:r w:rsidRPr="00F7789D">
              <w:t>Propositions de modifications à apporter à l’annexe</w:t>
            </w:r>
            <w:r w:rsidR="00E36C19">
              <w:t> </w:t>
            </w:r>
            <w:r w:rsidRPr="00F7789D">
              <w:t>3 du SGH pour améliorer les conseils de prudence relatifs aux interventions médicales (P310 à P315)</w:t>
            </w:r>
          </w:p>
        </w:tc>
      </w:tr>
      <w:tr w:rsidR="00F7789D" w:rsidRPr="00F7789D" w:rsidTr="00E36C19">
        <w:trPr>
          <w:cantSplit/>
          <w:trHeight w:val="70"/>
        </w:trPr>
        <w:tc>
          <w:tcPr>
            <w:tcW w:w="3402" w:type="dxa"/>
            <w:shd w:val="clear" w:color="auto" w:fill="auto"/>
          </w:tcPr>
          <w:p w:rsidR="00F7789D" w:rsidRPr="00F7789D" w:rsidRDefault="00F7789D" w:rsidP="00E36C19">
            <w:pPr>
              <w:spacing w:after="120"/>
            </w:pPr>
            <w:r w:rsidRPr="00F7789D">
              <w:t>ST/SG/AC.10/C.4/2018/14 (Royaume</w:t>
            </w:r>
            <w:r w:rsidR="00E36C19">
              <w:noBreakHyphen/>
            </w:r>
            <w:r w:rsidRPr="00F7789D">
              <w:t>Uni) et document informel INF.9</w:t>
            </w:r>
          </w:p>
        </w:tc>
        <w:tc>
          <w:tcPr>
            <w:tcW w:w="5103" w:type="dxa"/>
            <w:shd w:val="clear" w:color="auto" w:fill="auto"/>
          </w:tcPr>
          <w:p w:rsidR="00F7789D" w:rsidRPr="00F7789D" w:rsidRDefault="00F7789D" w:rsidP="00F7789D">
            <w:pPr>
              <w:spacing w:after="120"/>
              <w:ind w:left="113"/>
            </w:pPr>
            <w:bookmarkStart w:id="1" w:name="_Hlk512416870"/>
            <w:r w:rsidRPr="00F7789D">
              <w:t>Propositions de modifications à apporter au P201 et au P202</w:t>
            </w:r>
            <w:bookmarkEnd w:id="1"/>
          </w:p>
        </w:tc>
      </w:tr>
    </w:tbl>
    <w:p w:rsidR="00F7789D" w:rsidRPr="00F7789D" w:rsidRDefault="00F7789D" w:rsidP="00F7789D">
      <w:pPr>
        <w:pStyle w:val="H23G"/>
      </w:pPr>
      <w:r w:rsidRPr="00F7789D">
        <w:tab/>
        <w:t>c)</w:t>
      </w:r>
      <w:r w:rsidRPr="00F7789D">
        <w:tab/>
        <w:t>Utilisati</w:t>
      </w:r>
      <w:r w:rsidR="00DD512A">
        <w:t>on des « plages de proportion » </w:t>
      </w:r>
      <w:r w:rsidRPr="00F7789D">
        <w:t>: ré</w:t>
      </w:r>
      <w:r w:rsidR="00DD512A">
        <w:t>vision du paragraphe A4.3.3.2.3</w:t>
      </w:r>
      <w:r w:rsidR="00DD512A">
        <w:br/>
      </w:r>
      <w:r w:rsidRPr="00F7789D">
        <w:t>de l’annexe 4</w:t>
      </w:r>
    </w:p>
    <w:p w:rsidR="00F7789D" w:rsidRPr="00F7789D" w:rsidRDefault="00F7789D" w:rsidP="00F7789D">
      <w:pPr>
        <w:pStyle w:val="SingleTxtG"/>
        <w:ind w:firstLine="567"/>
        <w:rPr>
          <w:lang w:eastAsia="ja-JP"/>
        </w:rPr>
      </w:pPr>
      <w:r w:rsidRPr="00F7789D">
        <w:rPr>
          <w:lang w:eastAsia="ja-JP"/>
        </w:rPr>
        <w:t>Aucun document n’avait été soumis au titre de ce point de l’ordre du jour au moment de la rédaction du présent document.</w:t>
      </w:r>
    </w:p>
    <w:p w:rsidR="00F7789D" w:rsidRPr="00F7789D" w:rsidRDefault="00F7789D" w:rsidP="00F7789D">
      <w:pPr>
        <w:pStyle w:val="H23G"/>
      </w:pPr>
      <w:r w:rsidRPr="00F7789D">
        <w:tab/>
        <w:t>d)</w:t>
      </w:r>
      <w:r w:rsidRPr="00F7789D">
        <w:tab/>
        <w:t>Autres questions</w:t>
      </w:r>
    </w:p>
    <w:tbl>
      <w:tblPr>
        <w:tblW w:w="8505" w:type="dxa"/>
        <w:tblInd w:w="1134" w:type="dxa"/>
        <w:tblCellMar>
          <w:left w:w="0" w:type="dxa"/>
          <w:right w:w="0" w:type="dxa"/>
        </w:tblCellMar>
        <w:tblLook w:val="04A0" w:firstRow="1" w:lastRow="0" w:firstColumn="1" w:lastColumn="0" w:noHBand="0" w:noVBand="1"/>
      </w:tblPr>
      <w:tblGrid>
        <w:gridCol w:w="3402"/>
        <w:gridCol w:w="5103"/>
      </w:tblGrid>
      <w:tr w:rsidR="00F7789D" w:rsidRPr="00F7789D" w:rsidTr="00E36C19">
        <w:trPr>
          <w:cantSplit/>
          <w:trHeight w:val="70"/>
        </w:trPr>
        <w:tc>
          <w:tcPr>
            <w:tcW w:w="3402" w:type="dxa"/>
            <w:shd w:val="clear" w:color="auto" w:fill="auto"/>
          </w:tcPr>
          <w:p w:rsidR="00F7789D" w:rsidRPr="00F7789D" w:rsidRDefault="00F7789D" w:rsidP="00F7789D">
            <w:pPr>
              <w:spacing w:after="120"/>
            </w:pPr>
            <w:r w:rsidRPr="00F7789D">
              <w:t>ST/SG/AC.10/C.4/2018/4 (Royaume-Uni)</w:t>
            </w:r>
          </w:p>
        </w:tc>
        <w:tc>
          <w:tcPr>
            <w:tcW w:w="5103" w:type="dxa"/>
            <w:shd w:val="clear" w:color="auto" w:fill="auto"/>
          </w:tcPr>
          <w:p w:rsidR="00F7789D" w:rsidRPr="00F7789D" w:rsidRDefault="00F7789D" w:rsidP="00F7789D">
            <w:pPr>
              <w:spacing w:after="120"/>
              <w:ind w:left="113"/>
            </w:pPr>
            <w:r w:rsidRPr="00F7789D">
              <w:t>Proposition de modification à apporter au chapitre</w:t>
            </w:r>
            <w:r>
              <w:t> 3.3</w:t>
            </w:r>
            <w:r>
              <w:br/>
            </w:r>
            <w:r w:rsidRPr="00F7789D">
              <w:t xml:space="preserve">du SGH </w:t>
            </w:r>
            <w:r w:rsidRPr="00F7789D">
              <w:rPr>
                <w:rFonts w:eastAsia="MS Mincho"/>
                <w:lang w:eastAsia="ja-JP"/>
              </w:rPr>
              <w:t xml:space="preserve">afin de prendre en compte </w:t>
            </w:r>
            <w:r w:rsidRPr="00F7789D">
              <w:t xml:space="preserve">les sous-catégories de danger </w:t>
            </w:r>
          </w:p>
        </w:tc>
      </w:tr>
    </w:tbl>
    <w:p w:rsidR="00F7789D" w:rsidRPr="00F7789D" w:rsidRDefault="00F7789D" w:rsidP="00F7789D">
      <w:pPr>
        <w:pStyle w:val="H1G"/>
      </w:pPr>
      <w:r w:rsidRPr="00F7789D">
        <w:tab/>
        <w:t>5.</w:t>
      </w:r>
      <w:r w:rsidRPr="00F7789D">
        <w:tab/>
        <w:t>Mise en œuvre du SGH</w:t>
      </w:r>
    </w:p>
    <w:p w:rsidR="00F7789D" w:rsidRPr="00F7789D" w:rsidRDefault="00F7789D" w:rsidP="00F7789D">
      <w:pPr>
        <w:pStyle w:val="H23G"/>
      </w:pPr>
      <w:r w:rsidRPr="00F7789D">
        <w:tab/>
        <w:t>a)</w:t>
      </w:r>
      <w:r w:rsidRPr="00F7789D">
        <w:tab/>
        <w:t>Élaboration d’une liste de produits chimiques classés conformément au SGH</w:t>
      </w:r>
    </w:p>
    <w:p w:rsidR="00F7789D" w:rsidRPr="00F7789D" w:rsidRDefault="00F7789D" w:rsidP="00F7789D">
      <w:pPr>
        <w:pStyle w:val="SingleTxtG"/>
        <w:ind w:firstLine="567"/>
        <w:rPr>
          <w:rFonts w:eastAsia="MS Mincho"/>
          <w:lang w:eastAsia="ja-JP"/>
        </w:rPr>
      </w:pPr>
      <w:r w:rsidRPr="00F7789D">
        <w:rPr>
          <w:rFonts w:eastAsia="MS Mincho"/>
          <w:lang w:eastAsia="ja-JP"/>
        </w:rPr>
        <w:t>Aucun document n’avait été soumis au titre de ce point de l’ordre du jour au moment de la rédaction du présent document.</w:t>
      </w:r>
    </w:p>
    <w:p w:rsidR="00F7789D" w:rsidRPr="00F7789D" w:rsidRDefault="00F7789D" w:rsidP="00F7789D">
      <w:pPr>
        <w:pStyle w:val="H23G"/>
      </w:pPr>
      <w:r w:rsidRPr="00F7789D">
        <w:tab/>
        <w:t>b)</w:t>
      </w:r>
      <w:r w:rsidRPr="00F7789D">
        <w:tab/>
        <w:t>Rapports relatifs à l’état de la mise en œuvre</w:t>
      </w:r>
    </w:p>
    <w:p w:rsidR="00F7789D" w:rsidRPr="00F7789D" w:rsidRDefault="00F7789D" w:rsidP="00F7789D">
      <w:pPr>
        <w:pStyle w:val="SingleTxtG"/>
        <w:ind w:firstLine="567"/>
      </w:pPr>
      <w:r w:rsidRPr="00F7789D">
        <w:rPr>
          <w:rFonts w:eastAsia="MS Mincho"/>
          <w:lang w:eastAsia="ja-JP"/>
        </w:rPr>
        <w:t>Les experts, observateurs et organisations internationales souhaiteront peut-être informer le Sous-Comité de l’état d’avancement de la mise en œuvre du SGH dans leurs pays ou domaines d’activités respectifs.</w:t>
      </w:r>
    </w:p>
    <w:p w:rsidR="00F7789D" w:rsidRPr="00F7789D" w:rsidRDefault="00F7789D" w:rsidP="00F7789D">
      <w:pPr>
        <w:pStyle w:val="H23G"/>
      </w:pPr>
      <w:r w:rsidRPr="00F7789D">
        <w:tab/>
        <w:t>c)</w:t>
      </w:r>
      <w:r w:rsidRPr="00F7789D">
        <w:tab/>
        <w:t>Coopération avec d’autres organes ou organisations internationales</w:t>
      </w:r>
    </w:p>
    <w:p w:rsidR="00F7789D" w:rsidRPr="00F7789D" w:rsidRDefault="00F7789D" w:rsidP="00F7789D">
      <w:pPr>
        <w:pStyle w:val="SingleTxtG"/>
        <w:ind w:firstLine="567"/>
      </w:pPr>
      <w:r w:rsidRPr="00F7789D">
        <w:rPr>
          <w:rFonts w:eastAsia="MS Mincho"/>
          <w:lang w:eastAsia="ja-JP"/>
        </w:rPr>
        <w:t>Aucun document n’avait été soumis au titre de ce point de l’ordre du jour au moment de la rédaction du présent document.</w:t>
      </w:r>
    </w:p>
    <w:p w:rsidR="00F7789D" w:rsidRPr="00F7789D" w:rsidRDefault="00F7789D" w:rsidP="00F7789D">
      <w:pPr>
        <w:pStyle w:val="H23G"/>
      </w:pPr>
      <w:r w:rsidRPr="00F7789D">
        <w:tab/>
        <w:t>d)</w:t>
      </w:r>
      <w:r w:rsidRPr="00F7789D">
        <w:tab/>
        <w:t>Divers</w:t>
      </w:r>
    </w:p>
    <w:p w:rsidR="00F7789D" w:rsidRPr="00F7789D" w:rsidRDefault="00F7789D" w:rsidP="00F7789D">
      <w:pPr>
        <w:pStyle w:val="SingleTxtG"/>
        <w:ind w:firstLine="567"/>
      </w:pPr>
      <w:r w:rsidRPr="00F7789D">
        <w:rPr>
          <w:rFonts w:eastAsia="MS Mincho"/>
          <w:lang w:eastAsia="ja-JP"/>
        </w:rPr>
        <w:t>Aucun document n’avait été soumis au titre de ce point de l’ordre du jour au moment de la rédaction du présent document.</w:t>
      </w:r>
    </w:p>
    <w:p w:rsidR="00F7789D" w:rsidRPr="00F7789D" w:rsidRDefault="00F7789D" w:rsidP="00F7789D">
      <w:pPr>
        <w:pStyle w:val="H1G"/>
      </w:pPr>
      <w:r w:rsidRPr="00F7789D">
        <w:lastRenderedPageBreak/>
        <w:tab/>
        <w:t>6.</w:t>
      </w:r>
      <w:r w:rsidRPr="00F7789D">
        <w:tab/>
        <w:t>Mise au point de directives pour l’application des critères du SGH</w:t>
      </w:r>
    </w:p>
    <w:p w:rsidR="00F7789D" w:rsidRPr="00F7789D" w:rsidRDefault="00F7789D" w:rsidP="00F7789D">
      <w:pPr>
        <w:pStyle w:val="SingleTxtG"/>
        <w:ind w:firstLine="567"/>
      </w:pPr>
      <w:r w:rsidRPr="00F7789D">
        <w:rPr>
          <w:rFonts w:eastAsia="MS Mincho"/>
          <w:lang w:eastAsia="ja-JP"/>
        </w:rPr>
        <w:t>Aucun document n’avait été soumis au titre de ce point de l’ordre du jour au moment de la rédaction du présent document.</w:t>
      </w:r>
    </w:p>
    <w:p w:rsidR="00F7789D" w:rsidRPr="00F7789D" w:rsidRDefault="00F7789D" w:rsidP="00F7789D">
      <w:pPr>
        <w:pStyle w:val="H1G"/>
      </w:pPr>
      <w:r w:rsidRPr="00F7789D">
        <w:tab/>
        <w:t>7.</w:t>
      </w:r>
      <w:r w:rsidRPr="00F7789D">
        <w:tab/>
        <w:t>Renforcement des capacités</w:t>
      </w:r>
    </w:p>
    <w:p w:rsidR="00F7789D" w:rsidRPr="00F7789D" w:rsidRDefault="00F7789D" w:rsidP="00F7789D">
      <w:pPr>
        <w:pStyle w:val="SingleTxtG"/>
        <w:ind w:firstLine="567"/>
        <w:rPr>
          <w:rFonts w:eastAsia="MS Mincho"/>
          <w:lang w:eastAsia="ja-JP"/>
        </w:rPr>
      </w:pPr>
      <w:r w:rsidRPr="00F7789D">
        <w:rPr>
          <w:rFonts w:eastAsia="MS Mincho"/>
          <w:lang w:eastAsia="ja-JP"/>
        </w:rPr>
        <w:t>Les experts, observateurs et organisations internationales souhaiteront peut-être informer le Sous-Comité d’activités ou de projets de renforcement des capacités entrepris en relation avec le SGH.</w:t>
      </w:r>
    </w:p>
    <w:p w:rsidR="00F7789D" w:rsidRPr="00F7789D" w:rsidRDefault="00F7789D" w:rsidP="00F7789D">
      <w:pPr>
        <w:pStyle w:val="H1G"/>
      </w:pPr>
      <w:r w:rsidRPr="00F7789D">
        <w:tab/>
        <w:t>8.</w:t>
      </w:r>
      <w:r w:rsidRPr="00F7789D">
        <w:tab/>
        <w:t>Questions diverses</w:t>
      </w:r>
    </w:p>
    <w:p w:rsidR="00F7789D" w:rsidRPr="00F7789D" w:rsidRDefault="00F7789D" w:rsidP="00F7789D">
      <w:pPr>
        <w:pStyle w:val="SingleTxtG"/>
        <w:ind w:firstLine="567"/>
      </w:pPr>
      <w:r w:rsidRPr="00F7789D">
        <w:rPr>
          <w:rFonts w:eastAsia="MS Mincho"/>
          <w:lang w:eastAsia="ja-JP"/>
        </w:rPr>
        <w:t>Aucun document n’avait été soumis au titre de ce point de l’ordre du jour au moment de la rédaction du présent document.</w:t>
      </w:r>
    </w:p>
    <w:p w:rsidR="00F7789D" w:rsidRPr="00F7789D" w:rsidRDefault="00F7789D" w:rsidP="00F7789D">
      <w:pPr>
        <w:pStyle w:val="H1G"/>
      </w:pPr>
      <w:r w:rsidRPr="00F7789D">
        <w:tab/>
        <w:t>9.</w:t>
      </w:r>
      <w:r w:rsidRPr="00F7789D">
        <w:tab/>
        <w:t>Adoption du rapport</w:t>
      </w:r>
    </w:p>
    <w:p w:rsidR="00F7789D" w:rsidRPr="00F7789D" w:rsidRDefault="00F7789D" w:rsidP="00F7789D">
      <w:pPr>
        <w:pStyle w:val="SingleTxtG"/>
        <w:ind w:firstLine="567"/>
      </w:pPr>
      <w:r w:rsidRPr="00F7789D">
        <w:t>Conformément à l’usage, le Sous-Comité souhaitera peut-être adopter le rapport de sa trente-cinquième session sur la base d’un projet établi par le secrétariat.</w:t>
      </w:r>
    </w:p>
    <w:p w:rsidR="00446FE5" w:rsidRPr="00F7789D" w:rsidRDefault="00F7789D" w:rsidP="00F7789D">
      <w:pPr>
        <w:pStyle w:val="SingleTxtG"/>
        <w:spacing w:before="240" w:after="0"/>
        <w:jc w:val="center"/>
        <w:rPr>
          <w:u w:val="single"/>
        </w:rPr>
      </w:pPr>
      <w:r>
        <w:rPr>
          <w:u w:val="single"/>
        </w:rPr>
        <w:tab/>
      </w:r>
      <w:r>
        <w:rPr>
          <w:u w:val="single"/>
        </w:rPr>
        <w:tab/>
      </w:r>
      <w:r>
        <w:rPr>
          <w:u w:val="single"/>
        </w:rPr>
        <w:tab/>
      </w:r>
    </w:p>
    <w:sectPr w:rsidR="00446FE5" w:rsidRPr="00F7789D" w:rsidSect="00F778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6E" w:rsidRDefault="00426A6E" w:rsidP="00F95C08">
      <w:pPr>
        <w:spacing w:line="240" w:lineRule="auto"/>
      </w:pPr>
    </w:p>
  </w:endnote>
  <w:endnote w:type="continuationSeparator" w:id="0">
    <w:p w:rsidR="00426A6E" w:rsidRPr="00AC3823" w:rsidRDefault="00426A6E" w:rsidP="00AC3823">
      <w:pPr>
        <w:pStyle w:val="Footer"/>
      </w:pPr>
    </w:p>
  </w:endnote>
  <w:endnote w:type="continuationNotice" w:id="1">
    <w:p w:rsidR="00426A6E" w:rsidRDefault="00426A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9D" w:rsidRPr="00F7789D" w:rsidRDefault="00F7789D" w:rsidP="00F7789D">
    <w:pPr>
      <w:pStyle w:val="Footer"/>
      <w:tabs>
        <w:tab w:val="right" w:pos="9638"/>
      </w:tabs>
    </w:pPr>
    <w:r w:rsidRPr="00F7789D">
      <w:rPr>
        <w:b/>
        <w:sz w:val="18"/>
      </w:rPr>
      <w:fldChar w:fldCharType="begin"/>
    </w:r>
    <w:r w:rsidRPr="00F7789D">
      <w:rPr>
        <w:b/>
        <w:sz w:val="18"/>
      </w:rPr>
      <w:instrText xml:space="preserve"> PAGE  \* MERGEFORMAT </w:instrText>
    </w:r>
    <w:r w:rsidRPr="00F7789D">
      <w:rPr>
        <w:b/>
        <w:sz w:val="18"/>
      </w:rPr>
      <w:fldChar w:fldCharType="separate"/>
    </w:r>
    <w:r w:rsidR="00F43BF2">
      <w:rPr>
        <w:b/>
        <w:noProof/>
        <w:sz w:val="18"/>
      </w:rPr>
      <w:t>4</w:t>
    </w:r>
    <w:r w:rsidRPr="00F7789D">
      <w:rPr>
        <w:b/>
        <w:sz w:val="18"/>
      </w:rPr>
      <w:fldChar w:fldCharType="end"/>
    </w:r>
    <w:r>
      <w:rPr>
        <w:b/>
        <w:sz w:val="18"/>
      </w:rPr>
      <w:tab/>
    </w:r>
    <w:r>
      <w:t>GE.18-06509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9D" w:rsidRPr="00F7789D" w:rsidRDefault="00F7789D" w:rsidP="00F7789D">
    <w:pPr>
      <w:pStyle w:val="Footer"/>
      <w:tabs>
        <w:tab w:val="right" w:pos="9638"/>
      </w:tabs>
      <w:rPr>
        <w:b/>
        <w:sz w:val="18"/>
      </w:rPr>
    </w:pPr>
    <w:r>
      <w:t>GE.18-06509</w:t>
    </w:r>
    <w:r>
      <w:tab/>
    </w:r>
    <w:r w:rsidRPr="00F7789D">
      <w:rPr>
        <w:b/>
        <w:sz w:val="18"/>
      </w:rPr>
      <w:fldChar w:fldCharType="begin"/>
    </w:r>
    <w:r w:rsidRPr="00F7789D">
      <w:rPr>
        <w:b/>
        <w:sz w:val="18"/>
      </w:rPr>
      <w:instrText xml:space="preserve"> PAGE  \* MERGEFORMAT </w:instrText>
    </w:r>
    <w:r w:rsidRPr="00F7789D">
      <w:rPr>
        <w:b/>
        <w:sz w:val="18"/>
      </w:rPr>
      <w:fldChar w:fldCharType="separate"/>
    </w:r>
    <w:r w:rsidR="00F43BF2">
      <w:rPr>
        <w:b/>
        <w:noProof/>
        <w:sz w:val="18"/>
      </w:rPr>
      <w:t>5</w:t>
    </w:r>
    <w:r w:rsidRPr="00F778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F7789D" w:rsidRDefault="00F7789D" w:rsidP="00F7789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06509  (</w:t>
    </w:r>
    <w:proofErr w:type="gramEnd"/>
    <w:r>
      <w:rPr>
        <w:sz w:val="20"/>
      </w:rPr>
      <w:t>F)    030518    030518</w:t>
    </w:r>
    <w:r>
      <w:rPr>
        <w:sz w:val="20"/>
      </w:rPr>
      <w:br/>
    </w:r>
    <w:r w:rsidRPr="00F7789D">
      <w:rPr>
        <w:rFonts w:ascii="C39T30Lfz" w:hAnsi="C39T30Lfz"/>
        <w:sz w:val="56"/>
      </w:rPr>
      <w:t></w:t>
    </w:r>
    <w:r w:rsidRPr="00F7789D">
      <w:rPr>
        <w:rFonts w:ascii="C39T30Lfz" w:hAnsi="C39T30Lfz"/>
        <w:sz w:val="56"/>
      </w:rPr>
      <w:t></w:t>
    </w:r>
    <w:r w:rsidRPr="00F7789D">
      <w:rPr>
        <w:rFonts w:ascii="C39T30Lfz" w:hAnsi="C39T30Lfz"/>
        <w:sz w:val="56"/>
      </w:rPr>
      <w:t></w:t>
    </w:r>
    <w:r w:rsidRPr="00F7789D">
      <w:rPr>
        <w:rFonts w:ascii="C39T30Lfz" w:hAnsi="C39T30Lfz"/>
        <w:sz w:val="56"/>
      </w:rPr>
      <w:t></w:t>
    </w:r>
    <w:r w:rsidRPr="00F7789D">
      <w:rPr>
        <w:rFonts w:ascii="C39T30Lfz" w:hAnsi="C39T30Lfz"/>
        <w:sz w:val="56"/>
      </w:rPr>
      <w:t></w:t>
    </w:r>
    <w:r w:rsidRPr="00F7789D">
      <w:rPr>
        <w:rFonts w:ascii="C39T30Lfz" w:hAnsi="C39T30Lfz"/>
        <w:sz w:val="56"/>
      </w:rPr>
      <w:t></w:t>
    </w:r>
    <w:r w:rsidRPr="00F7789D">
      <w:rPr>
        <w:rFonts w:ascii="C39T30Lfz" w:hAnsi="C39T30Lfz"/>
        <w:sz w:val="56"/>
      </w:rPr>
      <w:t></w:t>
    </w:r>
    <w:r w:rsidRPr="00F7789D">
      <w:rPr>
        <w:rFonts w:ascii="C39T30Lfz" w:hAnsi="C39T30Lfz"/>
        <w:sz w:val="56"/>
      </w:rPr>
      <w:t></w:t>
    </w:r>
    <w:r w:rsidRPr="00F7789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69/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69/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6E" w:rsidRPr="00AC3823" w:rsidRDefault="00426A6E" w:rsidP="00AC3823">
      <w:pPr>
        <w:pStyle w:val="Footer"/>
        <w:tabs>
          <w:tab w:val="right" w:pos="2155"/>
        </w:tabs>
        <w:spacing w:after="80" w:line="240" w:lineRule="atLeast"/>
        <w:ind w:left="680"/>
        <w:rPr>
          <w:u w:val="single"/>
        </w:rPr>
      </w:pPr>
      <w:r>
        <w:rPr>
          <w:u w:val="single"/>
        </w:rPr>
        <w:tab/>
      </w:r>
    </w:p>
  </w:footnote>
  <w:footnote w:type="continuationSeparator" w:id="0">
    <w:p w:rsidR="00426A6E" w:rsidRPr="00AC3823" w:rsidRDefault="00426A6E" w:rsidP="00AC3823">
      <w:pPr>
        <w:pStyle w:val="Footer"/>
        <w:tabs>
          <w:tab w:val="right" w:pos="2155"/>
        </w:tabs>
        <w:spacing w:after="80" w:line="240" w:lineRule="atLeast"/>
        <w:ind w:left="680"/>
        <w:rPr>
          <w:u w:val="single"/>
        </w:rPr>
      </w:pPr>
      <w:r>
        <w:rPr>
          <w:u w:val="single"/>
        </w:rPr>
        <w:tab/>
      </w:r>
    </w:p>
  </w:footnote>
  <w:footnote w:type="continuationNotice" w:id="1">
    <w:p w:rsidR="00426A6E" w:rsidRPr="00AC3823" w:rsidRDefault="00426A6E">
      <w:pPr>
        <w:spacing w:line="240" w:lineRule="auto"/>
        <w:rPr>
          <w:sz w:val="2"/>
          <w:szCs w:val="2"/>
        </w:rPr>
      </w:pPr>
    </w:p>
  </w:footnote>
  <w:footnote w:id="2">
    <w:p w:rsidR="00F7789D" w:rsidRPr="007E3CFB" w:rsidRDefault="00F7789D" w:rsidP="00F7789D">
      <w:pPr>
        <w:pStyle w:val="FootnoteText"/>
      </w:pPr>
      <w:r>
        <w:tab/>
      </w:r>
      <w:r w:rsidRPr="00214E3D">
        <w:rPr>
          <w:rStyle w:val="FootnoteReference"/>
        </w:rPr>
        <w:footnoteRef/>
      </w:r>
      <w:r>
        <w:tab/>
        <w:t>Les travaux sur l’utilisation du Manuel d’épreuves et de critères menés dans le contexte du SGH devraient également se poursuivre dans le cadre du Groupe de travail des explosifs du Sous-Comité TMD. Les représentants du Sous-Comité SGH souhaitant participer à ces travaux sont invités à s’inscrire aux deux sessions (session du Sous-Comité TMD et session du Sous-Comité SGH)</w:t>
      </w:r>
      <w:r w:rsidRPr="00A77581">
        <w:rPr>
          <w:rFonts w:eastAsia="MS Mincho"/>
          <w:lang w:eastAsia="ja-JP"/>
        </w:rPr>
        <w:t>.</w:t>
      </w:r>
    </w:p>
  </w:footnote>
  <w:footnote w:id="3">
    <w:p w:rsidR="00F7789D" w:rsidRPr="004354C2" w:rsidRDefault="00F7789D" w:rsidP="00F7789D">
      <w:pPr>
        <w:pStyle w:val="FootnoteText"/>
      </w:pPr>
      <w:r>
        <w:tab/>
      </w:r>
      <w:r w:rsidRPr="00214E3D">
        <w:rPr>
          <w:rStyle w:val="FootnoteReference"/>
        </w:rPr>
        <w:footnoteRef/>
      </w:r>
      <w:r>
        <w:tab/>
        <w:t xml:space="preserve">Document soumis pour examen par le Sous-Comité TMD à sa cinquante-troisième session, au titre du point 3 de son ordre du jour provisoire. </w:t>
      </w:r>
    </w:p>
  </w:footnote>
  <w:footnote w:id="4">
    <w:p w:rsidR="00F7789D" w:rsidRPr="00DF6BF3" w:rsidRDefault="00F7789D" w:rsidP="00F7789D">
      <w:pPr>
        <w:pStyle w:val="FootnoteText"/>
      </w:pPr>
      <w:r>
        <w:tab/>
      </w:r>
      <w:r w:rsidRPr="00214E3D">
        <w:rPr>
          <w:rStyle w:val="FootnoteReference"/>
        </w:rPr>
        <w:footnoteRef/>
      </w:r>
      <w:r>
        <w:t xml:space="preserve"> </w:t>
      </w:r>
      <w:r>
        <w:tab/>
        <w:t xml:space="preserve">L’ordre du jour provisoire et ses annotations pour la cinquante-troisième session du Sous-Comité TMD ont été publiés sous la cote </w:t>
      </w:r>
      <w:r w:rsidRPr="00DF6BF3">
        <w:t>ST/SG/AC.10/C.3/</w:t>
      </w:r>
      <w:r>
        <w:t>105</w:t>
      </w:r>
      <w:r w:rsidRPr="00DF6BF3">
        <w:t xml:space="preserve"> </w:t>
      </w:r>
      <w:r>
        <w:t>et</w:t>
      </w:r>
      <w:r w:rsidRPr="00DF6BF3">
        <w:t xml:space="preserve"> Add.1 (</w:t>
      </w:r>
      <w:hyperlink r:id="rId1" w:history="1">
        <w:r w:rsidRPr="00A47E12">
          <w:t>http://www.unece.org/trans/main/</w:t>
        </w:r>
        <w:r>
          <w:t xml:space="preserve"> </w:t>
        </w:r>
        <w:r w:rsidRPr="00A47E12">
          <w:t>dgdb/dgsubc3/c3age.html</w:t>
        </w:r>
      </w:hyperlink>
      <w:r w:rsidRPr="00DF6BF3">
        <w:t>).</w:t>
      </w:r>
      <w:r>
        <w:t xml:space="preserve"> Les documents officiels peuvent être consultés à l’adresse suivante</w:t>
      </w:r>
      <w:r w:rsidR="00EE3679">
        <w:t> </w:t>
      </w:r>
      <w:r>
        <w:t xml:space="preserve">: </w:t>
      </w:r>
      <w:r w:rsidRPr="008714EC">
        <w:t>http://www.unece.org/trans/main/dgdb/dgsubc3/c3201</w:t>
      </w:r>
      <w:r>
        <w:t>8</w:t>
      </w:r>
      <w:r w:rsidRPr="008714EC">
        <w:t>.html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9D" w:rsidRPr="00F7789D" w:rsidRDefault="00F43BF2">
    <w:pPr>
      <w:pStyle w:val="Header"/>
    </w:pPr>
    <w:r>
      <w:fldChar w:fldCharType="begin"/>
    </w:r>
    <w:r>
      <w:instrText xml:space="preserve"> TITLE  \* MERGEFORMAT </w:instrText>
    </w:r>
    <w:r>
      <w:fldChar w:fldCharType="separate"/>
    </w:r>
    <w:r>
      <w:t>ST/SG/AC.10/C.4/69/Add.1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9D" w:rsidRPr="00F7789D" w:rsidRDefault="00F43BF2" w:rsidP="00F7789D">
    <w:pPr>
      <w:pStyle w:val="Header"/>
      <w:jc w:val="right"/>
    </w:pPr>
    <w:r>
      <w:fldChar w:fldCharType="begin"/>
    </w:r>
    <w:r>
      <w:instrText xml:space="preserve"> TITLE  \* MERGEFORMAT</w:instrText>
    </w:r>
    <w:r>
      <w:instrText xml:space="preserve"> </w:instrText>
    </w:r>
    <w:r>
      <w:fldChar w:fldCharType="separate"/>
    </w:r>
    <w:r>
      <w:t>ST/SG/AC.10/C.4/69/Add.1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6E"/>
    <w:rsid w:val="00017F94"/>
    <w:rsid w:val="00023842"/>
    <w:rsid w:val="000305D3"/>
    <w:rsid w:val="000334F9"/>
    <w:rsid w:val="00040430"/>
    <w:rsid w:val="0007796D"/>
    <w:rsid w:val="000B151D"/>
    <w:rsid w:val="000B7790"/>
    <w:rsid w:val="00111F2F"/>
    <w:rsid w:val="00132EA9"/>
    <w:rsid w:val="0014365E"/>
    <w:rsid w:val="00176178"/>
    <w:rsid w:val="00195805"/>
    <w:rsid w:val="001F525A"/>
    <w:rsid w:val="00223272"/>
    <w:rsid w:val="0024779E"/>
    <w:rsid w:val="00276E7D"/>
    <w:rsid w:val="00283190"/>
    <w:rsid w:val="002832AC"/>
    <w:rsid w:val="002D7C93"/>
    <w:rsid w:val="00426A6E"/>
    <w:rsid w:val="00441C3B"/>
    <w:rsid w:val="00446FE5"/>
    <w:rsid w:val="00452396"/>
    <w:rsid w:val="004E468C"/>
    <w:rsid w:val="005505B7"/>
    <w:rsid w:val="00573BE5"/>
    <w:rsid w:val="00584DC4"/>
    <w:rsid w:val="00586ED3"/>
    <w:rsid w:val="00596AA9"/>
    <w:rsid w:val="005C4481"/>
    <w:rsid w:val="0068456F"/>
    <w:rsid w:val="0071601D"/>
    <w:rsid w:val="007A62E6"/>
    <w:rsid w:val="007B6669"/>
    <w:rsid w:val="0080684C"/>
    <w:rsid w:val="00871C75"/>
    <w:rsid w:val="008776DC"/>
    <w:rsid w:val="008B40CD"/>
    <w:rsid w:val="009705C8"/>
    <w:rsid w:val="009C1CF4"/>
    <w:rsid w:val="00A30353"/>
    <w:rsid w:val="00AC3823"/>
    <w:rsid w:val="00AE323C"/>
    <w:rsid w:val="00B00181"/>
    <w:rsid w:val="00B00B0D"/>
    <w:rsid w:val="00B765F7"/>
    <w:rsid w:val="00B9123D"/>
    <w:rsid w:val="00BA0CA9"/>
    <w:rsid w:val="00C02897"/>
    <w:rsid w:val="00CA1B3B"/>
    <w:rsid w:val="00D3439C"/>
    <w:rsid w:val="00DB1831"/>
    <w:rsid w:val="00DD3BFD"/>
    <w:rsid w:val="00DD512A"/>
    <w:rsid w:val="00DF38C1"/>
    <w:rsid w:val="00DF6678"/>
    <w:rsid w:val="00E36C19"/>
    <w:rsid w:val="00EE3679"/>
    <w:rsid w:val="00EF2E22"/>
    <w:rsid w:val="00F01738"/>
    <w:rsid w:val="00F43BF2"/>
    <w:rsid w:val="00F660DF"/>
    <w:rsid w:val="00F730C8"/>
    <w:rsid w:val="00F7789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9D27C2-C893-4BA9-9CB7-3DCDA0E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ST/SG/AC.10/C.4/69/Add.1</vt:lpstr>
      <vt:lpstr>ST/SG/AC.10/C.4/69/Add.1</vt:lpstr>
    </vt:vector>
  </TitlesOfParts>
  <Company>DCM</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ST/SG/AC.10/C.4/69/Add.1</dc:title>
  <dc:subject/>
  <dc:creator>Annie BEAUNEE</dc:creator>
  <cp:keywords/>
  <cp:lastModifiedBy>Laurence Berthet</cp:lastModifiedBy>
  <cp:revision>3</cp:revision>
  <cp:lastPrinted>2018-06-25T09:00:00Z</cp:lastPrinted>
  <dcterms:created xsi:type="dcterms:W3CDTF">2018-06-25T09:00:00Z</dcterms:created>
  <dcterms:modified xsi:type="dcterms:W3CDTF">2018-06-25T09:00:00Z</dcterms:modified>
</cp:coreProperties>
</file>