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48556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485564" w:rsidP="00485564">
            <w:pPr>
              <w:jc w:val="right"/>
            </w:pPr>
            <w:r w:rsidRPr="00485564">
              <w:rPr>
                <w:sz w:val="40"/>
              </w:rPr>
              <w:t>ST</w:t>
            </w:r>
            <w:r>
              <w:t>/SG/AC.10/C.4/2018/27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485564" w:rsidP="00F01738">
            <w:pPr>
              <w:spacing w:before="240"/>
            </w:pPr>
            <w:r>
              <w:t>Distr. générale</w:t>
            </w:r>
          </w:p>
          <w:p w:rsidR="00485564" w:rsidRDefault="00485564" w:rsidP="00485564">
            <w:pPr>
              <w:spacing w:line="240" w:lineRule="exact"/>
            </w:pPr>
            <w:r>
              <w:t>20 septembre 2018</w:t>
            </w:r>
          </w:p>
          <w:p w:rsidR="00485564" w:rsidRDefault="00485564" w:rsidP="00485564">
            <w:pPr>
              <w:spacing w:line="240" w:lineRule="exact"/>
            </w:pPr>
            <w:r>
              <w:t>Français</w:t>
            </w:r>
          </w:p>
          <w:p w:rsidR="00485564" w:rsidRPr="00DB58B5" w:rsidRDefault="00485564" w:rsidP="00485564">
            <w:pPr>
              <w:spacing w:line="240" w:lineRule="exact"/>
            </w:pPr>
            <w:r>
              <w:t>Original : anglais</w:t>
            </w:r>
          </w:p>
        </w:tc>
      </w:tr>
    </w:tbl>
    <w:p w:rsidR="00485564" w:rsidRPr="00485564" w:rsidRDefault="00485564" w:rsidP="00485564">
      <w:pPr>
        <w:spacing w:before="120" w:after="120"/>
        <w:rPr>
          <w:sz w:val="24"/>
          <w:szCs w:val="24"/>
        </w:rPr>
      </w:pPr>
      <w:r w:rsidRPr="00485564">
        <w:rPr>
          <w:b/>
          <w:sz w:val="24"/>
          <w:szCs w:val="24"/>
          <w:lang w:val="fr-FR"/>
        </w:rPr>
        <w:t xml:space="preserve">Comité d’experts du transport des marchandises dangereuses </w:t>
      </w:r>
      <w:r w:rsidRPr="00485564">
        <w:rPr>
          <w:b/>
          <w:sz w:val="24"/>
          <w:szCs w:val="24"/>
          <w:lang w:val="fr-FR"/>
        </w:rPr>
        <w:br/>
        <w:t xml:space="preserve">et du Système général harmonisé de classification </w:t>
      </w:r>
      <w:r w:rsidRPr="00485564">
        <w:rPr>
          <w:b/>
          <w:sz w:val="24"/>
          <w:szCs w:val="24"/>
          <w:lang w:val="fr-FR"/>
        </w:rPr>
        <w:br/>
        <w:t>et d’étiquetage des produits chimique</w:t>
      </w:r>
    </w:p>
    <w:p w:rsidR="00446FE5" w:rsidRDefault="00485564" w:rsidP="00485564">
      <w:pPr>
        <w:spacing w:after="120"/>
        <w:rPr>
          <w:b/>
          <w:lang w:val="fr-FR"/>
        </w:rPr>
      </w:pPr>
      <w:r w:rsidRPr="00485564">
        <w:rPr>
          <w:b/>
          <w:lang w:val="fr-FR"/>
        </w:rPr>
        <w:t xml:space="preserve">Sous-Comité d'experts du Système général harmonisé </w:t>
      </w:r>
      <w:r>
        <w:rPr>
          <w:b/>
          <w:lang w:val="fr-FR"/>
        </w:rPr>
        <w:br/>
      </w:r>
      <w:r w:rsidRPr="00485564">
        <w:rPr>
          <w:b/>
          <w:lang w:val="fr-FR"/>
        </w:rPr>
        <w:t>de classification et d</w:t>
      </w:r>
      <w:r>
        <w:rPr>
          <w:b/>
          <w:lang w:val="fr-FR"/>
        </w:rPr>
        <w:t>’</w:t>
      </w:r>
      <w:r w:rsidRPr="00485564">
        <w:rPr>
          <w:b/>
          <w:lang w:val="fr-FR"/>
        </w:rPr>
        <w:t>étiquetage des produits chimiques</w:t>
      </w:r>
    </w:p>
    <w:p w:rsidR="00485564" w:rsidRDefault="00485564" w:rsidP="00AC3823">
      <w:pPr>
        <w:rPr>
          <w:b/>
          <w:lang w:val="fr-FR"/>
        </w:rPr>
      </w:pPr>
      <w:r w:rsidRPr="000333B0">
        <w:rPr>
          <w:b/>
          <w:lang w:val="fr-FR"/>
        </w:rPr>
        <w:t>Trente-sixième session</w:t>
      </w:r>
      <w:r w:rsidRPr="00485564">
        <w:rPr>
          <w:b/>
          <w:lang w:val="fr-FR"/>
        </w:rPr>
        <w:t xml:space="preserve"> </w:t>
      </w:r>
    </w:p>
    <w:p w:rsidR="00485564" w:rsidRPr="00485564" w:rsidRDefault="00485564" w:rsidP="00485564">
      <w:pPr>
        <w:rPr>
          <w:lang w:val="fr-FR"/>
        </w:rPr>
      </w:pPr>
      <w:r w:rsidRPr="00485564">
        <w:rPr>
          <w:lang w:val="fr-FR"/>
        </w:rPr>
        <w:t>Genève, 5-7 décembre 2018</w:t>
      </w:r>
    </w:p>
    <w:p w:rsidR="00485564" w:rsidRPr="00485564" w:rsidRDefault="00485564" w:rsidP="00485564">
      <w:pPr>
        <w:rPr>
          <w:lang w:val="fr-FR"/>
        </w:rPr>
      </w:pPr>
      <w:r w:rsidRPr="00485564">
        <w:rPr>
          <w:lang w:val="fr-FR"/>
        </w:rPr>
        <w:t>Point</w:t>
      </w:r>
      <w:r>
        <w:rPr>
          <w:lang w:val="fr-FR"/>
        </w:rPr>
        <w:t> 4 </w:t>
      </w:r>
      <w:r w:rsidRPr="00485564">
        <w:rPr>
          <w:lang w:val="fr-FR"/>
        </w:rPr>
        <w:t>d) de l’ordre du jour provisoire</w:t>
      </w:r>
    </w:p>
    <w:p w:rsidR="00485564" w:rsidRDefault="00485564" w:rsidP="00485564">
      <w:pPr>
        <w:rPr>
          <w:b/>
          <w:lang w:val="fr-FR"/>
        </w:rPr>
      </w:pPr>
      <w:r w:rsidRPr="00485564">
        <w:rPr>
          <w:b/>
          <w:bCs/>
          <w:lang w:val="fr-FR"/>
        </w:rPr>
        <w:t>Questions relatives à la communication des dangers </w:t>
      </w:r>
      <w:r w:rsidRPr="00485564">
        <w:rPr>
          <w:b/>
          <w:lang w:val="fr-FR"/>
        </w:rPr>
        <w:t xml:space="preserve">: </w:t>
      </w:r>
      <w:r>
        <w:rPr>
          <w:b/>
          <w:lang w:val="fr-FR"/>
        </w:rPr>
        <w:br/>
      </w:r>
      <w:r w:rsidRPr="00485564">
        <w:rPr>
          <w:b/>
          <w:lang w:val="fr-FR"/>
        </w:rPr>
        <w:t>Questions diverses</w:t>
      </w:r>
    </w:p>
    <w:p w:rsidR="00485564" w:rsidRPr="000333B0" w:rsidRDefault="00485564" w:rsidP="0048556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333B0">
        <w:rPr>
          <w:lang w:val="fr-FR"/>
        </w:rPr>
        <w:t xml:space="preserve">Corrections à </w:t>
      </w:r>
      <w:r>
        <w:rPr>
          <w:lang w:val="fr-FR"/>
        </w:rPr>
        <w:t>la section </w:t>
      </w:r>
      <w:r w:rsidRPr="000333B0">
        <w:rPr>
          <w:lang w:val="fr-FR"/>
        </w:rPr>
        <w:t>9 de l’annexe</w:t>
      </w:r>
      <w:r>
        <w:rPr>
          <w:lang w:val="fr-FR"/>
        </w:rPr>
        <w:t> </w:t>
      </w:r>
      <w:r w:rsidRPr="000333B0">
        <w:rPr>
          <w:lang w:val="fr-FR"/>
        </w:rPr>
        <w:t>4 (Propriétés physiques et chimiques et caractéristiques de</w:t>
      </w:r>
      <w:r w:rsidR="0096244A">
        <w:rPr>
          <w:lang w:val="fr-FR"/>
        </w:rPr>
        <w:t> </w:t>
      </w:r>
      <w:r w:rsidRPr="000333B0">
        <w:rPr>
          <w:lang w:val="fr-FR"/>
        </w:rPr>
        <w:t>sécurité)</w:t>
      </w:r>
    </w:p>
    <w:p w:rsidR="00485564" w:rsidRPr="000333B0" w:rsidRDefault="00485564" w:rsidP="00485564">
      <w:pPr>
        <w:pStyle w:val="H1G"/>
        <w:rPr>
          <w:lang w:val="fr-FR"/>
        </w:rPr>
      </w:pPr>
      <w:r w:rsidRPr="000333B0">
        <w:rPr>
          <w:lang w:val="fr-FR"/>
        </w:rPr>
        <w:tab/>
      </w:r>
      <w:r w:rsidRPr="000333B0">
        <w:rPr>
          <w:lang w:val="fr-FR"/>
        </w:rPr>
        <w:tab/>
        <w:t>Communication de l’expert de l’Allemagne</w:t>
      </w:r>
      <w:r w:rsidRPr="00485564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485564" w:rsidRPr="000333B0" w:rsidRDefault="00485564" w:rsidP="00485564">
      <w:pPr>
        <w:pStyle w:val="SingleTxtG"/>
        <w:rPr>
          <w:lang w:val="fr-FR"/>
        </w:rPr>
      </w:pPr>
      <w:r w:rsidRPr="000333B0">
        <w:rPr>
          <w:lang w:val="fr-FR"/>
        </w:rPr>
        <w:t>1.</w:t>
      </w:r>
      <w:r w:rsidRPr="000333B0">
        <w:rPr>
          <w:lang w:val="fr-FR"/>
        </w:rPr>
        <w:tab/>
      </w:r>
      <w:r>
        <w:rPr>
          <w:lang w:val="fr-FR"/>
        </w:rPr>
        <w:t>L</w:t>
      </w:r>
      <w:r w:rsidRPr="000333B0">
        <w:rPr>
          <w:lang w:val="fr-FR"/>
        </w:rPr>
        <w:t>a version révisée des disp</w:t>
      </w:r>
      <w:r>
        <w:rPr>
          <w:lang w:val="fr-FR"/>
        </w:rPr>
        <w:t>ositions relatives à la section </w:t>
      </w:r>
      <w:r w:rsidRPr="000333B0">
        <w:rPr>
          <w:lang w:val="fr-FR"/>
        </w:rPr>
        <w:t>9 de la fiche de données de sécurité (FDS) (en vigueur depuis la sixième édition révisée du SGH, en date de 2015) est mise en œuvre en Europe en application</w:t>
      </w:r>
      <w:r>
        <w:rPr>
          <w:lang w:val="fr-FR"/>
        </w:rPr>
        <w:t xml:space="preserve"> de l’annexe </w:t>
      </w:r>
      <w:r w:rsidRPr="000333B0">
        <w:rPr>
          <w:lang w:val="fr-FR"/>
        </w:rPr>
        <w:t>II du Règlement (CE) n</w:t>
      </w:r>
      <w:r w:rsidRPr="000333B0">
        <w:rPr>
          <w:vertAlign w:val="superscript"/>
          <w:lang w:val="fr-FR"/>
        </w:rPr>
        <w:t>o</w:t>
      </w:r>
      <w:r w:rsidRPr="000333B0">
        <w:rPr>
          <w:lang w:val="fr-FR"/>
        </w:rPr>
        <w:t> 1907/2006 du Parlement européen et du Conseil concernant l'enregistrement, l</w:t>
      </w:r>
      <w:r w:rsidR="000028F8">
        <w:rPr>
          <w:lang w:val="fr-FR"/>
        </w:rPr>
        <w:t>’</w:t>
      </w:r>
      <w:r w:rsidRPr="000333B0">
        <w:rPr>
          <w:lang w:val="fr-FR"/>
        </w:rPr>
        <w:t>évaluation et l</w:t>
      </w:r>
      <w:r w:rsidR="000028F8">
        <w:rPr>
          <w:lang w:val="fr-FR"/>
        </w:rPr>
        <w:t>’</w:t>
      </w:r>
      <w:r w:rsidRPr="000333B0">
        <w:rPr>
          <w:lang w:val="fr-FR"/>
        </w:rPr>
        <w:t>autorisation des substances chimiques, ainsi que les restrictions applicables à ces substances (REACH). Dans ce cadre, il a été constaté que les équations relatives à deux rubriques comportaient des erreurs de forme. Il s’agit d’erreurs concernant l’indication des unités et qui n’ont pas d’incidence sur le résultat. Cependant, il convient de les corriger. En outre, à un endroit, le terme « énergie » est utilisé alors qu’il s’agit de la température.</w:t>
      </w:r>
    </w:p>
    <w:p w:rsidR="00485564" w:rsidRPr="000333B0" w:rsidRDefault="00485564" w:rsidP="00485564">
      <w:pPr>
        <w:pStyle w:val="SingleTxtG"/>
        <w:rPr>
          <w:lang w:val="fr-FR"/>
        </w:rPr>
      </w:pPr>
      <w:r w:rsidRPr="000333B0">
        <w:rPr>
          <w:lang w:val="fr-FR"/>
        </w:rPr>
        <w:t>2.</w:t>
      </w:r>
      <w:r w:rsidRPr="000333B0">
        <w:rPr>
          <w:lang w:val="fr-FR"/>
        </w:rPr>
        <w:tab/>
        <w:t>Le Sous-Comité est invité à examiner les propositions figurant aux paragraphes</w:t>
      </w:r>
      <w:r>
        <w:rPr>
          <w:lang w:val="fr-FR"/>
        </w:rPr>
        <w:t> </w:t>
      </w:r>
      <w:r w:rsidRPr="000333B0">
        <w:rPr>
          <w:lang w:val="fr-FR"/>
        </w:rPr>
        <w:t>3, 4 et</w:t>
      </w:r>
      <w:r>
        <w:rPr>
          <w:lang w:val="fr-FR"/>
        </w:rPr>
        <w:t> </w:t>
      </w:r>
      <w:r w:rsidRPr="000333B0">
        <w:rPr>
          <w:lang w:val="fr-FR"/>
        </w:rPr>
        <w:t xml:space="preserve">5 ci-après. Les ajouts figurent en caractères </w:t>
      </w:r>
      <w:r w:rsidRPr="000333B0">
        <w:rPr>
          <w:b/>
          <w:bCs/>
          <w:u w:val="single"/>
          <w:lang w:val="fr-FR"/>
        </w:rPr>
        <w:t>gras soulignés</w:t>
      </w:r>
      <w:r w:rsidRPr="000333B0">
        <w:rPr>
          <w:lang w:val="fr-FR"/>
        </w:rPr>
        <w:t xml:space="preserve"> et les passages supprimés sont </w:t>
      </w:r>
      <w:r w:rsidRPr="000333B0">
        <w:rPr>
          <w:strike/>
          <w:lang w:val="fr-FR"/>
        </w:rPr>
        <w:t>biffés</w:t>
      </w:r>
      <w:r w:rsidRPr="000333B0">
        <w:rPr>
          <w:lang w:val="fr-FR"/>
        </w:rPr>
        <w:t>.</w:t>
      </w:r>
    </w:p>
    <w:p w:rsidR="00485564" w:rsidRPr="000333B0" w:rsidRDefault="00485564" w:rsidP="00485564">
      <w:pPr>
        <w:pStyle w:val="SingleTxtG"/>
        <w:rPr>
          <w:lang w:val="fr-FR"/>
        </w:rPr>
      </w:pPr>
      <w:r w:rsidRPr="000333B0">
        <w:rPr>
          <w:lang w:val="fr-FR"/>
        </w:rPr>
        <w:br w:type="page"/>
      </w:r>
      <w:r w:rsidRPr="000333B0">
        <w:rPr>
          <w:lang w:val="fr-FR"/>
        </w:rPr>
        <w:lastRenderedPageBreak/>
        <w:t>3.</w:t>
      </w:r>
      <w:r w:rsidRPr="000333B0">
        <w:rPr>
          <w:lang w:val="fr-FR"/>
        </w:rPr>
        <w:tab/>
        <w:t>Dans le tableau A4.3.9.1, à la rubrique « Pression de vapeur », corriger le sixième alinéa comme suit 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7823"/>
      </w:tblGrid>
      <w:tr w:rsidR="00485564" w:rsidRPr="00875A6F" w:rsidTr="00485564">
        <w:trPr>
          <w:cantSplit/>
          <w:jc w:val="center"/>
        </w:trPr>
        <w:tc>
          <w:tcPr>
            <w:tcW w:w="1814" w:type="dxa"/>
            <w:tcMar>
              <w:left w:w="85" w:type="dxa"/>
              <w:right w:w="85" w:type="dxa"/>
            </w:tcMar>
          </w:tcPr>
          <w:p w:rsidR="00485564" w:rsidRPr="000333B0" w:rsidRDefault="00485564" w:rsidP="00485564">
            <w:pPr>
              <w:suppressAutoHyphens w:val="0"/>
              <w:spacing w:before="60" w:after="60"/>
              <w:ind w:left="57" w:right="57"/>
              <w:rPr>
                <w:lang w:val="fr-FR" w:eastAsia="de-DE"/>
              </w:rPr>
            </w:pPr>
            <w:r w:rsidRPr="000333B0">
              <w:rPr>
                <w:lang w:val="fr-FR" w:eastAsia="de-DE"/>
              </w:rPr>
              <w:t>Pression de vapeur</w:t>
            </w:r>
          </w:p>
        </w:tc>
        <w:tc>
          <w:tcPr>
            <w:tcW w:w="7824" w:type="dxa"/>
            <w:tcMar>
              <w:left w:w="85" w:type="dxa"/>
              <w:right w:w="85" w:type="dxa"/>
            </w:tcMar>
          </w:tcPr>
          <w:p w:rsidR="00485564" w:rsidRPr="000333B0" w:rsidRDefault="00485564" w:rsidP="00485564">
            <w:pPr>
              <w:suppressAutoHyphens w:val="0"/>
              <w:spacing w:before="60" w:after="60"/>
              <w:ind w:left="57" w:right="57" w:hanging="284"/>
              <w:rPr>
                <w:lang w:val="fr-FR" w:eastAsia="de-DE"/>
              </w:rPr>
            </w:pPr>
            <w:r>
              <w:rPr>
                <w:lang w:val="fr-FR" w:eastAsia="de-DE"/>
              </w:rPr>
              <w:tab/>
              <w:t>…</w:t>
            </w:r>
          </w:p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lang w:val="fr-FR" w:eastAsia="de-DE"/>
              </w:rPr>
            </w:pPr>
            <w:r w:rsidRPr="000333B0">
              <w:rPr>
                <w:lang w:val="fr-FR" w:eastAsia="de-DE"/>
              </w:rPr>
              <w:t>−</w:t>
            </w:r>
            <w:r w:rsidRPr="000333B0">
              <w:rPr>
                <w:lang w:val="fr-FR" w:eastAsia="de-DE"/>
              </w:rPr>
              <w:tab/>
            </w:r>
            <w:r w:rsidRPr="000333B0">
              <w:rPr>
                <w:lang w:val="fr-FR"/>
              </w:rPr>
              <w:t>La concentration de vapeur saturée</w:t>
            </w:r>
            <w:r w:rsidRPr="000333B0">
              <w:rPr>
                <w:b/>
                <w:bCs/>
                <w:u w:val="single"/>
                <w:lang w:val="fr-FR" w:eastAsia="en-GB"/>
              </w:rPr>
              <w:t>, en ml/m</w:t>
            </w:r>
            <w:r w:rsidRPr="000333B0">
              <w:rPr>
                <w:b/>
                <w:bCs/>
                <w:u w:val="single"/>
                <w:vertAlign w:val="superscript"/>
                <w:lang w:val="fr-FR" w:eastAsia="en-GB"/>
              </w:rPr>
              <w:t>3</w:t>
            </w:r>
            <w:r w:rsidRPr="000333B0">
              <w:rPr>
                <w:b/>
                <w:bCs/>
                <w:u w:val="single"/>
                <w:lang w:val="fr-FR" w:eastAsia="en-GB"/>
              </w:rPr>
              <w:t xml:space="preserve"> ou en g/m</w:t>
            </w:r>
            <w:r w:rsidRPr="000333B0">
              <w:rPr>
                <w:b/>
                <w:bCs/>
                <w:u w:val="single"/>
                <w:vertAlign w:val="superscript"/>
                <w:lang w:val="fr-FR" w:eastAsia="en-GB"/>
              </w:rPr>
              <w:t>3</w:t>
            </w:r>
            <w:r w:rsidRPr="000333B0">
              <w:rPr>
                <w:b/>
                <w:bCs/>
                <w:u w:val="single"/>
                <w:lang w:val="fr-FR" w:eastAsia="en-GB"/>
              </w:rPr>
              <w:t xml:space="preserve"> (=</w:t>
            </w:r>
            <w:r w:rsidR="0096244A">
              <w:rPr>
                <w:b/>
                <w:bCs/>
                <w:u w:val="single"/>
                <w:lang w:val="fr-FR" w:eastAsia="en-GB"/>
              </w:rPr>
              <w:t xml:space="preserve"> </w:t>
            </w:r>
            <w:r w:rsidRPr="000333B0">
              <w:rPr>
                <w:b/>
                <w:bCs/>
                <w:u w:val="single"/>
                <w:lang w:val="fr-FR" w:eastAsia="en-GB"/>
              </w:rPr>
              <w:t>mg/l),</w:t>
            </w:r>
            <w:r w:rsidRPr="000333B0">
              <w:rPr>
                <w:sz w:val="24"/>
                <w:szCs w:val="24"/>
                <w:lang w:val="fr-FR" w:eastAsia="en-GB"/>
              </w:rPr>
              <w:t xml:space="preserve"> </w:t>
            </w:r>
            <w:r w:rsidRPr="000333B0">
              <w:rPr>
                <w:lang w:val="fr-FR"/>
              </w:rPr>
              <w:t>peut être indiquée aussi. Elle est évaluée comme suit </w:t>
            </w:r>
            <w:r w:rsidRPr="000333B0">
              <w:rPr>
                <w:lang w:val="fr-FR" w:eastAsia="de-DE"/>
              </w:rPr>
              <w:t>:</w:t>
            </w:r>
          </w:p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strike/>
                <w:lang w:val="fr-FR" w:eastAsia="de-DE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trike/>
                    <w:lang w:val="fr-FR"/>
                  </w:rPr>
                  <m:t xml:space="preserve">SVC </m:t>
                </m:r>
                <m:d>
                  <m:dPr>
                    <m:ctrlPr>
                      <w:rPr>
                        <w:rFonts w:ascii="Cambria Math" w:hAnsi="Cambria Math"/>
                        <w:strike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lang w:val="fr-FR"/>
                      </w:rPr>
                      <m:t>en ml/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strike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lang w:val="fr-FR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lang w:val="fr-FR"/>
                          </w:rPr>
                          <m:t>3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trike/>
                    <w:lang w:val="fr-FR"/>
                  </w:rPr>
                  <m:t>=VP (en hPa=mbar)∙987,2</m:t>
                </m:r>
              </m:oMath>
            </m:oMathPara>
          </w:p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strike/>
                <w:lang w:val="fr-FR" w:eastAsia="de-DE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trike/>
                    <w:lang w:val="fr-FR"/>
                  </w:rPr>
                  <m:t xml:space="preserve">SVC </m:t>
                </m:r>
                <m:d>
                  <m:dPr>
                    <m:ctrlPr>
                      <w:rPr>
                        <w:rFonts w:ascii="Cambria Math" w:hAnsi="Cambria Math"/>
                        <w:strike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lang w:val="fr-FR"/>
                      </w:rPr>
                      <m:t>en mg/l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trike/>
                    <w:lang w:val="fr-FR"/>
                  </w:rPr>
                  <m:t>=VP (en hPa=mbar)∙MW∙0,0412</m:t>
                </m:r>
              </m:oMath>
            </m:oMathPara>
          </w:p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b/>
                <w:bCs/>
                <w:u w:val="single"/>
                <w:lang w:val="fr-FR"/>
              </w:rPr>
            </w:pPr>
            <w:r w:rsidRPr="00485564">
              <w:tab/>
            </w:r>
            <w:r w:rsidRPr="000333B0">
              <w:rPr>
                <w:b/>
                <w:bCs/>
                <w:u w:val="single"/>
                <w:lang w:val="fr-FR"/>
              </w:rPr>
              <w:t>SVC en ml/m</w:t>
            </w:r>
            <w:r w:rsidRPr="000333B0">
              <w:rPr>
                <w:b/>
                <w:bCs/>
                <w:u w:val="single"/>
                <w:vertAlign w:val="superscript"/>
                <w:lang w:val="fr-FR"/>
              </w:rPr>
              <w:t>3</w:t>
            </w:r>
            <w:r>
              <w:rPr>
                <w:b/>
                <w:bCs/>
                <w:u w:val="single"/>
                <w:lang w:val="fr-FR"/>
              </w:rPr>
              <w:t> </w:t>
            </w:r>
            <w:r w:rsidRPr="000333B0">
              <w:rPr>
                <w:b/>
                <w:bCs/>
                <w:u w:val="single"/>
                <w:lang w:val="fr-FR"/>
              </w:rPr>
              <w:t>:</w:t>
            </w:r>
            <w:r w:rsidRPr="000333B0">
              <w:rPr>
                <w:b/>
                <w:bCs/>
                <w:u w:val="single"/>
                <w:lang w:val="fr-FR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u w:val="single"/>
                  <w:lang w:val="fr-FR"/>
                </w:rPr>
                <m:t>SVC=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u w:val="single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u w:val="single"/>
                      <w:lang w:val="fr-FR"/>
                    </w:rPr>
                    <m:t>VP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u w:val="single"/>
                      <w:lang w:val="fr-FR"/>
                    </w:rPr>
                    <m:t>hPa∙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bCs/>
                          <w:u w:val="single"/>
                          <w:lang w:val="fr-FR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u w:val="single"/>
                          <w:lang w:val="fr-FR"/>
                        </w:rPr>
                        <m:t>987,2∙ml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u w:val="single"/>
                              <w:lang w:val="fr-FR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u w:val="single"/>
                              <w:lang w:val="fr-FR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u w:val="single"/>
                              <w:lang w:val="fr-FR"/>
                            </w:rPr>
                            <m:t>3</m:t>
                          </m:r>
                        </m:sup>
                      </m:sSup>
                    </m:den>
                  </m:f>
                </m:den>
              </m:f>
            </m:oMath>
            <w:r w:rsidRPr="000333B0">
              <w:rPr>
                <w:b/>
                <w:bCs/>
                <w:u w:val="single"/>
                <w:lang w:val="fr-FR"/>
              </w:rPr>
              <w:t xml:space="preserve"> </w:t>
            </w:r>
          </w:p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b/>
                <w:bCs/>
                <w:u w:val="single"/>
                <w:lang w:val="fr-FR"/>
              </w:rPr>
            </w:pPr>
            <w:r w:rsidRPr="00485564">
              <w:tab/>
            </w:r>
            <w:r w:rsidRPr="000333B0">
              <w:rPr>
                <w:b/>
                <w:bCs/>
                <w:u w:val="single"/>
                <w:lang w:val="fr-FR"/>
              </w:rPr>
              <w:t>SVC en g/m</w:t>
            </w:r>
            <w:r w:rsidRPr="000333B0">
              <w:rPr>
                <w:b/>
                <w:bCs/>
                <w:u w:val="single"/>
                <w:vertAlign w:val="superscript"/>
                <w:lang w:val="fr-FR"/>
              </w:rPr>
              <w:t>3</w:t>
            </w:r>
            <w:r>
              <w:rPr>
                <w:b/>
                <w:bCs/>
                <w:u w:val="single"/>
                <w:vertAlign w:val="superscript"/>
                <w:lang w:val="fr-FR"/>
              </w:rPr>
              <w:t> </w:t>
            </w:r>
            <w:r>
              <w:rPr>
                <w:b/>
                <w:bCs/>
                <w:u w:val="single"/>
                <w:lang w:val="fr-FR"/>
              </w:rPr>
              <w:t>:</w:t>
            </w:r>
            <w:r w:rsidRPr="000333B0">
              <w:rPr>
                <w:b/>
                <w:bCs/>
                <w:u w:val="single"/>
                <w:lang w:val="fr-FR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  <w:u w:val="single"/>
                  <w:lang w:val="fr-FR"/>
                </w:rPr>
                <m:t>SVC=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u w:val="single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u w:val="single"/>
                      <w:lang w:val="fr-FR"/>
                    </w:rPr>
                    <m:t>VP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u w:val="single"/>
                      <w:lang w:val="fr-FR"/>
                    </w:rPr>
                    <m:t>hPa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u w:val="single"/>
                  <w:lang w:val="fr-FR"/>
                </w:rPr>
                <m:t>∙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u w:val="single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u w:val="single"/>
                      <w:lang w:val="fr-FR"/>
                    </w:rPr>
                    <m:t>MW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u w:val="single"/>
                          <w:lang w:val="fr-FR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u w:val="single"/>
                          <w:lang w:val="fr-FR"/>
                        </w:rPr>
                        <m:t>g/mol</m:t>
                      </m:r>
                    </m:e>
                  </m:d>
                </m:den>
              </m:f>
              <m:r>
                <m:rPr>
                  <m:sty m:val="b"/>
                </m:rPr>
                <w:rPr>
                  <w:rFonts w:ascii="Cambria Math" w:hAnsi="Cambria Math"/>
                  <w:u w:val="single"/>
                  <w:lang w:val="fr-FR"/>
                </w:rPr>
                <m:t>∙0,0412∙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bCs/>
                      <w:u w:val="single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u w:val="single"/>
                      <w:lang w:val="fr-FR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u w:val="single"/>
                          <w:lang w:val="fr-FR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u w:val="single"/>
                          <w:lang w:val="fr-FR"/>
                        </w:rPr>
                        <m:t>m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u w:val="single"/>
                          <w:lang w:val="fr-FR"/>
                        </w:rPr>
                        <m:t>3</m:t>
                      </m:r>
                    </m:sup>
                  </m:sSup>
                </m:den>
              </m:f>
            </m:oMath>
            <w:r w:rsidRPr="000333B0">
              <w:rPr>
                <w:b/>
                <w:bCs/>
                <w:u w:val="single"/>
                <w:lang w:val="fr-FR"/>
              </w:rPr>
              <w:t xml:space="preserve"> </w:t>
            </w:r>
          </w:p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lang w:val="fr-FR" w:eastAsia="de-DE"/>
              </w:rPr>
            </w:pPr>
            <w:r>
              <w:rPr>
                <w:lang w:val="fr-FR" w:eastAsia="de-DE"/>
              </w:rPr>
              <w:tab/>
            </w:r>
            <w:r w:rsidRPr="000333B0">
              <w:rPr>
                <w:lang w:val="fr-FR" w:eastAsia="de-DE"/>
              </w:rPr>
              <w:t>où</w:t>
            </w:r>
          </w:p>
          <w:p w:rsidR="00485564" w:rsidRPr="000333B0" w:rsidRDefault="00485564" w:rsidP="00485564">
            <w:pPr>
              <w:pStyle w:val="Bullet1G"/>
              <w:ind w:left="454" w:right="57"/>
              <w:rPr>
                <w:lang w:val="fr-FR" w:eastAsia="de-DE"/>
              </w:rPr>
            </w:pPr>
            <w:r w:rsidRPr="000333B0">
              <w:rPr>
                <w:lang w:val="fr-FR" w:eastAsia="de-DE"/>
              </w:rPr>
              <w:t>VP est la pression de vapeur</w:t>
            </w:r>
            <w:r w:rsidRPr="000333B0">
              <w:rPr>
                <w:b/>
                <w:bCs/>
                <w:u w:val="single"/>
                <w:lang w:val="fr-FR" w:eastAsia="de-DE"/>
              </w:rPr>
              <w:t xml:space="preserve"> en hPa (=</w:t>
            </w:r>
            <w:r w:rsidR="00424ED7">
              <w:rPr>
                <w:b/>
                <w:bCs/>
                <w:u w:val="single"/>
                <w:lang w:val="fr-FR" w:eastAsia="de-DE"/>
              </w:rPr>
              <w:t xml:space="preserve"> </w:t>
            </w:r>
            <w:r w:rsidRPr="000333B0">
              <w:rPr>
                <w:b/>
                <w:bCs/>
                <w:u w:val="single"/>
                <w:lang w:val="fr-FR" w:eastAsia="de-DE"/>
              </w:rPr>
              <w:t>mbar)</w:t>
            </w:r>
            <w:r w:rsidRPr="000333B0">
              <w:rPr>
                <w:bCs/>
                <w:lang w:val="fr-FR" w:eastAsia="de-DE"/>
              </w:rPr>
              <w:t xml:space="preserve"> et</w:t>
            </w:r>
          </w:p>
          <w:p w:rsidR="00485564" w:rsidRPr="000333B0" w:rsidRDefault="00485564" w:rsidP="00485564">
            <w:pPr>
              <w:pStyle w:val="Bullet1G"/>
              <w:ind w:left="454" w:right="57"/>
              <w:rPr>
                <w:lang w:val="fr-FR" w:eastAsia="de-DE"/>
              </w:rPr>
            </w:pPr>
            <w:r w:rsidRPr="000333B0">
              <w:rPr>
                <w:lang w:val="fr-FR" w:eastAsia="de-DE"/>
              </w:rPr>
              <w:t>MW est la masse moléculaire</w:t>
            </w:r>
            <w:r w:rsidRPr="000333B0">
              <w:rPr>
                <w:b/>
                <w:bCs/>
                <w:u w:val="single"/>
                <w:lang w:val="fr-FR" w:eastAsia="de-DE"/>
              </w:rPr>
              <w:t xml:space="preserve"> en g/mol</w:t>
            </w:r>
          </w:p>
        </w:tc>
      </w:tr>
    </w:tbl>
    <w:p w:rsidR="00485564" w:rsidRPr="000333B0" w:rsidRDefault="00485564" w:rsidP="00485564">
      <w:pPr>
        <w:pStyle w:val="SingleTxtG"/>
        <w:spacing w:before="240"/>
        <w:rPr>
          <w:lang w:val="fr-FR"/>
        </w:rPr>
      </w:pPr>
      <w:r w:rsidRPr="000333B0">
        <w:rPr>
          <w:lang w:val="fr-FR"/>
        </w:rPr>
        <w:t>4.</w:t>
      </w:r>
      <w:r w:rsidRPr="000333B0">
        <w:rPr>
          <w:lang w:val="fr-FR"/>
        </w:rPr>
        <w:tab/>
        <w:t>Dans le tableau A4.3.9.1, à la rubrique « Densité de vapeur relative », corriger le quatrième alinéa comme suit 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7823"/>
      </w:tblGrid>
      <w:tr w:rsidR="00485564" w:rsidRPr="00875A6F" w:rsidTr="00485564">
        <w:trPr>
          <w:cantSplit/>
          <w:jc w:val="center"/>
        </w:trPr>
        <w:tc>
          <w:tcPr>
            <w:tcW w:w="1814" w:type="dxa"/>
            <w:tcMar>
              <w:left w:w="85" w:type="dxa"/>
              <w:right w:w="85" w:type="dxa"/>
            </w:tcMar>
          </w:tcPr>
          <w:p w:rsidR="00485564" w:rsidRPr="000333B0" w:rsidRDefault="00485564" w:rsidP="00485564">
            <w:pPr>
              <w:suppressAutoHyphens w:val="0"/>
              <w:spacing w:before="60" w:after="60"/>
              <w:ind w:left="57" w:right="57"/>
              <w:rPr>
                <w:lang w:val="fr-FR" w:eastAsia="de-DE"/>
              </w:rPr>
            </w:pPr>
            <w:r w:rsidRPr="000333B0">
              <w:rPr>
                <w:lang w:val="fr-FR"/>
              </w:rPr>
              <w:t>Densité de vapeur relative</w:t>
            </w:r>
          </w:p>
        </w:tc>
        <w:tc>
          <w:tcPr>
            <w:tcW w:w="7824" w:type="dxa"/>
            <w:tcMar>
              <w:left w:w="85" w:type="dxa"/>
              <w:right w:w="85" w:type="dxa"/>
            </w:tcMar>
          </w:tcPr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lang w:val="fr-FR" w:eastAsia="de-DE"/>
              </w:rPr>
            </w:pPr>
            <w:r w:rsidRPr="000333B0">
              <w:rPr>
                <w:lang w:val="fr-FR" w:eastAsia="de-DE"/>
              </w:rPr>
              <w:t>…</w:t>
            </w:r>
          </w:p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lang w:val="fr-FR" w:eastAsia="de-DE"/>
              </w:rPr>
            </w:pPr>
            <w:r w:rsidRPr="000333B0">
              <w:rPr>
                <w:lang w:val="fr-FR" w:eastAsia="de-DE"/>
              </w:rPr>
              <w:t>−</w:t>
            </w:r>
            <w:r w:rsidRPr="000333B0">
              <w:rPr>
                <w:lang w:val="fr-FR" w:eastAsia="de-DE"/>
              </w:rPr>
              <w:tab/>
            </w:r>
            <w:r w:rsidRPr="000333B0">
              <w:rPr>
                <w:lang w:val="fr-FR"/>
              </w:rPr>
              <w:t xml:space="preserve">Pour les liquides la densité relative </w:t>
            </w:r>
            <w:r w:rsidRPr="000333B0">
              <w:rPr>
                <w:b/>
                <w:bCs/>
                <w:u w:val="single"/>
                <w:lang w:val="fr-FR" w:eastAsia="de-DE"/>
              </w:rPr>
              <w:t>D</w:t>
            </w:r>
            <w:r w:rsidRPr="000333B0">
              <w:rPr>
                <w:b/>
                <w:bCs/>
                <w:u w:val="single"/>
                <w:vertAlign w:val="subscript"/>
                <w:lang w:val="fr-FR" w:eastAsia="de-DE"/>
              </w:rPr>
              <w:t>m</w:t>
            </w:r>
            <w:r w:rsidRPr="000333B0">
              <w:rPr>
                <w:u w:val="single"/>
                <w:lang w:val="fr-FR" w:eastAsia="de-DE"/>
              </w:rPr>
              <w:t xml:space="preserve"> </w:t>
            </w:r>
            <w:r w:rsidRPr="000333B0">
              <w:rPr>
                <w:lang w:val="fr-FR" w:eastAsia="de-DE"/>
              </w:rPr>
              <w:t>d</w:t>
            </w:r>
            <w:r w:rsidRPr="000333B0">
              <w:rPr>
                <w:lang w:val="fr-FR"/>
              </w:rPr>
              <w:t>u mélange vapeur/air à</w:t>
            </w:r>
            <w:r w:rsidR="000028F8">
              <w:rPr>
                <w:lang w:val="fr-FR"/>
              </w:rPr>
              <w:t xml:space="preserve"> </w:t>
            </w:r>
            <w:r w:rsidRPr="000333B0">
              <w:rPr>
                <w:lang w:val="fr-FR" w:eastAsia="de-DE"/>
              </w:rPr>
              <w:t xml:space="preserve">20 °C (air = 1) </w:t>
            </w:r>
            <w:r w:rsidRPr="000333B0">
              <w:rPr>
                <w:lang w:val="fr-FR"/>
              </w:rPr>
              <w:t>peut aussi être indiquée. Elle peut être calculée comme suit </w:t>
            </w:r>
            <w:r w:rsidRPr="000333B0">
              <w:rPr>
                <w:lang w:val="fr-FR" w:eastAsia="de-DE"/>
              </w:rPr>
              <w:t>:</w:t>
            </w:r>
          </w:p>
          <w:p w:rsidR="00485564" w:rsidRPr="000333B0" w:rsidRDefault="00B62190" w:rsidP="00485564">
            <w:pPr>
              <w:suppressAutoHyphens w:val="0"/>
              <w:spacing w:before="60" w:after="60"/>
              <w:ind w:left="341" w:right="57" w:hanging="284"/>
              <w:rPr>
                <w:strike/>
                <w:lang w:val="fr-FR" w:eastAsia="de-D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trike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lang w:val="fr-FR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lang w:val="fr-FR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trike/>
                    <w:lang w:val="fr-FR"/>
                  </w:rPr>
                  <m:t>=1+</m:t>
                </m:r>
                <m:d>
                  <m:dPr>
                    <m:ctrlPr>
                      <w:rPr>
                        <w:rFonts w:ascii="Cambria Math" w:hAnsi="Cambria Math"/>
                        <w:strike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lang w:val="fr-FR"/>
                      </w:rPr>
                      <m:t>34∙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trike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lang w:val="fr-FR"/>
                          </w:rPr>
                          <m:t>VP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lang w:val="fr-FR"/>
                          </w:rPr>
                          <m:t>20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lang w:val="fr-FR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trike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lang w:val="fr-FR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lang w:val="fr-FR"/>
                          </w:rPr>
                          <m:t>-6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lang w:val="fr-FR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strike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  <w:lang w:val="fr-FR"/>
                          </w:rPr>
                          <m:t>MW-29</m:t>
                        </m:r>
                      </m:e>
                    </m:d>
                  </m:e>
                </m:d>
              </m:oMath>
            </m:oMathPara>
          </w:p>
          <w:p w:rsidR="00485564" w:rsidRPr="000333B0" w:rsidRDefault="00B62190" w:rsidP="00485564">
            <w:pPr>
              <w:pBdr>
                <w:bottom w:val="single" w:sz="4" w:space="1" w:color="auto"/>
              </w:pBdr>
              <w:suppressAutoHyphens w:val="0"/>
              <w:spacing w:before="60" w:after="60"/>
              <w:ind w:left="341" w:right="57" w:hanging="284"/>
              <w:rPr>
                <w:b/>
                <w:bCs/>
                <w:u w:val="single"/>
                <w:lang w:val="fr-FR" w:eastAsia="de-D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lang w:val="fr-FR" w:eastAsia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fr-FR" w:eastAsia="en-GB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fr-FR" w:eastAsia="en-GB"/>
                      </w:rPr>
                      <m:t>m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lang w:val="fr-FR" w:eastAsia="en-GB"/>
                  </w:rPr>
                  <m:t>=1+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lang w:val="fr-FR" w:eastAsia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lang w:val="fr-FR" w:eastAsia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val="fr-FR" w:eastAsia="en-GB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val="fr-FR" w:eastAsia="en-GB"/>
                              </w:rPr>
                              <m:t>VP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val="fr-FR" w:eastAsia="en-GB"/>
                              </w:rPr>
                              <m:t>20</m:t>
                            </m:r>
                          </m:sub>
                        </m:sSub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fr-FR" w:eastAsia="en-GB"/>
                          </w:rPr>
                          <m:t>hPa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fr-FR" w:eastAsia="en-GB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lang w:val="fr-FR" w:eastAsia="en-GB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fr-FR" w:eastAsia="en-GB"/>
                          </w:rPr>
                          <m:t>MW-29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val="fr-FR" w:eastAsia="en-GB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val="fr-FR" w:eastAsia="en-GB"/>
                              </w:rPr>
                              <m:t>g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val="fr-FR" w:eastAsia="en-GB"/>
                              </w:rPr>
                              <m:t>mol</m:t>
                            </m:r>
                          </m:den>
                        </m:f>
                      </m:num>
                      <m:den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lang w:val="fr-FR" w:eastAsia="en-GB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val="fr-FR" w:eastAsia="en-GB"/>
                              </w:rPr>
                              <m:t>g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val="fr-FR" w:eastAsia="en-GB"/>
                              </w:rPr>
                              <m:t>mol</m:t>
                            </m:r>
                          </m:den>
                        </m:f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fr-FR" w:eastAsia="en-GB"/>
                      </w:rPr>
                      <m:t xml:space="preserve">∙34∙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lang w:val="fr-FR" w:eastAsia="en-GB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fr-FR" w:eastAsia="en-GB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fr-FR" w:eastAsia="en-GB"/>
                          </w:rPr>
                          <m:t>-6</m:t>
                        </m:r>
                      </m:sup>
                    </m:sSup>
                  </m:e>
                </m:d>
              </m:oMath>
            </m:oMathPara>
          </w:p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lang w:val="fr-FR" w:eastAsia="de-DE"/>
              </w:rPr>
            </w:pPr>
            <w:r>
              <w:rPr>
                <w:lang w:val="fr-FR" w:eastAsia="de-DE"/>
              </w:rPr>
              <w:tab/>
            </w:r>
            <w:r w:rsidRPr="000333B0">
              <w:rPr>
                <w:lang w:val="fr-FR" w:eastAsia="de-DE"/>
              </w:rPr>
              <w:t>où</w:t>
            </w:r>
          </w:p>
          <w:p w:rsidR="00485564" w:rsidRPr="000333B0" w:rsidRDefault="00485564" w:rsidP="00485564">
            <w:pPr>
              <w:pStyle w:val="Bullet1G"/>
              <w:ind w:left="454" w:right="57"/>
              <w:rPr>
                <w:strike/>
                <w:lang w:val="fr-FR" w:eastAsia="de-DE"/>
              </w:rPr>
            </w:pPr>
            <w:r w:rsidRPr="000333B0">
              <w:rPr>
                <w:strike/>
                <w:lang w:val="fr-FR" w:eastAsia="de-DE"/>
              </w:rPr>
              <w:t>D</w:t>
            </w:r>
            <w:r w:rsidRPr="000333B0">
              <w:rPr>
                <w:strike/>
                <w:vertAlign w:val="subscript"/>
                <w:lang w:val="fr-FR" w:eastAsia="de-DE"/>
              </w:rPr>
              <w:t>m</w:t>
            </w:r>
            <w:r w:rsidRPr="000333B0">
              <w:rPr>
                <w:strike/>
                <w:lang w:val="fr-FR" w:eastAsia="de-DE"/>
              </w:rPr>
              <w:t xml:space="preserve"> est la densité relative du mélange vapeur/air à20 °C</w:t>
            </w:r>
          </w:p>
          <w:p w:rsidR="00485564" w:rsidRPr="000333B0" w:rsidRDefault="00485564" w:rsidP="00485564">
            <w:pPr>
              <w:pStyle w:val="Bullet1G"/>
              <w:ind w:left="454" w:right="57"/>
              <w:rPr>
                <w:lang w:val="fr-FR" w:eastAsia="de-DE"/>
              </w:rPr>
            </w:pPr>
            <w:r w:rsidRPr="000333B0">
              <w:rPr>
                <w:lang w:val="fr-FR" w:eastAsia="de-DE"/>
              </w:rPr>
              <w:t>VP</w:t>
            </w:r>
            <w:r w:rsidRPr="000333B0">
              <w:rPr>
                <w:vertAlign w:val="subscript"/>
                <w:lang w:val="fr-FR" w:eastAsia="de-DE"/>
              </w:rPr>
              <w:t>20</w:t>
            </w:r>
            <w:r w:rsidRPr="000333B0">
              <w:rPr>
                <w:lang w:val="fr-FR" w:eastAsia="de-DE"/>
              </w:rPr>
              <w:t xml:space="preserve"> </w:t>
            </w:r>
            <w:r w:rsidRPr="000333B0">
              <w:rPr>
                <w:lang w:val="fr-FR"/>
              </w:rPr>
              <w:t xml:space="preserve">est la pression de vapeur à </w:t>
            </w:r>
            <w:r w:rsidRPr="000333B0">
              <w:rPr>
                <w:lang w:val="fr-FR" w:eastAsia="de-DE"/>
              </w:rPr>
              <w:t xml:space="preserve">20 °C en </w:t>
            </w:r>
            <w:r w:rsidRPr="000333B0">
              <w:rPr>
                <w:b/>
                <w:bCs/>
                <w:u w:val="single"/>
                <w:lang w:val="fr-FR" w:eastAsia="de-DE"/>
              </w:rPr>
              <w:t>hPa (=</w:t>
            </w:r>
            <w:r w:rsidR="000028F8">
              <w:rPr>
                <w:b/>
                <w:bCs/>
                <w:u w:val="single"/>
                <w:lang w:val="fr-FR" w:eastAsia="de-DE"/>
              </w:rPr>
              <w:t xml:space="preserve"> </w:t>
            </w:r>
            <w:r w:rsidRPr="000333B0">
              <w:rPr>
                <w:lang w:val="fr-FR" w:eastAsia="de-DE"/>
              </w:rPr>
              <w:t>mbar</w:t>
            </w:r>
            <w:r w:rsidRPr="000333B0">
              <w:rPr>
                <w:b/>
                <w:bCs/>
                <w:u w:val="single"/>
                <w:lang w:val="fr-FR" w:eastAsia="de-DE"/>
              </w:rPr>
              <w:t>)</w:t>
            </w:r>
          </w:p>
          <w:p w:rsidR="00485564" w:rsidRPr="000333B0" w:rsidRDefault="00485564" w:rsidP="00485564">
            <w:pPr>
              <w:pStyle w:val="Bullet1G"/>
              <w:ind w:left="454" w:right="57"/>
              <w:rPr>
                <w:lang w:val="fr-FR" w:eastAsia="de-DE"/>
              </w:rPr>
            </w:pPr>
            <w:r w:rsidRPr="000333B0">
              <w:rPr>
                <w:lang w:val="fr-FR" w:eastAsia="de-DE"/>
              </w:rPr>
              <w:t xml:space="preserve">MW </w:t>
            </w:r>
            <w:r w:rsidRPr="000333B0">
              <w:rPr>
                <w:lang w:val="fr-FR"/>
              </w:rPr>
              <w:t xml:space="preserve">est la masse moléculaire </w:t>
            </w:r>
            <w:r w:rsidRPr="000333B0">
              <w:rPr>
                <w:b/>
                <w:bCs/>
                <w:u w:val="single"/>
                <w:lang w:val="fr-FR" w:eastAsia="de-DE"/>
              </w:rPr>
              <w:t>en g/mol</w:t>
            </w:r>
          </w:p>
        </w:tc>
      </w:tr>
      <w:tr w:rsidR="00485564" w:rsidRPr="00875A6F" w:rsidTr="00485564">
        <w:trPr>
          <w:cantSplit/>
          <w:jc w:val="center"/>
        </w:trPr>
        <w:tc>
          <w:tcPr>
            <w:tcW w:w="1814" w:type="dxa"/>
            <w:tcMar>
              <w:left w:w="85" w:type="dxa"/>
              <w:right w:w="85" w:type="dxa"/>
            </w:tcMar>
          </w:tcPr>
          <w:p w:rsidR="00485564" w:rsidRPr="000333B0" w:rsidRDefault="00485564" w:rsidP="00485564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7824" w:type="dxa"/>
            <w:tcMar>
              <w:left w:w="85" w:type="dxa"/>
              <w:right w:w="85" w:type="dxa"/>
            </w:tcMar>
          </w:tcPr>
          <w:p w:rsidR="00485564" w:rsidRPr="000333B0" w:rsidRDefault="00485564" w:rsidP="00485564">
            <w:pPr>
              <w:suppressAutoHyphens w:val="0"/>
              <w:spacing w:before="60" w:after="60"/>
              <w:ind w:left="57" w:right="57" w:hanging="284"/>
              <w:rPr>
                <w:lang w:val="fr-FR" w:eastAsia="de-DE"/>
              </w:rPr>
            </w:pPr>
          </w:p>
        </w:tc>
      </w:tr>
    </w:tbl>
    <w:p w:rsidR="00485564" w:rsidRPr="000333B0" w:rsidRDefault="00485564" w:rsidP="00485564">
      <w:pPr>
        <w:pStyle w:val="SingleTxtG"/>
        <w:spacing w:before="240"/>
        <w:rPr>
          <w:lang w:val="fr-FR"/>
        </w:rPr>
      </w:pPr>
      <w:r w:rsidRPr="000333B0">
        <w:rPr>
          <w:lang w:val="fr-FR"/>
        </w:rPr>
        <w:t>5.</w:t>
      </w:r>
      <w:r w:rsidRPr="000333B0">
        <w:rPr>
          <w:lang w:val="fr-FR"/>
        </w:rPr>
        <w:tab/>
        <w:t>Dans le tableau A4.3.9.2, à la rubrique relative au chapitre 2.8 (Matières autoréactives), corriger le premier alinéa comme suit 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31"/>
        <w:gridCol w:w="7256"/>
      </w:tblGrid>
      <w:tr w:rsidR="00485564" w:rsidRPr="000333B0" w:rsidTr="00485564">
        <w:trPr>
          <w:cantSplit/>
          <w:jc w:val="center"/>
        </w:trPr>
        <w:tc>
          <w:tcPr>
            <w:tcW w:w="850" w:type="dxa"/>
            <w:tcMar>
              <w:left w:w="28" w:type="dxa"/>
            </w:tcMar>
          </w:tcPr>
          <w:p w:rsidR="00485564" w:rsidRPr="000333B0" w:rsidRDefault="00485564" w:rsidP="00485564">
            <w:pPr>
              <w:spacing w:before="60" w:after="60"/>
              <w:ind w:left="57" w:right="57"/>
              <w:jc w:val="center"/>
              <w:rPr>
                <w:lang w:val="fr-FR"/>
              </w:rPr>
            </w:pPr>
            <w:r w:rsidRPr="000333B0">
              <w:rPr>
                <w:lang w:val="fr-FR"/>
              </w:rPr>
              <w:t>2.8</w:t>
            </w:r>
          </w:p>
        </w:tc>
        <w:tc>
          <w:tcPr>
            <w:tcW w:w="1531" w:type="dxa"/>
            <w:tcMar>
              <w:left w:w="85" w:type="dxa"/>
              <w:right w:w="85" w:type="dxa"/>
            </w:tcMar>
          </w:tcPr>
          <w:p w:rsidR="00485564" w:rsidRPr="000333B0" w:rsidRDefault="00485564" w:rsidP="00485564">
            <w:pPr>
              <w:spacing w:before="60" w:after="60"/>
              <w:ind w:left="57" w:right="57"/>
              <w:rPr>
                <w:lang w:val="fr-FR"/>
              </w:rPr>
            </w:pPr>
            <w:r w:rsidRPr="000333B0">
              <w:rPr>
                <w:lang w:val="fr-FR"/>
              </w:rPr>
              <w:t>Matières autoréactives</w:t>
            </w:r>
          </w:p>
        </w:tc>
        <w:tc>
          <w:tcPr>
            <w:tcW w:w="7257" w:type="dxa"/>
            <w:tcMar>
              <w:left w:w="85" w:type="dxa"/>
              <w:right w:w="85" w:type="dxa"/>
            </w:tcMar>
          </w:tcPr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lang w:val="fr-FR" w:eastAsia="de-DE"/>
              </w:rPr>
            </w:pPr>
            <w:r w:rsidRPr="000333B0">
              <w:rPr>
                <w:lang w:val="fr-FR" w:eastAsia="de-DE"/>
              </w:rPr>
              <w:t>−</w:t>
            </w:r>
            <w:r w:rsidRPr="000333B0">
              <w:rPr>
                <w:lang w:val="fr-FR" w:eastAsia="de-DE"/>
              </w:rPr>
              <w:tab/>
            </w:r>
            <w:r w:rsidRPr="000333B0">
              <w:rPr>
                <w:lang w:val="fr-FR"/>
              </w:rPr>
              <w:t>Pour la TDAA (température de décomposition auto-accélérée), voir la rubrique « </w:t>
            </w:r>
            <w:r w:rsidRPr="000333B0">
              <w:rPr>
                <w:strike/>
                <w:lang w:val="fr-FR" w:eastAsia="de-DE"/>
              </w:rPr>
              <w:t xml:space="preserve">Énergie </w:t>
            </w:r>
            <w:r w:rsidRPr="000333B0">
              <w:rPr>
                <w:b/>
                <w:bCs/>
                <w:u w:val="single"/>
                <w:lang w:val="fr-FR" w:eastAsia="de-DE"/>
              </w:rPr>
              <w:t>Température</w:t>
            </w:r>
            <w:r w:rsidRPr="000333B0">
              <w:rPr>
                <w:lang w:val="fr-FR" w:eastAsia="de-DE"/>
              </w:rPr>
              <w:t xml:space="preserve"> de décomposition » dans le tableau A4.3.9.1</w:t>
            </w:r>
          </w:p>
          <w:p w:rsidR="00485564" w:rsidRPr="000333B0" w:rsidRDefault="00485564" w:rsidP="00485564">
            <w:pPr>
              <w:suppressAutoHyphens w:val="0"/>
              <w:spacing w:before="60" w:after="60"/>
              <w:ind w:left="341" w:right="57" w:hanging="284"/>
              <w:rPr>
                <w:lang w:val="fr-FR" w:eastAsia="de-DE"/>
              </w:rPr>
            </w:pPr>
            <w:r w:rsidRPr="000333B0">
              <w:rPr>
                <w:lang w:val="fr-FR" w:eastAsia="de-DE"/>
              </w:rPr>
              <w:t>…</w:t>
            </w:r>
          </w:p>
        </w:tc>
      </w:tr>
    </w:tbl>
    <w:p w:rsidR="00485564" w:rsidRPr="00485564" w:rsidRDefault="00485564" w:rsidP="0048556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85564" w:rsidRPr="00485564" w:rsidSect="004855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A6" w:rsidRDefault="003978A6" w:rsidP="00F95C08">
      <w:pPr>
        <w:spacing w:line="240" w:lineRule="auto"/>
      </w:pPr>
    </w:p>
  </w:endnote>
  <w:endnote w:type="continuationSeparator" w:id="0">
    <w:p w:rsidR="003978A6" w:rsidRPr="00AC3823" w:rsidRDefault="003978A6" w:rsidP="00AC3823">
      <w:pPr>
        <w:pStyle w:val="Footer"/>
      </w:pPr>
    </w:p>
  </w:endnote>
  <w:endnote w:type="continuationNotice" w:id="1">
    <w:p w:rsidR="003978A6" w:rsidRDefault="003978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64" w:rsidRPr="00485564" w:rsidRDefault="00485564" w:rsidP="00485564">
    <w:pPr>
      <w:pStyle w:val="Footer"/>
      <w:tabs>
        <w:tab w:val="right" w:pos="9638"/>
      </w:tabs>
    </w:pPr>
    <w:r w:rsidRPr="00485564">
      <w:rPr>
        <w:b/>
        <w:sz w:val="18"/>
      </w:rPr>
      <w:fldChar w:fldCharType="begin"/>
    </w:r>
    <w:r w:rsidRPr="00485564">
      <w:rPr>
        <w:b/>
        <w:sz w:val="18"/>
      </w:rPr>
      <w:instrText xml:space="preserve"> PAGE  \* MERGEFORMAT </w:instrText>
    </w:r>
    <w:r w:rsidRPr="00485564">
      <w:rPr>
        <w:b/>
        <w:sz w:val="18"/>
      </w:rPr>
      <w:fldChar w:fldCharType="separate"/>
    </w:r>
    <w:r w:rsidR="00FF530F">
      <w:rPr>
        <w:b/>
        <w:noProof/>
        <w:sz w:val="18"/>
      </w:rPr>
      <w:t>2</w:t>
    </w:r>
    <w:r w:rsidRPr="00485564">
      <w:rPr>
        <w:b/>
        <w:sz w:val="18"/>
      </w:rPr>
      <w:fldChar w:fldCharType="end"/>
    </w:r>
    <w:r>
      <w:rPr>
        <w:b/>
        <w:sz w:val="18"/>
      </w:rPr>
      <w:tab/>
    </w:r>
    <w:r>
      <w:t>GE.18-15590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64" w:rsidRPr="00485564" w:rsidRDefault="00485564" w:rsidP="00485564">
    <w:pPr>
      <w:pStyle w:val="Footer"/>
      <w:tabs>
        <w:tab w:val="right" w:pos="9638"/>
      </w:tabs>
      <w:rPr>
        <w:b/>
        <w:sz w:val="18"/>
      </w:rPr>
    </w:pPr>
    <w:r>
      <w:t>GE.18-15590</w:t>
    </w:r>
    <w:r>
      <w:tab/>
    </w:r>
    <w:r w:rsidRPr="00485564">
      <w:rPr>
        <w:b/>
        <w:sz w:val="18"/>
      </w:rPr>
      <w:fldChar w:fldCharType="begin"/>
    </w:r>
    <w:r w:rsidRPr="00485564">
      <w:rPr>
        <w:b/>
        <w:sz w:val="18"/>
      </w:rPr>
      <w:instrText xml:space="preserve"> PAGE  \* MERGEFORMAT </w:instrText>
    </w:r>
    <w:r w:rsidRPr="00485564">
      <w:rPr>
        <w:b/>
        <w:sz w:val="18"/>
      </w:rPr>
      <w:fldChar w:fldCharType="separate"/>
    </w:r>
    <w:r w:rsidR="00FF530F">
      <w:rPr>
        <w:b/>
        <w:noProof/>
        <w:sz w:val="18"/>
      </w:rPr>
      <w:t>2</w:t>
    </w:r>
    <w:r w:rsidRPr="004855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485564" w:rsidRDefault="00485564" w:rsidP="00485564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18-15590  (F)    121018    231018</w:t>
    </w:r>
    <w:r>
      <w:rPr>
        <w:sz w:val="20"/>
      </w:rPr>
      <w:br/>
    </w:r>
    <w:r w:rsidRPr="00485564">
      <w:rPr>
        <w:rFonts w:ascii="C39T30Lfz" w:hAnsi="C39T30Lfz"/>
        <w:sz w:val="56"/>
      </w:rPr>
      <w:t></w:t>
    </w:r>
    <w:r w:rsidRPr="00485564">
      <w:rPr>
        <w:rFonts w:ascii="C39T30Lfz" w:hAnsi="C39T30Lfz"/>
        <w:sz w:val="56"/>
      </w:rPr>
      <w:t></w:t>
    </w:r>
    <w:r w:rsidRPr="00485564">
      <w:rPr>
        <w:rFonts w:ascii="C39T30Lfz" w:hAnsi="C39T30Lfz"/>
        <w:sz w:val="56"/>
      </w:rPr>
      <w:t></w:t>
    </w:r>
    <w:r w:rsidRPr="00485564">
      <w:rPr>
        <w:rFonts w:ascii="C39T30Lfz" w:hAnsi="C39T30Lfz"/>
        <w:sz w:val="56"/>
      </w:rPr>
      <w:t></w:t>
    </w:r>
    <w:r w:rsidRPr="00485564">
      <w:rPr>
        <w:rFonts w:ascii="C39T30Lfz" w:hAnsi="C39T30Lfz"/>
        <w:sz w:val="56"/>
      </w:rPr>
      <w:t></w:t>
    </w:r>
    <w:r w:rsidRPr="00485564">
      <w:rPr>
        <w:rFonts w:ascii="C39T30Lfz" w:hAnsi="C39T30Lfz"/>
        <w:sz w:val="56"/>
      </w:rPr>
      <w:t></w:t>
    </w:r>
    <w:r w:rsidRPr="00485564">
      <w:rPr>
        <w:rFonts w:ascii="C39T30Lfz" w:hAnsi="C39T30Lfz"/>
        <w:sz w:val="56"/>
      </w:rPr>
      <w:t></w:t>
    </w:r>
    <w:r w:rsidRPr="00485564">
      <w:rPr>
        <w:rFonts w:ascii="C39T30Lfz" w:hAnsi="C39T30Lfz"/>
        <w:sz w:val="56"/>
      </w:rPr>
      <w:t></w:t>
    </w:r>
    <w:r w:rsidRPr="0048556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4/2018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4/2018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A6" w:rsidRPr="00AC3823" w:rsidRDefault="003978A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78A6" w:rsidRPr="00AC3823" w:rsidRDefault="003978A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978A6" w:rsidRPr="00AC3823" w:rsidRDefault="003978A6">
      <w:pPr>
        <w:spacing w:line="240" w:lineRule="auto"/>
        <w:rPr>
          <w:sz w:val="2"/>
          <w:szCs w:val="2"/>
        </w:rPr>
      </w:pPr>
    </w:p>
  </w:footnote>
  <w:footnote w:id="2">
    <w:p w:rsidR="00485564" w:rsidRPr="00C16DDE" w:rsidRDefault="00485564" w:rsidP="00485564">
      <w:pPr>
        <w:pStyle w:val="FootnoteText"/>
        <w:rPr>
          <w:lang w:val="fr-FR"/>
        </w:rPr>
      </w:pPr>
      <w:r>
        <w:tab/>
      </w:r>
      <w:r w:rsidRPr="00C16DDE">
        <w:rPr>
          <w:rStyle w:val="FootnoteReference"/>
          <w:lang w:val="fr-FR"/>
        </w:rPr>
        <w:t>*</w:t>
      </w:r>
      <w:r w:rsidRPr="00C16DDE">
        <w:rPr>
          <w:lang w:val="fr-FR"/>
        </w:rPr>
        <w:t xml:space="preserve"> </w:t>
      </w:r>
      <w:r>
        <w:rPr>
          <w:lang w:val="fr-FR"/>
        </w:rPr>
        <w:tab/>
      </w:r>
      <w:r w:rsidRPr="00C16DDE">
        <w:rPr>
          <w:lang w:val="fr-FR" w:eastAsia="en-GB"/>
        </w:rPr>
        <w:t>Conformément au programme de travail du Sous-Comité pour la période biennale 2017-2018, approuvé par le Comité à sa huitième session (voir ST/SG/AC.10/C.3/100, p</w:t>
      </w:r>
      <w:r>
        <w:rPr>
          <w:lang w:val="fr-FR" w:eastAsia="en-GB"/>
        </w:rPr>
        <w:t>ar. 98, et ST/SG/AC.10/44, par. </w:t>
      </w:r>
      <w:r w:rsidRPr="00C16DDE">
        <w:rPr>
          <w:lang w:val="fr-FR" w:eastAsia="en-GB"/>
        </w:rPr>
        <w:t>14</w:t>
      </w:r>
      <w:r w:rsidRPr="00C16DDE">
        <w:rPr>
          <w:lang w:val="fr-FR"/>
        </w:rPr>
        <w:t>)</w:t>
      </w:r>
      <w:r w:rsidRPr="00C16DDE">
        <w:rPr>
          <w:lang w:val="fr-FR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64" w:rsidRPr="00485564" w:rsidRDefault="00B6219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64" w:rsidRPr="00485564" w:rsidRDefault="00B62190" w:rsidP="0048556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A6"/>
    <w:rsid w:val="000028F8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978A6"/>
    <w:rsid w:val="00424ED7"/>
    <w:rsid w:val="00441C3B"/>
    <w:rsid w:val="00446FE5"/>
    <w:rsid w:val="00452396"/>
    <w:rsid w:val="00485564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76DC"/>
    <w:rsid w:val="008B40CD"/>
    <w:rsid w:val="0096244A"/>
    <w:rsid w:val="009705C8"/>
    <w:rsid w:val="00974E78"/>
    <w:rsid w:val="009C1CF4"/>
    <w:rsid w:val="009E43F8"/>
    <w:rsid w:val="00A17BFF"/>
    <w:rsid w:val="00A30353"/>
    <w:rsid w:val="00A37873"/>
    <w:rsid w:val="00AC3823"/>
    <w:rsid w:val="00AE323C"/>
    <w:rsid w:val="00B00181"/>
    <w:rsid w:val="00B00B0D"/>
    <w:rsid w:val="00B62190"/>
    <w:rsid w:val="00B765F7"/>
    <w:rsid w:val="00BA0CA9"/>
    <w:rsid w:val="00BC63FB"/>
    <w:rsid w:val="00C02897"/>
    <w:rsid w:val="00D3439C"/>
    <w:rsid w:val="00DB1831"/>
    <w:rsid w:val="00DD3BFD"/>
    <w:rsid w:val="00DF6678"/>
    <w:rsid w:val="00E97EE6"/>
    <w:rsid w:val="00EF2E22"/>
    <w:rsid w:val="00F01738"/>
    <w:rsid w:val="00F660DF"/>
    <w:rsid w:val="00F730C8"/>
    <w:rsid w:val="00F95C0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88D056-F54E-4A8D-A6F0-54B80A5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48556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48556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485564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ST/SG/AC.10/C.4/2018/27</vt:lpstr>
      <vt:lpstr>ST/SG/AC.10/C.4/2018/27</vt:lpstr>
    </vt:vector>
  </TitlesOfParts>
  <Company>DCM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ST/SG/AC.10/C.4/2018/27</dc:title>
  <dc:subject/>
  <dc:creator>Edith BOURION</dc:creator>
  <cp:keywords/>
  <cp:lastModifiedBy>Laurence Berthet</cp:lastModifiedBy>
  <cp:revision>3</cp:revision>
  <cp:lastPrinted>2018-10-23T12:41:00Z</cp:lastPrinted>
  <dcterms:created xsi:type="dcterms:W3CDTF">2018-10-23T12:41:00Z</dcterms:created>
  <dcterms:modified xsi:type="dcterms:W3CDTF">2018-10-23T12:41:00Z</dcterms:modified>
</cp:coreProperties>
</file>