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E43DF0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43DF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E43DF0" w:rsidRPr="00E43DF0" w:rsidRDefault="00E43DF0" w:rsidP="00E43DF0">
            <w:pPr>
              <w:jc w:val="right"/>
              <w:rPr>
                <w:lang w:val="en-US"/>
              </w:rPr>
            </w:pPr>
            <w:r w:rsidRPr="00E43DF0">
              <w:rPr>
                <w:sz w:val="40"/>
                <w:lang w:val="en-US"/>
              </w:rPr>
              <w:t>ST</w:t>
            </w:r>
            <w:r w:rsidRPr="00E43DF0">
              <w:rPr>
                <w:lang w:val="en-US"/>
              </w:rPr>
              <w:t>/SG/AC.10/C.3/2018/101−</w:t>
            </w:r>
            <w:r w:rsidRPr="00E43DF0">
              <w:rPr>
                <w:sz w:val="40"/>
                <w:lang w:val="en-US"/>
              </w:rPr>
              <w:t>ST</w:t>
            </w:r>
            <w:r w:rsidRPr="00E43DF0">
              <w:rPr>
                <w:lang w:val="en-US"/>
              </w:rPr>
              <w:t>/SG/AC.10/C.4/2018/23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43DF0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43DF0" w:rsidRDefault="00E43DF0" w:rsidP="00E43DF0">
            <w:pPr>
              <w:spacing w:line="240" w:lineRule="exact"/>
            </w:pPr>
            <w:r>
              <w:t>5 septembre 2018</w:t>
            </w:r>
          </w:p>
          <w:p w:rsidR="00E43DF0" w:rsidRDefault="00E43DF0" w:rsidP="00E43DF0">
            <w:pPr>
              <w:spacing w:line="240" w:lineRule="exact"/>
            </w:pPr>
            <w:r>
              <w:t>Français</w:t>
            </w:r>
          </w:p>
          <w:p w:rsidR="00E43DF0" w:rsidRPr="00DB58B5" w:rsidRDefault="00E43DF0" w:rsidP="00E43DF0">
            <w:pPr>
              <w:spacing w:line="240" w:lineRule="exact"/>
            </w:pPr>
            <w:r>
              <w:t>Original : anglais</w:t>
            </w:r>
          </w:p>
        </w:tc>
      </w:tr>
    </w:tbl>
    <w:p w:rsidR="00E43DF0" w:rsidRPr="00CA0680" w:rsidRDefault="00E43DF0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E43DF0" w:rsidTr="009C3129">
        <w:tc>
          <w:tcPr>
            <w:tcW w:w="4820" w:type="dxa"/>
          </w:tcPr>
          <w:p w:rsidR="00E43DF0" w:rsidRDefault="00E43DF0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E43DF0" w:rsidRDefault="00E43DF0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E43DF0" w:rsidTr="009C3129">
        <w:tc>
          <w:tcPr>
            <w:tcW w:w="4820" w:type="dxa"/>
          </w:tcPr>
          <w:p w:rsidR="00E43DF0" w:rsidRPr="00CA0680" w:rsidRDefault="00E43DF0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Cinquante-quatrième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E43DF0" w:rsidRDefault="00E43DF0" w:rsidP="009C3129">
            <w:pPr>
              <w:spacing w:before="120"/>
              <w:rPr>
                <w:b/>
              </w:rPr>
            </w:pPr>
            <w:r>
              <w:rPr>
                <w:b/>
              </w:rPr>
              <w:t>Trente-sixième session</w:t>
            </w:r>
          </w:p>
        </w:tc>
      </w:tr>
      <w:tr w:rsidR="00E43DF0" w:rsidTr="009C3129">
        <w:tc>
          <w:tcPr>
            <w:tcW w:w="4820" w:type="dxa"/>
          </w:tcPr>
          <w:p w:rsidR="00E43DF0" w:rsidRDefault="00E43DF0" w:rsidP="009C3129">
            <w:r>
              <w:t>Genève, 26 novembre-4 décembre 2018</w:t>
            </w:r>
          </w:p>
          <w:p w:rsidR="00E43DF0" w:rsidRDefault="00E43DF0" w:rsidP="009C3129">
            <w:r>
              <w:t>Point 7 e) de l’ordre du jour provisoire</w:t>
            </w:r>
          </w:p>
          <w:p w:rsidR="00E43DF0" w:rsidRPr="00E43DF0" w:rsidRDefault="00E43DF0" w:rsidP="00E43DF0">
            <w:pPr>
              <w:spacing w:after="240" w:line="240" w:lineRule="auto"/>
              <w:ind w:right="57"/>
              <w:rPr>
                <w:b/>
              </w:rPr>
            </w:pPr>
            <w:r w:rsidRPr="00E43DF0">
              <w:rPr>
                <w:b/>
                <w:lang w:val="fr-FR"/>
              </w:rPr>
              <w:t xml:space="preserve">Questions relatives au Système général harmonisé de classification et d’étiquetage des produits chimiques (SGH) : </w:t>
            </w:r>
            <w:r w:rsidRPr="00E43DF0">
              <w:rPr>
                <w:b/>
                <w:iCs/>
                <w:lang w:val="fr-FR"/>
              </w:rPr>
              <w:t>Questions diverses</w:t>
            </w:r>
          </w:p>
        </w:tc>
        <w:tc>
          <w:tcPr>
            <w:tcW w:w="4820" w:type="dxa"/>
          </w:tcPr>
          <w:p w:rsidR="00E43DF0" w:rsidRDefault="00E43DF0" w:rsidP="009C3129">
            <w:r>
              <w:t>Genève, 5-7 décembre 2018</w:t>
            </w:r>
          </w:p>
          <w:p w:rsidR="00E43DF0" w:rsidRDefault="00E43DF0" w:rsidP="009C3129">
            <w:r>
              <w:t>Point 3 a) de l’ordre du jour provisoire</w:t>
            </w:r>
          </w:p>
          <w:p w:rsidR="00E43DF0" w:rsidRPr="00E43DF0" w:rsidRDefault="00E43DF0" w:rsidP="009C3129">
            <w:pPr>
              <w:rPr>
                <w:b/>
              </w:rPr>
            </w:pPr>
            <w:r w:rsidRPr="00E43DF0">
              <w:rPr>
                <w:b/>
                <w:lang w:val="fr-FR"/>
              </w:rPr>
              <w:t>Critères de classification et communic</w:t>
            </w:r>
            <w:r w:rsidR="009C3329">
              <w:rPr>
                <w:b/>
                <w:lang w:val="fr-FR"/>
              </w:rPr>
              <w:t>ation des dangers y relatifs </w:t>
            </w:r>
            <w:r w:rsidRPr="00E43DF0">
              <w:rPr>
                <w:b/>
                <w:lang w:val="fr-FR"/>
              </w:rPr>
              <w:t xml:space="preserve">: Travaux du Sous-Comité d’experts du transport des marchandises dangereuses (TMD) </w:t>
            </w:r>
            <w:r>
              <w:rPr>
                <w:b/>
                <w:lang w:val="fr-FR"/>
              </w:rPr>
              <w:br/>
            </w:r>
            <w:r w:rsidRPr="00E43DF0">
              <w:rPr>
                <w:b/>
                <w:lang w:val="fr-FR"/>
              </w:rPr>
              <w:t>sur des questions intéressant le Sous-Comité SGH</w:t>
            </w:r>
          </w:p>
        </w:tc>
      </w:tr>
    </w:tbl>
    <w:p w:rsidR="00E43DF0" w:rsidRPr="00A6535C" w:rsidRDefault="00E43DF0" w:rsidP="00E43DF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6535C">
        <w:rPr>
          <w:lang w:val="fr-FR"/>
        </w:rPr>
        <w:t>Aérosols </w:t>
      </w:r>
      <w:r>
        <w:rPr>
          <w:lang w:val="fr-FR"/>
        </w:rPr>
        <w:t>−</w:t>
      </w:r>
      <w:r w:rsidRPr="00A6535C">
        <w:rPr>
          <w:lang w:val="fr-FR"/>
        </w:rPr>
        <w:t> </w:t>
      </w:r>
      <w:r w:rsidRPr="00E43DF0">
        <w:t>Amendements</w:t>
      </w:r>
      <w:r w:rsidRPr="00A6535C">
        <w:rPr>
          <w:lang w:val="fr-FR"/>
        </w:rPr>
        <w:t xml:space="preserve"> corollaires résultant </w:t>
      </w:r>
      <w:r>
        <w:rPr>
          <w:lang w:val="fr-FR"/>
        </w:rPr>
        <w:br/>
      </w:r>
      <w:r w:rsidRPr="00A6535C">
        <w:rPr>
          <w:lang w:val="fr-FR"/>
        </w:rPr>
        <w:t xml:space="preserve">de la proposition figurant dans le document ST/SG/AC.10/C.3/2018/80-ST/SG/AC.10/C.4/2018/25 </w:t>
      </w:r>
    </w:p>
    <w:p w:rsidR="00E43DF0" w:rsidRPr="00A6535C" w:rsidRDefault="00E43DF0" w:rsidP="00E43DF0">
      <w:pPr>
        <w:pStyle w:val="H1G"/>
        <w:rPr>
          <w:lang w:val="fr-FR"/>
        </w:rPr>
      </w:pPr>
      <w:r w:rsidRPr="00A6535C">
        <w:rPr>
          <w:lang w:val="fr-FR"/>
        </w:rPr>
        <w:tab/>
      </w:r>
      <w:r w:rsidRPr="00A6535C">
        <w:rPr>
          <w:lang w:val="fr-FR"/>
        </w:rPr>
        <w:tab/>
        <w:t>Communication de la Fédération européenne des aérosols (FEA)</w:t>
      </w:r>
      <w:r w:rsidR="00311BE4" w:rsidRPr="00311BE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43DF0" w:rsidRPr="00311BE4" w:rsidRDefault="00E43DF0" w:rsidP="00311BE4">
      <w:pPr>
        <w:pStyle w:val="SingleTxtG"/>
      </w:pPr>
      <w:r w:rsidRPr="00A6535C">
        <w:rPr>
          <w:lang w:val="fr-FR"/>
        </w:rPr>
        <w:t>1.</w:t>
      </w:r>
      <w:r w:rsidRPr="00A6535C">
        <w:rPr>
          <w:lang w:val="fr-FR"/>
        </w:rPr>
        <w:tab/>
      </w:r>
      <w:r w:rsidRPr="00311BE4">
        <w:t>Le chapitre 2.3 du SGH relatif aux aérosols a été révisé à la trente-cinquième session du Sous-Comité SGH (voir annexe I du rapport correspondant, ST/SG/AC.10/C.4/70).</w:t>
      </w:r>
    </w:p>
    <w:p w:rsidR="00E43DF0" w:rsidRPr="00311BE4" w:rsidRDefault="00E43DF0" w:rsidP="00311BE4">
      <w:pPr>
        <w:pStyle w:val="SingleTxtG"/>
      </w:pPr>
      <w:r w:rsidRPr="00311BE4">
        <w:t>2.</w:t>
      </w:r>
      <w:r w:rsidRPr="00311BE4">
        <w:tab/>
        <w:t xml:space="preserve">Comme </w:t>
      </w:r>
      <w:proofErr w:type="gramStart"/>
      <w:r w:rsidRPr="00311BE4">
        <w:t>suite à</w:t>
      </w:r>
      <w:proofErr w:type="gramEnd"/>
      <w:r w:rsidRPr="00311BE4">
        <w:t xml:space="preserve"> cette même session, le Conseil européen de l’industrie chimique (CEFIC) et l’Association européenne des gaz industriels (EIGA) ont soumis un document de travail révisé (ST/SG/AC.10/C.3/2018/80-ST/SG/AC.10/C.4/2018/25), intitulé « Proposition concernant la classification des produits chimiques sous pression dans le chapitre 2.3 du SGH ».</w:t>
      </w:r>
    </w:p>
    <w:p w:rsidR="00E43DF0" w:rsidRPr="00311BE4" w:rsidRDefault="00E43DF0" w:rsidP="00311BE4">
      <w:pPr>
        <w:pStyle w:val="SingleTxtG"/>
      </w:pPr>
      <w:r w:rsidRPr="00311BE4">
        <w:t>3.</w:t>
      </w:r>
      <w:r w:rsidRPr="00311BE4">
        <w:tab/>
        <w:t>Dans le présent document sont présentés les amendements corollaires au SGH relatifs aux aérosols.</w:t>
      </w:r>
    </w:p>
    <w:p w:rsidR="00E43DF0" w:rsidRPr="00311BE4" w:rsidRDefault="00E43DF0" w:rsidP="00311BE4">
      <w:pPr>
        <w:pStyle w:val="SingleTxtG"/>
      </w:pPr>
      <w:r w:rsidRPr="00311BE4">
        <w:t>4.</w:t>
      </w:r>
      <w:r w:rsidRPr="00311BE4">
        <w:tab/>
        <w:t>Les sous-comités sont invités à examiner et à approuver ces amendements, si la proposition évoquée ci-dessus était adoptée.</w:t>
      </w:r>
    </w:p>
    <w:p w:rsidR="00E43DF0" w:rsidRPr="00A6535C" w:rsidRDefault="00E43DF0" w:rsidP="00E43DF0">
      <w:pPr>
        <w:pStyle w:val="HChG"/>
        <w:rPr>
          <w:lang w:val="fr-FR"/>
        </w:rPr>
      </w:pPr>
      <w:r w:rsidRPr="00A6535C">
        <w:rPr>
          <w:lang w:val="fr-FR"/>
        </w:rPr>
        <w:lastRenderedPageBreak/>
        <w:tab/>
        <w:t>Annexe</w:t>
      </w:r>
    </w:p>
    <w:p w:rsidR="00E43DF0" w:rsidRPr="00A6535C" w:rsidRDefault="00E43DF0" w:rsidP="00E43DF0">
      <w:pPr>
        <w:pStyle w:val="HChG"/>
        <w:rPr>
          <w:lang w:val="fr-FR"/>
        </w:rPr>
      </w:pPr>
      <w:r w:rsidRPr="00A6535C">
        <w:rPr>
          <w:lang w:val="fr-FR"/>
        </w:rPr>
        <w:tab/>
      </w:r>
      <w:r w:rsidRPr="00A6535C">
        <w:rPr>
          <w:lang w:val="fr-FR"/>
        </w:rPr>
        <w:tab/>
        <w:t>Proposition d</w:t>
      </w:r>
      <w:r>
        <w:rPr>
          <w:lang w:val="fr-FR"/>
        </w:rPr>
        <w:t>’</w:t>
      </w:r>
      <w:r w:rsidRPr="00A6535C">
        <w:rPr>
          <w:lang w:val="fr-FR"/>
        </w:rPr>
        <w:t>amendements corollaires au SGH</w:t>
      </w:r>
    </w:p>
    <w:p w:rsidR="00E43DF0" w:rsidRPr="00E43DF0" w:rsidRDefault="00E43DF0" w:rsidP="00E43DF0">
      <w:pPr>
        <w:pStyle w:val="SingleTxtG"/>
        <w:rPr>
          <w:lang w:val="fr-FR"/>
        </w:rPr>
      </w:pPr>
      <w:r w:rsidRPr="00E43DF0">
        <w:rPr>
          <w:b/>
          <w:u w:val="single"/>
          <w:lang w:val="fr-FR"/>
        </w:rPr>
        <w:t>Remarque</w:t>
      </w:r>
      <w:r w:rsidR="007F23FA">
        <w:rPr>
          <w:lang w:val="fr-FR"/>
        </w:rPr>
        <w:t> </w:t>
      </w:r>
      <w:r w:rsidRPr="00E43DF0">
        <w:rPr>
          <w:lang w:val="fr-FR"/>
        </w:rPr>
        <w:t>: Les amendements ci-après se rapportent au chapitre 2.3 déjà révisé (voir annexe I du rapport ST/SG/AC.10/C.4/70) (</w:t>
      </w:r>
      <w:r w:rsidRPr="00E43DF0">
        <w:rPr>
          <w:iCs/>
          <w:lang w:val="fr-FR"/>
        </w:rPr>
        <w:t>les ajouts sont soulignés et les suppressions sont biffées</w:t>
      </w:r>
      <w:r w:rsidRPr="00E43DF0">
        <w:rPr>
          <w:lang w:val="fr-FR"/>
        </w:rPr>
        <w:t>).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E43DF0" w:rsidRPr="00E43DF0">
        <w:rPr>
          <w:lang w:val="fr-FR"/>
        </w:rPr>
        <w:t>Dans la nouvelle section 2.3.1 (</w:t>
      </w:r>
      <w:r w:rsidR="00E43DF0" w:rsidRPr="00351D7E">
        <w:rPr>
          <w:i/>
          <w:lang w:val="fr-FR"/>
        </w:rPr>
        <w:t>Aérosols</w:t>
      </w:r>
      <w:r w:rsidR="00E43DF0" w:rsidRPr="00E43DF0">
        <w:rPr>
          <w:lang w:val="fr-FR"/>
        </w:rPr>
        <w:t xml:space="preserve">), renuméroter systématiquement tous les </w:t>
      </w:r>
      <w:r w:rsidR="00E43DF0" w:rsidRPr="00E43DF0">
        <w:rPr>
          <w:iCs/>
          <w:lang w:val="fr-FR"/>
        </w:rPr>
        <w:t xml:space="preserve">numéros de paragraphe dans les titres, les diagrammes de décision </w:t>
      </w:r>
      <w:r w:rsidR="00E43DF0" w:rsidRPr="00E43DF0">
        <w:rPr>
          <w:lang w:val="fr-FR"/>
        </w:rPr>
        <w:t>et le corps du texte.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E43DF0" w:rsidRPr="00E43DF0">
        <w:rPr>
          <w:lang w:val="fr-FR"/>
        </w:rPr>
        <w:t>Au 2.3.2 (qui devient le 2.3.1.2), modifier le NOTA 3 (ancien NOTA 2) comme suit :</w:t>
      </w:r>
    </w:p>
    <w:p w:rsidR="00E43DF0" w:rsidRPr="00E43DF0" w:rsidRDefault="007F23FA" w:rsidP="007F23FA">
      <w:pPr>
        <w:pStyle w:val="SingleTxtG"/>
        <w:ind w:left="1701" w:hanging="567"/>
        <w:rPr>
          <w:lang w:val="fr-FR"/>
        </w:rPr>
      </w:pPr>
      <w:r>
        <w:rPr>
          <w:lang w:val="fr-FR"/>
        </w:rPr>
        <w:tab/>
      </w:r>
      <w:r w:rsidR="00BA312A">
        <w:rPr>
          <w:lang w:val="fr-FR"/>
        </w:rPr>
        <w:t>« </w:t>
      </w:r>
      <w:r w:rsidR="00BA312A" w:rsidRPr="00BA312A">
        <w:rPr>
          <w:b/>
          <w:i/>
          <w:lang w:val="fr-FR"/>
        </w:rPr>
        <w:t>NOTA</w:t>
      </w:r>
      <w:r w:rsidR="00E43DF0" w:rsidRPr="00E43DF0">
        <w:rPr>
          <w:b/>
          <w:lang w:val="fr-FR"/>
        </w:rPr>
        <w:t xml:space="preserve"> </w:t>
      </w:r>
      <w:r w:rsidR="00E43DF0" w:rsidRPr="00E43DF0">
        <w:rPr>
          <w:b/>
          <w:i/>
          <w:lang w:val="fr-FR"/>
        </w:rPr>
        <w:t>3</w:t>
      </w:r>
      <w:r w:rsidR="009C3329">
        <w:rPr>
          <w:b/>
          <w:i/>
          <w:lang w:val="fr-FR"/>
        </w:rPr>
        <w:t> </w:t>
      </w:r>
      <w:r w:rsidR="00E43DF0" w:rsidRPr="00E43DF0">
        <w:rPr>
          <w:b/>
          <w:i/>
          <w:lang w:val="fr-FR"/>
        </w:rPr>
        <w:t>:</w:t>
      </w:r>
      <w:r w:rsidR="00E43DF0" w:rsidRPr="00E43DF0">
        <w:rPr>
          <w:lang w:val="fr-FR"/>
        </w:rPr>
        <w:tab/>
      </w:r>
      <w:r w:rsidR="00E43DF0" w:rsidRPr="00E43DF0">
        <w:rPr>
          <w:i/>
          <w:iCs/>
          <w:lang w:val="fr-FR"/>
        </w:rPr>
        <w:t xml:space="preserve">Les aérosols n’entrent pas, en plus, dans le champ d’application </w:t>
      </w:r>
      <w:r w:rsidR="00E43DF0" w:rsidRPr="00E43DF0">
        <w:rPr>
          <w:i/>
          <w:iCs/>
          <w:strike/>
          <w:lang w:val="fr-FR"/>
        </w:rPr>
        <w:t>des</w:t>
      </w:r>
      <w:r w:rsidR="00E43DF0" w:rsidRPr="00E43DF0">
        <w:rPr>
          <w:i/>
          <w:iCs/>
          <w:lang w:val="fr-FR"/>
        </w:rPr>
        <w:t xml:space="preserve"> </w:t>
      </w:r>
      <w:r w:rsidR="00E43DF0" w:rsidRPr="00E43DF0">
        <w:rPr>
          <w:i/>
          <w:iCs/>
          <w:u w:val="single"/>
          <w:lang w:val="fr-FR"/>
        </w:rPr>
        <w:t>du</w:t>
      </w:r>
      <w:r w:rsidR="00E43DF0" w:rsidRPr="00E43DF0">
        <w:rPr>
          <w:i/>
          <w:iCs/>
          <w:lang w:val="fr-FR"/>
        </w:rPr>
        <w:t xml:space="preserve"> chapitre</w:t>
      </w:r>
      <w:r w:rsidR="00E43DF0" w:rsidRPr="00E43DF0">
        <w:rPr>
          <w:i/>
          <w:iCs/>
          <w:strike/>
          <w:lang w:val="fr-FR"/>
        </w:rPr>
        <w:t>s</w:t>
      </w:r>
      <w:r w:rsidR="00E43DF0" w:rsidRPr="00E43DF0">
        <w:rPr>
          <w:i/>
          <w:iCs/>
          <w:lang w:val="fr-FR"/>
        </w:rPr>
        <w:t xml:space="preserve"> 2.2 (Gaz inflammables), </w:t>
      </w:r>
      <w:r w:rsidR="00E43DF0" w:rsidRPr="00E911DC">
        <w:rPr>
          <w:i/>
          <w:u w:val="single"/>
          <w:lang w:val="fr-FR"/>
        </w:rPr>
        <w:t xml:space="preserve">de la section </w:t>
      </w:r>
      <w:r w:rsidR="00E43DF0" w:rsidRPr="00E911DC">
        <w:rPr>
          <w:i/>
          <w:iCs/>
          <w:u w:val="single"/>
          <w:lang w:val="fr-FR"/>
        </w:rPr>
        <w:t>2.3.2 (Produits chimiques sous pression</w:t>
      </w:r>
      <w:r w:rsidR="00E43DF0" w:rsidRPr="00E911DC">
        <w:rPr>
          <w:i/>
          <w:u w:val="single"/>
          <w:lang w:val="fr-FR"/>
        </w:rPr>
        <w:t>), ni des chapitres</w:t>
      </w:r>
      <w:r w:rsidR="00E43DF0" w:rsidRPr="00E43DF0">
        <w:rPr>
          <w:i/>
          <w:lang w:val="fr-FR"/>
        </w:rPr>
        <w:t xml:space="preserve"> </w:t>
      </w:r>
      <w:r w:rsidR="00E43DF0" w:rsidRPr="00E43DF0">
        <w:rPr>
          <w:i/>
          <w:iCs/>
          <w:lang w:val="fr-FR"/>
        </w:rPr>
        <w:t>2.5 (Gaz sous pression), 2.6 (Liquides inflammables) ou 2.7 (Matières solides inflammables</w:t>
      </w:r>
      <w:r w:rsidR="00E43DF0" w:rsidRPr="00E43DF0">
        <w:rPr>
          <w:i/>
          <w:lang w:val="fr-FR"/>
        </w:rPr>
        <w:t>). En fonction de leurs composants, les aérosols peuvent toutefois relever du champ d’application d’</w:t>
      </w:r>
      <w:r w:rsidR="00351D7E">
        <w:rPr>
          <w:i/>
          <w:lang w:val="fr-FR"/>
        </w:rPr>
        <w:t>autres classes de danger, y </w:t>
      </w:r>
      <w:r w:rsidR="00E43DF0" w:rsidRPr="00E43DF0">
        <w:rPr>
          <w:i/>
          <w:lang w:val="fr-FR"/>
        </w:rPr>
        <w:t>compris en ce qui concerne leurs éléments d’étiquetage. </w:t>
      </w:r>
      <w:r w:rsidR="00E43DF0" w:rsidRPr="00E43DF0">
        <w:rPr>
          <w:lang w:val="fr-FR"/>
        </w:rPr>
        <w:t>»</w:t>
      </w:r>
      <w:r w:rsidR="00BA312A">
        <w:rPr>
          <w:lang w:val="fr-FR"/>
        </w:rPr>
        <w:t>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E43DF0" w:rsidRPr="00E43DF0">
        <w:rPr>
          <w:lang w:val="fr-FR"/>
        </w:rPr>
        <w:t>Au 2.3.4 (qui devient le 2.3.1.4), modifier le titre et le premier paragraphe comme suit</w:t>
      </w:r>
      <w:r w:rsidR="009C3329">
        <w:rPr>
          <w:lang w:val="fr-FR"/>
        </w:rPr>
        <w:t> </w:t>
      </w:r>
      <w:r w:rsidR="00E43DF0" w:rsidRPr="00E43DF0">
        <w:rPr>
          <w:lang w:val="fr-FR"/>
        </w:rPr>
        <w:t>:</w:t>
      </w:r>
    </w:p>
    <w:p w:rsidR="00E43DF0" w:rsidRPr="00E43DF0" w:rsidRDefault="007F23FA" w:rsidP="00E43DF0">
      <w:pPr>
        <w:pStyle w:val="SingleTxtG"/>
        <w:rPr>
          <w:b/>
          <w:bCs/>
          <w:color w:val="000000"/>
          <w:lang w:val="fr-FR" w:eastAsia="fr-FR"/>
        </w:rPr>
      </w:pPr>
      <w:r>
        <w:rPr>
          <w:b/>
          <w:bCs/>
          <w:color w:val="000000"/>
          <w:lang w:val="fr-FR" w:eastAsia="fr-FR"/>
        </w:rPr>
        <w:tab/>
        <w:t>« </w:t>
      </w:r>
      <w:r w:rsidR="00E43DF0" w:rsidRPr="00E43DF0">
        <w:rPr>
          <w:b/>
          <w:bCs/>
          <w:color w:val="000000"/>
          <w:lang w:val="fr-FR" w:eastAsia="fr-FR"/>
        </w:rPr>
        <w:t>2.3.</w:t>
      </w:r>
      <w:r w:rsidR="00E43DF0" w:rsidRPr="00E43DF0">
        <w:rPr>
          <w:b/>
          <w:bCs/>
          <w:color w:val="000000"/>
          <w:u w:val="single"/>
          <w:lang w:val="fr-FR" w:eastAsia="fr-FR"/>
        </w:rPr>
        <w:t>1</w:t>
      </w:r>
      <w:r w:rsidR="00E43DF0" w:rsidRPr="00E43DF0">
        <w:rPr>
          <w:b/>
          <w:bCs/>
          <w:color w:val="000000"/>
          <w:lang w:val="fr-FR" w:eastAsia="fr-FR"/>
        </w:rPr>
        <w:t>.4</w:t>
      </w:r>
      <w:r w:rsidR="00E43DF0" w:rsidRPr="00E43DF0">
        <w:rPr>
          <w:b/>
          <w:bCs/>
          <w:color w:val="000000"/>
          <w:lang w:val="fr-FR" w:eastAsia="fr-FR"/>
        </w:rPr>
        <w:tab/>
        <w:t xml:space="preserve">Procédure de décision </w:t>
      </w:r>
      <w:r w:rsidR="00E43DF0" w:rsidRPr="00E43DF0">
        <w:rPr>
          <w:b/>
          <w:bCs/>
          <w:strike/>
          <w:color w:val="000000"/>
          <w:lang w:val="fr-FR" w:eastAsia="fr-FR"/>
        </w:rPr>
        <w:t>et commentaires</w:t>
      </w:r>
    </w:p>
    <w:p w:rsidR="00E43DF0" w:rsidRPr="00E43DF0" w:rsidRDefault="007F23FA" w:rsidP="007F23FA">
      <w:pPr>
        <w:pStyle w:val="SingleTxtG"/>
        <w:ind w:left="1701" w:hanging="567"/>
        <w:rPr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ab/>
      </w:r>
      <w:r w:rsidR="00E43DF0" w:rsidRPr="00E43DF0">
        <w:rPr>
          <w:bCs/>
          <w:color w:val="000000"/>
          <w:lang w:val="fr-FR" w:eastAsia="fr-FR"/>
        </w:rPr>
        <w:t xml:space="preserve">La procédure de décision </w:t>
      </w:r>
      <w:r w:rsidR="00E43DF0" w:rsidRPr="00E43DF0">
        <w:rPr>
          <w:bCs/>
          <w:strike/>
          <w:color w:val="000000"/>
          <w:lang w:val="fr-FR" w:eastAsia="fr-FR"/>
        </w:rPr>
        <w:t xml:space="preserve">et les commentaires </w:t>
      </w:r>
      <w:r w:rsidR="00E43DF0" w:rsidRPr="00E43DF0">
        <w:rPr>
          <w:bCs/>
          <w:color w:val="000000"/>
          <w:lang w:val="fr-FR" w:eastAsia="fr-FR"/>
        </w:rPr>
        <w:t xml:space="preserve">qui </w:t>
      </w:r>
      <w:r w:rsidR="00E43DF0" w:rsidRPr="00E43DF0">
        <w:rPr>
          <w:bCs/>
          <w:color w:val="000000"/>
          <w:u w:val="single"/>
          <w:lang w:val="fr-FR" w:eastAsia="fr-FR"/>
        </w:rPr>
        <w:t xml:space="preserve">suit </w:t>
      </w:r>
      <w:r w:rsidR="00E43DF0" w:rsidRPr="00E43DF0">
        <w:rPr>
          <w:bCs/>
          <w:strike/>
          <w:color w:val="000000"/>
          <w:lang w:val="fr-FR" w:eastAsia="fr-FR"/>
        </w:rPr>
        <w:t xml:space="preserve">suivent </w:t>
      </w:r>
      <w:r w:rsidR="00E43DF0" w:rsidRPr="00E43DF0">
        <w:rPr>
          <w:bCs/>
          <w:color w:val="000000"/>
          <w:lang w:val="fr-FR" w:eastAsia="fr-FR"/>
        </w:rPr>
        <w:t>est fournie</w:t>
      </w:r>
      <w:r w:rsidR="00E43DF0" w:rsidRPr="00E43DF0">
        <w:rPr>
          <w:bCs/>
          <w:strike/>
          <w:color w:val="000000"/>
          <w:lang w:val="fr-FR" w:eastAsia="fr-FR"/>
        </w:rPr>
        <w:t>s</w:t>
      </w:r>
      <w:r w:rsidR="00E43DF0" w:rsidRPr="00351D7E">
        <w:rPr>
          <w:bCs/>
          <w:color w:val="000000"/>
          <w:lang w:val="fr-FR" w:eastAsia="fr-FR"/>
        </w:rPr>
        <w:t xml:space="preserve"> </w:t>
      </w:r>
      <w:r w:rsidR="00E43DF0" w:rsidRPr="00E43DF0">
        <w:rPr>
          <w:bCs/>
          <w:color w:val="000000"/>
          <w:lang w:val="fr-FR" w:eastAsia="fr-FR"/>
        </w:rPr>
        <w:t>ici à titre d’aide à la décision. Il est vivement recommandé que la personne responsable de la classification étudie les critères de classification avant et durant l’application de cette procédure de décision.</w:t>
      </w:r>
      <w:r w:rsidR="00351D7E">
        <w:rPr>
          <w:bCs/>
          <w:color w:val="000000"/>
          <w:lang w:val="fr-FR" w:eastAsia="fr-FR"/>
        </w:rPr>
        <w:t> ».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E43DF0" w:rsidRPr="00E43DF0">
        <w:rPr>
          <w:lang w:val="fr-FR"/>
        </w:rPr>
        <w:t>Déplacer la section 2.3.4.2 (</w:t>
      </w:r>
      <w:r w:rsidR="00E43DF0" w:rsidRPr="00351D7E">
        <w:rPr>
          <w:i/>
          <w:iCs/>
          <w:lang w:val="fr-FR"/>
        </w:rPr>
        <w:t>Commentaires sur la chaleur de combustion</w:t>
      </w:r>
      <w:r w:rsidR="00E43DF0" w:rsidRPr="00E43DF0">
        <w:rPr>
          <w:iCs/>
          <w:lang w:val="fr-FR"/>
        </w:rPr>
        <w:t>),</w:t>
      </w:r>
      <w:r w:rsidR="00E43DF0" w:rsidRPr="00E43DF0">
        <w:rPr>
          <w:lang w:val="fr-FR"/>
        </w:rPr>
        <w:t xml:space="preserve"> pour en faire une nouvelle section 2.3.3.</w:t>
      </w:r>
    </w:p>
    <w:p w:rsidR="00E43DF0" w:rsidRPr="00E43DF0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E43DF0" w:rsidRPr="00E43DF0">
        <w:rPr>
          <w:lang w:val="fr-FR"/>
        </w:rPr>
        <w:t>À l’</w:t>
      </w:r>
      <w:r w:rsidR="00351D7E">
        <w:rPr>
          <w:lang w:val="fr-FR"/>
        </w:rPr>
        <w:t>annexe </w:t>
      </w:r>
      <w:r w:rsidR="00E43DF0" w:rsidRPr="00E43DF0">
        <w:rPr>
          <w:lang w:val="fr-FR"/>
        </w:rPr>
        <w:t>3, section</w:t>
      </w:r>
      <w:r w:rsidR="00351D7E">
        <w:rPr>
          <w:lang w:val="fr-FR"/>
        </w:rPr>
        <w:t> </w:t>
      </w:r>
      <w:r w:rsidR="00E43DF0" w:rsidRPr="00E43DF0">
        <w:rPr>
          <w:lang w:val="fr-FR"/>
        </w:rPr>
        <w:t xml:space="preserve">3, modifier la </w:t>
      </w:r>
      <w:r w:rsidR="00E43DF0" w:rsidRPr="00351D7E">
        <w:rPr>
          <w:i/>
          <w:lang w:val="fr-FR"/>
        </w:rPr>
        <w:t>matrice des conseils de prudence par classe/catégorie de danger applicable aux aérosols de la sous-section A3.3.5</w:t>
      </w:r>
      <w:r w:rsidR="00DD4917">
        <w:rPr>
          <w:lang w:val="fr-FR"/>
        </w:rPr>
        <w:t xml:space="preserve"> comme suit </w:t>
      </w:r>
      <w:r w:rsidR="00E43DF0" w:rsidRPr="00E43DF0">
        <w:rPr>
          <w:lang w:val="fr-FR"/>
        </w:rPr>
        <w:t>:</w:t>
      </w:r>
    </w:p>
    <w:p w:rsidR="00E43DF0" w:rsidRPr="00A6535C" w:rsidRDefault="00351D7E" w:rsidP="00351D7E">
      <w:pPr>
        <w:pStyle w:val="H1G"/>
        <w:ind w:left="3402" w:firstLine="0"/>
        <w:rPr>
          <w:lang w:val="fr-FR"/>
        </w:rPr>
      </w:pPr>
      <w:r>
        <w:rPr>
          <w:lang w:val="fr-FR"/>
        </w:rPr>
        <w:t>«</w:t>
      </w:r>
      <w:r w:rsidR="00DD4917">
        <w:rPr>
          <w:lang w:val="fr-FR"/>
        </w:rPr>
        <w:t> </w:t>
      </w:r>
      <w:r>
        <w:rPr>
          <w:lang w:val="fr-FR"/>
        </w:rPr>
        <w:t xml:space="preserve">AÉROSOLS </w:t>
      </w:r>
      <w:r>
        <w:rPr>
          <w:lang w:val="fr-FR"/>
        </w:rPr>
        <w:br/>
        <w:t>(Chapitre</w:t>
      </w:r>
      <w:r w:rsidR="00E43DF0" w:rsidRPr="00A6535C">
        <w:rPr>
          <w:lang w:val="fr-FR"/>
        </w:rPr>
        <w:t xml:space="preserve"> 2.3, </w:t>
      </w:r>
      <w:r w:rsidR="00E43DF0" w:rsidRPr="00A6535C">
        <w:rPr>
          <w:u w:val="single"/>
          <w:lang w:val="fr-FR"/>
        </w:rPr>
        <w:t>section 2.3.1</w:t>
      </w:r>
      <w:r w:rsidR="00E43DF0" w:rsidRPr="00A6535C">
        <w:rPr>
          <w:lang w:val="fr-FR"/>
        </w:rPr>
        <w:t>)</w:t>
      </w:r>
      <w:r w:rsidR="00DD4917">
        <w:rPr>
          <w:lang w:val="fr-FR"/>
        </w:rPr>
        <w:t> </w:t>
      </w:r>
      <w:r w:rsidR="00E43DF0" w:rsidRPr="00A6535C">
        <w:rPr>
          <w:lang w:val="fr-FR"/>
        </w:rPr>
        <w:t>»</w:t>
      </w:r>
    </w:p>
    <w:p w:rsidR="00E43DF0" w:rsidRPr="00A6535C" w:rsidRDefault="007F23FA" w:rsidP="00351D7E">
      <w:pPr>
        <w:pStyle w:val="SingleTxtG"/>
        <w:ind w:left="1701" w:hanging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E43DF0" w:rsidRPr="00A6535C">
        <w:rPr>
          <w:lang w:val="fr-FR"/>
        </w:rPr>
        <w:t>À l</w:t>
      </w:r>
      <w:r w:rsidR="00E43DF0">
        <w:rPr>
          <w:lang w:val="fr-FR"/>
        </w:rPr>
        <w:t>’</w:t>
      </w:r>
      <w:r w:rsidR="00E43DF0" w:rsidRPr="00A6535C">
        <w:rPr>
          <w:lang w:val="fr-FR"/>
        </w:rPr>
        <w:t>annexe 4, tableau A4.3.9.2 (</w:t>
      </w:r>
      <w:r w:rsidR="00E43DF0" w:rsidRPr="00351D7E">
        <w:rPr>
          <w:i/>
          <w:lang w:val="fr-FR"/>
        </w:rPr>
        <w:t>Données (supplémentaires) concernant certaines classes de danger physique</w:t>
      </w:r>
      <w:r w:rsidR="00E43DF0" w:rsidRPr="00A6535C">
        <w:rPr>
          <w:lang w:val="fr-FR"/>
        </w:rPr>
        <w:t>), modifier la rubrique app</w:t>
      </w:r>
      <w:r w:rsidR="009C3329">
        <w:rPr>
          <w:lang w:val="fr-FR"/>
        </w:rPr>
        <w:t>licable aux aérosols comme suit </w:t>
      </w:r>
      <w:r w:rsidR="00E43DF0" w:rsidRPr="00A6535C">
        <w:rPr>
          <w:lang w:val="fr-FR"/>
        </w:rPr>
        <w:t>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6207"/>
      </w:tblGrid>
      <w:tr w:rsidR="00E43DF0" w:rsidRPr="00E43DF0" w:rsidTr="007F23FA">
        <w:trPr>
          <w:cantSplit/>
          <w:tblHeader/>
        </w:trPr>
        <w:tc>
          <w:tcPr>
            <w:tcW w:w="1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DF0" w:rsidRPr="00E43DF0" w:rsidRDefault="00E43DF0" w:rsidP="00E43DF0">
            <w:pPr>
              <w:spacing w:before="80" w:after="80" w:line="200" w:lineRule="exact"/>
              <w:ind w:right="113"/>
              <w:jc w:val="center"/>
              <w:rPr>
                <w:b/>
                <w:lang w:val="fr-FR"/>
              </w:rPr>
            </w:pPr>
            <w:r w:rsidRPr="00E43DF0">
              <w:rPr>
                <w:b/>
                <w:lang w:val="fr-FR"/>
              </w:rPr>
              <w:t>Chapitre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DF0" w:rsidRPr="00E43DF0" w:rsidRDefault="00E43DF0" w:rsidP="00E43DF0">
            <w:pPr>
              <w:spacing w:before="80" w:after="80" w:line="200" w:lineRule="exact"/>
              <w:ind w:right="113"/>
              <w:jc w:val="center"/>
              <w:rPr>
                <w:b/>
                <w:lang w:val="fr-FR"/>
              </w:rPr>
            </w:pPr>
            <w:r w:rsidRPr="00E43DF0">
              <w:rPr>
                <w:b/>
                <w:lang w:val="fr-FR"/>
              </w:rPr>
              <w:t>Classe de danger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DF0" w:rsidRPr="00E43DF0" w:rsidRDefault="00E43DF0" w:rsidP="00E43DF0">
            <w:pPr>
              <w:spacing w:before="80" w:after="80" w:line="200" w:lineRule="exact"/>
              <w:ind w:right="113"/>
              <w:jc w:val="center"/>
              <w:rPr>
                <w:b/>
                <w:lang w:val="fr-FR"/>
              </w:rPr>
            </w:pPr>
            <w:r w:rsidRPr="00E43DF0">
              <w:rPr>
                <w:b/>
                <w:lang w:val="fr-FR"/>
              </w:rPr>
              <w:t>Propriété/Caractéristique de sécurité/Résultat d’épreuve et Observations/Directives</w:t>
            </w:r>
          </w:p>
        </w:tc>
      </w:tr>
      <w:tr w:rsidR="00E43DF0" w:rsidRPr="00E43DF0" w:rsidTr="007F23FA">
        <w:trPr>
          <w:cantSplit/>
        </w:trPr>
        <w:tc>
          <w:tcPr>
            <w:tcW w:w="1729" w:type="dxa"/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:rsidR="00E43DF0" w:rsidRPr="00E43DF0" w:rsidRDefault="00E43DF0" w:rsidP="00E43DF0">
            <w:pPr>
              <w:spacing w:before="40" w:after="120"/>
              <w:ind w:right="113"/>
              <w:rPr>
                <w:lang w:val="fr-FR"/>
              </w:rPr>
            </w:pPr>
            <w:r w:rsidRPr="00E43DF0">
              <w:rPr>
                <w:lang w:val="fr-FR"/>
              </w:rPr>
              <w:t>2.3</w:t>
            </w:r>
            <w:r w:rsidR="007F23FA">
              <w:rPr>
                <w:lang w:val="fr-FR"/>
              </w:rPr>
              <w:t> </w:t>
            </w:r>
            <w:r w:rsidRPr="00E43DF0">
              <w:rPr>
                <w:lang w:val="fr-FR"/>
              </w:rPr>
              <w:t xml:space="preserve">; </w:t>
            </w:r>
            <w:r w:rsidRPr="00E43DF0">
              <w:rPr>
                <w:u w:val="single"/>
                <w:lang w:val="fr-FR"/>
              </w:rPr>
              <w:t>section 2.3.1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3DF0" w:rsidRPr="00E43DF0" w:rsidRDefault="00E43DF0" w:rsidP="00E43DF0">
            <w:pPr>
              <w:spacing w:before="40" w:after="120"/>
              <w:ind w:right="113"/>
              <w:rPr>
                <w:lang w:val="fr-FR"/>
              </w:rPr>
            </w:pPr>
            <w:r w:rsidRPr="00E43DF0">
              <w:rPr>
                <w:lang w:val="fr-FR"/>
              </w:rPr>
              <w:t>Aérosols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3DF0" w:rsidRPr="00E43DF0" w:rsidRDefault="00E43DF0" w:rsidP="009B43AC">
            <w:pPr>
              <w:spacing w:before="40" w:after="120"/>
              <w:ind w:left="284" w:right="113" w:hanging="284"/>
              <w:rPr>
                <w:lang w:val="fr-FR"/>
              </w:rPr>
            </w:pPr>
            <w:r w:rsidRPr="00E43DF0">
              <w:rPr>
                <w:lang w:val="fr-FR"/>
              </w:rPr>
              <w:t>−</w:t>
            </w:r>
            <w:r w:rsidRPr="00E43DF0">
              <w:rPr>
                <w:lang w:val="fr-FR"/>
              </w:rPr>
              <w:tab/>
            </w:r>
            <w:r w:rsidRPr="00E43DF0">
              <w:rPr>
                <w:iCs/>
                <w:lang w:val="fr-FR"/>
              </w:rPr>
              <w:t>Indiquer le pourcentage (en masse) de composants inflammables sauf si l’aérosol est classé dans la catégorie 1 parce qu’</w:t>
            </w:r>
            <w:r w:rsidR="00BA312A">
              <w:rPr>
                <w:iCs/>
                <w:lang w:val="fr-FR"/>
              </w:rPr>
              <w:t>il contient plus de 1 </w:t>
            </w:r>
            <w:r w:rsidRPr="00E43DF0">
              <w:rPr>
                <w:iCs/>
                <w:lang w:val="fr-FR"/>
              </w:rPr>
              <w:t>% de composants inflammables ou qu’il a une chaleur de combustion égale ou supérieure à 20 kJ/g, et qu’il n’est pas soumis aux procédures de classification en fonction de l’inflammabilité</w:t>
            </w:r>
            <w:r w:rsidR="00BA312A">
              <w:rPr>
                <w:lang w:val="fr-FR"/>
              </w:rPr>
              <w:t xml:space="preserve"> (voir </w:t>
            </w:r>
            <w:r w:rsidRPr="00E43DF0">
              <w:rPr>
                <w:strike/>
                <w:lang w:val="fr-FR"/>
              </w:rPr>
              <w:t>la note</w:t>
            </w:r>
            <w:r w:rsidRPr="00E43DF0">
              <w:rPr>
                <w:lang w:val="fr-FR"/>
              </w:rPr>
              <w:t xml:space="preserve"> </w:t>
            </w:r>
            <w:r w:rsidRPr="00E43DF0">
              <w:rPr>
                <w:u w:val="single"/>
                <w:lang w:val="fr-FR"/>
              </w:rPr>
              <w:t>le NOTA</w:t>
            </w:r>
            <w:r w:rsidRPr="00351D7E">
              <w:rPr>
                <w:u w:val="single"/>
                <w:lang w:val="fr-FR"/>
              </w:rPr>
              <w:t xml:space="preserve"> </w:t>
            </w:r>
            <w:r w:rsidRPr="00E43DF0">
              <w:rPr>
                <w:u w:val="single"/>
                <w:lang w:val="fr-FR"/>
              </w:rPr>
              <w:t>2</w:t>
            </w:r>
            <w:r w:rsidRPr="00E43DF0">
              <w:rPr>
                <w:lang w:val="fr-FR"/>
              </w:rPr>
              <w:t xml:space="preserve"> au paragraphe 2.3.</w:t>
            </w:r>
            <w:r w:rsidRPr="00E43DF0">
              <w:rPr>
                <w:u w:val="single"/>
                <w:lang w:val="fr-FR"/>
              </w:rPr>
              <w:t>1.</w:t>
            </w:r>
            <w:r w:rsidRPr="00E43DF0">
              <w:rPr>
                <w:lang w:val="fr-FR"/>
              </w:rPr>
              <w:t>2.</w:t>
            </w:r>
            <w:r w:rsidRPr="00E43DF0">
              <w:rPr>
                <w:strike/>
                <w:lang w:val="fr-FR"/>
              </w:rPr>
              <w:t>2</w:t>
            </w:r>
            <w:r w:rsidRPr="00E43DF0">
              <w:rPr>
                <w:u w:val="single"/>
                <w:lang w:val="fr-FR"/>
              </w:rPr>
              <w:t>1</w:t>
            </w:r>
            <w:r w:rsidRPr="00E43DF0">
              <w:rPr>
                <w:lang w:val="fr-FR"/>
              </w:rPr>
              <w:t xml:space="preserve"> du chapitre 2.3)</w:t>
            </w:r>
          </w:p>
        </w:tc>
      </w:tr>
    </w:tbl>
    <w:p w:rsidR="00446FE5" w:rsidRPr="00E43DF0" w:rsidRDefault="00E43DF0" w:rsidP="00E43D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43DF0" w:rsidSect="00E43D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6A" w:rsidRDefault="00901B6A" w:rsidP="00F95C08">
      <w:pPr>
        <w:spacing w:line="240" w:lineRule="auto"/>
      </w:pPr>
    </w:p>
  </w:endnote>
  <w:endnote w:type="continuationSeparator" w:id="0">
    <w:p w:rsidR="00901B6A" w:rsidRPr="00AC3823" w:rsidRDefault="00901B6A" w:rsidP="00AC3823">
      <w:pPr>
        <w:pStyle w:val="Footer"/>
      </w:pPr>
    </w:p>
  </w:endnote>
  <w:endnote w:type="continuationNotice" w:id="1">
    <w:p w:rsidR="00901B6A" w:rsidRDefault="00901B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 w:rsidP="00E43DF0">
    <w:pPr>
      <w:pStyle w:val="Footer"/>
      <w:tabs>
        <w:tab w:val="right" w:pos="9638"/>
      </w:tabs>
    </w:pPr>
    <w:r w:rsidRPr="00E43DF0">
      <w:rPr>
        <w:b/>
        <w:sz w:val="18"/>
      </w:rPr>
      <w:fldChar w:fldCharType="begin"/>
    </w:r>
    <w:r w:rsidRPr="00E43DF0">
      <w:rPr>
        <w:b/>
        <w:sz w:val="18"/>
      </w:rPr>
      <w:instrText xml:space="preserve"> PAGE  \* MERGEFORMAT </w:instrText>
    </w:r>
    <w:r w:rsidRPr="00E43DF0">
      <w:rPr>
        <w:b/>
        <w:sz w:val="18"/>
      </w:rPr>
      <w:fldChar w:fldCharType="separate"/>
    </w:r>
    <w:r w:rsidRPr="00E43DF0">
      <w:rPr>
        <w:b/>
        <w:noProof/>
        <w:sz w:val="18"/>
      </w:rPr>
      <w:t>2</w:t>
    </w:r>
    <w:r w:rsidRPr="00E43DF0">
      <w:rPr>
        <w:b/>
        <w:sz w:val="18"/>
      </w:rPr>
      <w:fldChar w:fldCharType="end"/>
    </w:r>
    <w:r>
      <w:rPr>
        <w:b/>
        <w:sz w:val="18"/>
      </w:rPr>
      <w:tab/>
    </w:r>
    <w:r>
      <w:t>GE.18-14675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 w:rsidP="00E43DF0">
    <w:pPr>
      <w:pStyle w:val="Footer"/>
      <w:tabs>
        <w:tab w:val="right" w:pos="9638"/>
      </w:tabs>
      <w:rPr>
        <w:b/>
        <w:sz w:val="18"/>
      </w:rPr>
    </w:pPr>
    <w:r>
      <w:t>GE.18-14675</w:t>
    </w:r>
    <w:r>
      <w:tab/>
    </w:r>
    <w:r w:rsidRPr="00E43DF0">
      <w:rPr>
        <w:b/>
        <w:sz w:val="18"/>
      </w:rPr>
      <w:fldChar w:fldCharType="begin"/>
    </w:r>
    <w:r w:rsidRPr="00E43DF0">
      <w:rPr>
        <w:b/>
        <w:sz w:val="18"/>
      </w:rPr>
      <w:instrText xml:space="preserve"> PAGE  \* MERGEFORMAT </w:instrText>
    </w:r>
    <w:r w:rsidRPr="00E43DF0">
      <w:rPr>
        <w:b/>
        <w:sz w:val="18"/>
      </w:rPr>
      <w:fldChar w:fldCharType="separate"/>
    </w:r>
    <w:r w:rsidRPr="00E43DF0">
      <w:rPr>
        <w:b/>
        <w:noProof/>
        <w:sz w:val="18"/>
      </w:rPr>
      <w:t>3</w:t>
    </w:r>
    <w:r w:rsidRPr="00E43D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E43DF0" w:rsidRDefault="00E43DF0" w:rsidP="00E43DF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14675  (</w:t>
    </w:r>
    <w:proofErr w:type="gramEnd"/>
    <w:r>
      <w:rPr>
        <w:sz w:val="20"/>
      </w:rPr>
      <w:t>F)</w:t>
    </w:r>
    <w:r w:rsidR="00311BE4">
      <w:rPr>
        <w:sz w:val="20"/>
      </w:rPr>
      <w:t xml:space="preserve">    041018    051018</w:t>
    </w:r>
    <w:r>
      <w:rPr>
        <w:sz w:val="20"/>
      </w:rPr>
      <w:br/>
    </w:r>
    <w:r w:rsidRPr="00E43DF0">
      <w:rPr>
        <w:rFonts w:ascii="C39T30Lfz" w:hAnsi="C39T30Lfz"/>
        <w:sz w:val="56"/>
      </w:rPr>
      <w:t></w:t>
    </w:r>
    <w:r w:rsidRPr="00E43DF0">
      <w:rPr>
        <w:rFonts w:ascii="C39T30Lfz" w:hAnsi="C39T30Lfz"/>
        <w:sz w:val="56"/>
      </w:rPr>
      <w:t></w:t>
    </w:r>
    <w:r w:rsidRPr="00E43DF0">
      <w:rPr>
        <w:rFonts w:ascii="C39T30Lfz" w:hAnsi="C39T30Lfz"/>
        <w:sz w:val="56"/>
      </w:rPr>
      <w:t></w:t>
    </w:r>
    <w:r w:rsidRPr="00E43DF0">
      <w:rPr>
        <w:rFonts w:ascii="C39T30Lfz" w:hAnsi="C39T30Lfz"/>
        <w:sz w:val="56"/>
      </w:rPr>
      <w:t></w:t>
    </w:r>
    <w:r w:rsidRPr="00E43DF0">
      <w:rPr>
        <w:rFonts w:ascii="C39T30Lfz" w:hAnsi="C39T30Lfz"/>
        <w:sz w:val="56"/>
      </w:rPr>
      <w:t></w:t>
    </w:r>
    <w:r w:rsidRPr="00E43DF0">
      <w:rPr>
        <w:rFonts w:ascii="C39T30Lfz" w:hAnsi="C39T30Lfz"/>
        <w:sz w:val="56"/>
      </w:rPr>
      <w:t></w:t>
    </w:r>
    <w:r w:rsidRPr="00E43DF0">
      <w:rPr>
        <w:rFonts w:ascii="C39T30Lfz" w:hAnsi="C39T30Lfz"/>
        <w:sz w:val="56"/>
      </w:rPr>
      <w:t></w:t>
    </w:r>
    <w:r w:rsidRPr="00E43DF0">
      <w:rPr>
        <w:rFonts w:ascii="C39T30Lfz" w:hAnsi="C39T30Lfz"/>
        <w:sz w:val="56"/>
      </w:rPr>
      <w:t></w:t>
    </w:r>
    <w:r w:rsidRPr="00E43DF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0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0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6A" w:rsidRPr="00AC3823" w:rsidRDefault="00901B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1B6A" w:rsidRPr="00AC3823" w:rsidRDefault="00901B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01B6A" w:rsidRPr="00AC3823" w:rsidRDefault="00901B6A">
      <w:pPr>
        <w:spacing w:line="240" w:lineRule="auto"/>
        <w:rPr>
          <w:sz w:val="2"/>
          <w:szCs w:val="2"/>
        </w:rPr>
      </w:pPr>
    </w:p>
  </w:footnote>
  <w:footnote w:id="2">
    <w:p w:rsidR="00311BE4" w:rsidRPr="00311BE4" w:rsidRDefault="00311BE4" w:rsidP="00311BE4">
      <w:pPr>
        <w:pStyle w:val="FootnoteText"/>
      </w:pPr>
      <w:r>
        <w:rPr>
          <w:rStyle w:val="FootnoteReference"/>
        </w:rPr>
        <w:tab/>
      </w:r>
      <w:r w:rsidRPr="00311BE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approuvé par le Comité à sa huitième session (voir ST/SG/AC.10/C.3/100, par. 98, et ST/SG/AC.10/44, par.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>
    <w:pPr>
      <w:pStyle w:val="Header"/>
      <w:rPr>
        <w:lang w:val="en-US"/>
      </w:rPr>
    </w:pPr>
    <w:r>
      <w:fldChar w:fldCharType="begin"/>
    </w:r>
    <w:r w:rsidRPr="00E43DF0">
      <w:rPr>
        <w:lang w:val="en-US"/>
      </w:rPr>
      <w:instrText xml:space="preserve"> TITLE  \* MERGEFORMAT </w:instrText>
    </w:r>
    <w:r>
      <w:fldChar w:fldCharType="separate"/>
    </w:r>
    <w:r w:rsidR="00BC7A71">
      <w:rPr>
        <w:lang w:val="en-US"/>
      </w:rPr>
      <w:t>ST/SG/AC.10/C.3/2018/101</w:t>
    </w:r>
    <w:r>
      <w:fldChar w:fldCharType="end"/>
    </w:r>
    <w:r w:rsidRPr="00E43DF0">
      <w:rPr>
        <w:lang w:val="en-US"/>
      </w:rPr>
      <w:br/>
    </w:r>
    <w:r>
      <w:fldChar w:fldCharType="begin"/>
    </w:r>
    <w:r w:rsidRPr="00E43DF0">
      <w:rPr>
        <w:lang w:val="en-US"/>
      </w:rPr>
      <w:instrText xml:space="preserve"> KEYWORDS  \* MERGEFORMAT </w:instrText>
    </w:r>
    <w:r>
      <w:fldChar w:fldCharType="separate"/>
    </w:r>
    <w:r w:rsidR="00BC7A71">
      <w:rPr>
        <w:lang w:val="en-US"/>
      </w:rPr>
      <w:t>ST/SG/AC.10/C.4/2018/23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DF0" w:rsidRPr="00E43DF0" w:rsidRDefault="00E43DF0" w:rsidP="00E43DF0">
    <w:pPr>
      <w:pStyle w:val="Header"/>
      <w:jc w:val="right"/>
      <w:rPr>
        <w:lang w:val="en-US"/>
      </w:rPr>
    </w:pPr>
    <w:r>
      <w:fldChar w:fldCharType="begin"/>
    </w:r>
    <w:r w:rsidRPr="00E43DF0">
      <w:rPr>
        <w:lang w:val="en-US"/>
      </w:rPr>
      <w:instrText xml:space="preserve"> TITLE  \* MERGEFORMAT </w:instrText>
    </w:r>
    <w:r>
      <w:fldChar w:fldCharType="separate"/>
    </w:r>
    <w:r w:rsidR="00BC7A71">
      <w:rPr>
        <w:lang w:val="en-US"/>
      </w:rPr>
      <w:t>ST/SG/AC.10/C.3/2018/101</w:t>
    </w:r>
    <w:r>
      <w:fldChar w:fldCharType="end"/>
    </w:r>
    <w:r w:rsidRPr="00E43DF0">
      <w:rPr>
        <w:lang w:val="en-US"/>
      </w:rPr>
      <w:br/>
    </w:r>
    <w:r>
      <w:fldChar w:fldCharType="begin"/>
    </w:r>
    <w:r w:rsidRPr="00E43DF0">
      <w:rPr>
        <w:lang w:val="en-US"/>
      </w:rPr>
      <w:instrText xml:space="preserve"> KEYWORDS  \* MERGEFORMAT </w:instrText>
    </w:r>
    <w:r>
      <w:fldChar w:fldCharType="separate"/>
    </w:r>
    <w:r w:rsidR="00BC7A71">
      <w:rPr>
        <w:lang w:val="en-US"/>
      </w:rPr>
      <w:t>ST/SG/AC.10/C.4/2018/23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1A5188B"/>
    <w:multiLevelType w:val="hybridMultilevel"/>
    <w:tmpl w:val="461E670A"/>
    <w:lvl w:ilvl="0" w:tplc="4156E4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lvl w:ilvl="0" w:tplc="4156E49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6A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960F0"/>
    <w:rsid w:val="001F525A"/>
    <w:rsid w:val="00212D32"/>
    <w:rsid w:val="00223272"/>
    <w:rsid w:val="0024779E"/>
    <w:rsid w:val="00283190"/>
    <w:rsid w:val="002832AC"/>
    <w:rsid w:val="002D7C93"/>
    <w:rsid w:val="00311BE4"/>
    <w:rsid w:val="00346CAB"/>
    <w:rsid w:val="00351D7E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7F23FA"/>
    <w:rsid w:val="0080684C"/>
    <w:rsid w:val="00871C75"/>
    <w:rsid w:val="008776DC"/>
    <w:rsid w:val="008B40CD"/>
    <w:rsid w:val="00901B6A"/>
    <w:rsid w:val="009705C8"/>
    <w:rsid w:val="009B43AC"/>
    <w:rsid w:val="009C1CF4"/>
    <w:rsid w:val="009C3329"/>
    <w:rsid w:val="00A30353"/>
    <w:rsid w:val="00AC3823"/>
    <w:rsid w:val="00AE323C"/>
    <w:rsid w:val="00AF79A9"/>
    <w:rsid w:val="00B00181"/>
    <w:rsid w:val="00B00B0D"/>
    <w:rsid w:val="00B765F7"/>
    <w:rsid w:val="00B76A19"/>
    <w:rsid w:val="00BA0CA9"/>
    <w:rsid w:val="00BA312A"/>
    <w:rsid w:val="00BB1D6C"/>
    <w:rsid w:val="00BC7A71"/>
    <w:rsid w:val="00BF5A65"/>
    <w:rsid w:val="00C02897"/>
    <w:rsid w:val="00D3439C"/>
    <w:rsid w:val="00DB1831"/>
    <w:rsid w:val="00DD3BFD"/>
    <w:rsid w:val="00DD4917"/>
    <w:rsid w:val="00DF6678"/>
    <w:rsid w:val="00E43DF0"/>
    <w:rsid w:val="00E67985"/>
    <w:rsid w:val="00E911DC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89A95A-6BC9-4979-9A16-98FA9F8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ST/SG/AC.10/C.3/2018/101</vt:lpstr>
      <vt:lpstr>ST/SG/AC.10/C.3/2018/101</vt:lpstr>
    </vt:vector>
  </TitlesOfParts>
  <Company>DCM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ST/SG/AC.10/C.3/2018/101</dc:title>
  <dc:creator>Isabelle VIGNY</dc:creator>
  <cp:keywords>ST/SG/AC.10/C.4/2018/23</cp:keywords>
  <cp:lastModifiedBy>Laurence Berthet</cp:lastModifiedBy>
  <cp:revision>3</cp:revision>
  <cp:lastPrinted>2018-10-05T15:09:00Z</cp:lastPrinted>
  <dcterms:created xsi:type="dcterms:W3CDTF">2018-10-05T15:09:00Z</dcterms:created>
  <dcterms:modified xsi:type="dcterms:W3CDTF">2018-10-05T15:09:00Z</dcterms:modified>
</cp:coreProperties>
</file>