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304CDF7A"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AB3D4E">
              <w:rPr>
                <w:b/>
                <w:sz w:val="40"/>
                <w:szCs w:val="40"/>
                <w:lang w:val="fr-CH"/>
              </w:rPr>
              <w:t>4</w:t>
            </w:r>
            <w:r w:rsidRPr="00947F38">
              <w:rPr>
                <w:b/>
                <w:sz w:val="40"/>
                <w:szCs w:val="40"/>
                <w:lang w:val="fr-CH"/>
              </w:rPr>
              <w:t>/INF.</w:t>
            </w:r>
            <w:r w:rsidR="00F01475">
              <w:rPr>
                <w:b/>
                <w:sz w:val="40"/>
                <w:szCs w:val="40"/>
                <w:lang w:val="fr-CH"/>
              </w:rPr>
              <w:t>18</w:t>
            </w:r>
          </w:p>
          <w:p w14:paraId="0580AB45" w14:textId="77777777" w:rsidR="000216CC" w:rsidRPr="00947F38" w:rsidRDefault="000216CC" w:rsidP="00497711">
            <w:pPr>
              <w:jc w:val="right"/>
              <w:rPr>
                <w:highlight w:val="yellow"/>
                <w:lang w:val="fr-CH"/>
              </w:rPr>
            </w:pPr>
          </w:p>
        </w:tc>
      </w:tr>
    </w:tbl>
    <w:p w14:paraId="44A5FB22" w14:textId="77777777" w:rsidR="000019B8" w:rsidRPr="001039FD"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0329B383" w:rsidR="00645A0B" w:rsidRPr="001039FD" w:rsidRDefault="00645A0B" w:rsidP="00AD5E8F">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F01475">
              <w:rPr>
                <w:b/>
              </w:rPr>
              <w:t>29</w:t>
            </w:r>
            <w:r w:rsidR="006D15EF">
              <w:rPr>
                <w:b/>
              </w:rPr>
              <w:t xml:space="preserve"> </w:t>
            </w:r>
            <w:r w:rsidR="00AD5E8F">
              <w:rPr>
                <w:b/>
              </w:rPr>
              <w:t>October</w:t>
            </w:r>
            <w:r w:rsidR="00FB0B84">
              <w:rPr>
                <w:b/>
              </w:rPr>
              <w:t xml:space="preserve"> </w:t>
            </w:r>
            <w:r w:rsidR="00162E11">
              <w:rPr>
                <w:b/>
              </w:rPr>
              <w:t>2018</w:t>
            </w:r>
          </w:p>
        </w:tc>
      </w:tr>
      <w:tr w:rsidR="00645A0B" w:rsidRPr="001039FD" w14:paraId="0E3B19FA" w14:textId="77777777" w:rsidTr="00165735">
        <w:tc>
          <w:tcPr>
            <w:tcW w:w="4652" w:type="dxa"/>
            <w:tcMar>
              <w:top w:w="57" w:type="dxa"/>
              <w:left w:w="108" w:type="dxa"/>
              <w:bottom w:w="0" w:type="dxa"/>
              <w:right w:w="108" w:type="dxa"/>
            </w:tcMar>
            <w:vAlign w:val="center"/>
          </w:tcPr>
          <w:p w14:paraId="27DC77F0" w14:textId="71D84D87" w:rsidR="00645A0B" w:rsidRPr="001039FD" w:rsidRDefault="00645A0B" w:rsidP="00165735">
            <w:pPr>
              <w:spacing w:before="120"/>
              <w:rPr>
                <w:b/>
              </w:rPr>
            </w:pPr>
            <w:r w:rsidRPr="001039FD">
              <w:rPr>
                <w:b/>
              </w:rPr>
              <w:t xml:space="preserve">Sub-Committee of Experts on the Transport of Dangerous Goods </w:t>
            </w:r>
          </w:p>
        </w:tc>
        <w:tc>
          <w:tcPr>
            <w:tcW w:w="4993" w:type="dxa"/>
            <w:tcMar>
              <w:top w:w="57" w:type="dxa"/>
              <w:left w:w="108" w:type="dxa"/>
              <w:bottom w:w="0" w:type="dxa"/>
              <w:right w:w="108" w:type="dxa"/>
            </w:tcMar>
            <w:vAlign w:val="center"/>
          </w:tcPr>
          <w:p w14:paraId="4FF1E716" w14:textId="1A05B329" w:rsidR="00645A0B" w:rsidRPr="001039FD" w:rsidRDefault="00645A0B" w:rsidP="00165735">
            <w:pPr>
              <w:spacing w:before="120"/>
              <w:rPr>
                <w:b/>
              </w:rPr>
            </w:pPr>
          </w:p>
        </w:tc>
      </w:tr>
      <w:tr w:rsidR="00645A0B" w:rsidRPr="001039FD" w14:paraId="30683080" w14:textId="77777777" w:rsidTr="00165735">
        <w:tc>
          <w:tcPr>
            <w:tcW w:w="4652" w:type="dxa"/>
            <w:tcMar>
              <w:top w:w="57" w:type="dxa"/>
              <w:left w:w="108" w:type="dxa"/>
              <w:bottom w:w="0" w:type="dxa"/>
              <w:right w:w="108" w:type="dxa"/>
            </w:tcMar>
          </w:tcPr>
          <w:p w14:paraId="0C603D47" w14:textId="09A4C605" w:rsidR="00645A0B" w:rsidRPr="00E601C0" w:rsidRDefault="00E601C0" w:rsidP="00E601C0">
            <w:pPr>
              <w:spacing w:before="120"/>
              <w:ind w:left="34" w:hanging="34"/>
              <w:rPr>
                <w:b/>
              </w:rPr>
            </w:pPr>
            <w:r w:rsidRPr="00E601C0">
              <w:rPr>
                <w:b/>
              </w:rPr>
              <w:t>F</w:t>
            </w:r>
            <w:r w:rsidR="00E2792B">
              <w:rPr>
                <w:b/>
              </w:rPr>
              <w:t>ifty</w:t>
            </w:r>
            <w:r w:rsidR="001B3102">
              <w:rPr>
                <w:b/>
              </w:rPr>
              <w:t>-</w:t>
            </w:r>
            <w:r w:rsidR="00AB3D4E">
              <w:rPr>
                <w:b/>
              </w:rPr>
              <w:t>fourth</w:t>
            </w:r>
            <w:r w:rsidR="00645A0B" w:rsidRPr="00E601C0">
              <w:rPr>
                <w:b/>
              </w:rPr>
              <w:t xml:space="preserve"> session</w:t>
            </w:r>
          </w:p>
        </w:tc>
        <w:tc>
          <w:tcPr>
            <w:tcW w:w="4993" w:type="dxa"/>
            <w:tcMar>
              <w:top w:w="57" w:type="dxa"/>
              <w:left w:w="108" w:type="dxa"/>
              <w:bottom w:w="0" w:type="dxa"/>
              <w:right w:w="108" w:type="dxa"/>
            </w:tcMar>
          </w:tcPr>
          <w:p w14:paraId="631B7BC5" w14:textId="67B6F8B2" w:rsidR="00645A0B" w:rsidRPr="00D06F88" w:rsidRDefault="00645A0B" w:rsidP="00E601C0">
            <w:pPr>
              <w:spacing w:before="120"/>
              <w:rPr>
                <w:b/>
                <w:highlight w:val="yellow"/>
              </w:rPr>
            </w:pPr>
          </w:p>
        </w:tc>
      </w:tr>
    </w:tbl>
    <w:p w14:paraId="05B9E1A6" w14:textId="77777777" w:rsidR="00AD5E8F" w:rsidRPr="00733777" w:rsidRDefault="00AD5E8F" w:rsidP="00F01475">
      <w:pPr>
        <w:ind w:left="142" w:firstLine="54"/>
        <w:rPr>
          <w:b/>
        </w:rPr>
      </w:pPr>
      <w:r w:rsidRPr="00733777">
        <w:t>Item 6 of the provisional agenda</w:t>
      </w:r>
    </w:p>
    <w:p w14:paraId="471263BD" w14:textId="77777777" w:rsidR="00AD5E8F" w:rsidRPr="00733777" w:rsidRDefault="00AD5E8F" w:rsidP="00F01475">
      <w:pPr>
        <w:keepNext/>
        <w:keepLines/>
        <w:tabs>
          <w:tab w:val="right" w:pos="851"/>
        </w:tabs>
        <w:spacing w:after="240" w:line="240" w:lineRule="auto"/>
        <w:ind w:left="168" w:right="1134" w:firstLine="14"/>
        <w:rPr>
          <w:b/>
        </w:rPr>
      </w:pPr>
      <w:r w:rsidRPr="00733777">
        <w:rPr>
          <w:b/>
        </w:rPr>
        <w:tab/>
        <w:t xml:space="preserve">New proposals for amendments to the Model Regulations </w:t>
      </w:r>
      <w:r>
        <w:rPr>
          <w:b/>
        </w:rPr>
        <w:br/>
      </w:r>
      <w:r w:rsidRPr="00733777">
        <w:rPr>
          <w:b/>
        </w:rPr>
        <w:t>on the Transport of Dangerous Goods</w:t>
      </w:r>
    </w:p>
    <w:p w14:paraId="2789199C" w14:textId="7D98939A" w:rsidR="00AD5E8F" w:rsidRPr="003C5896" w:rsidRDefault="00AD5E8F" w:rsidP="00AD5E8F">
      <w:pPr>
        <w:pStyle w:val="HChG"/>
      </w:pPr>
      <w:r w:rsidRPr="003C5896">
        <w:tab/>
      </w:r>
      <w:r w:rsidRPr="003C5896">
        <w:tab/>
      </w:r>
      <w:r>
        <w:t>Editorial corrections</w:t>
      </w:r>
      <w:r w:rsidR="00EF760B" w:rsidRPr="00EF760B">
        <w:rPr>
          <w:lang w:val="en-GB"/>
        </w:rPr>
        <w:t xml:space="preserve"> and amendments</w:t>
      </w:r>
      <w:r>
        <w:t xml:space="preserve"> to the Model Regulations</w:t>
      </w:r>
    </w:p>
    <w:p w14:paraId="1DB1CADB" w14:textId="021CBDC5" w:rsidR="008B6FAC" w:rsidRPr="008B6FAC" w:rsidRDefault="00AD5E8F" w:rsidP="008B6FAC">
      <w:pPr>
        <w:pStyle w:val="H1G"/>
      </w:pPr>
      <w:r w:rsidRPr="003C5896">
        <w:tab/>
      </w:r>
      <w:r w:rsidRPr="003C5896">
        <w:tab/>
        <w:t xml:space="preserve">Transmitted by the expert from </w:t>
      </w:r>
      <w:r>
        <w:t>Germany</w:t>
      </w:r>
    </w:p>
    <w:p w14:paraId="650598F9" w14:textId="2286FF91" w:rsidR="008B6FAC" w:rsidRPr="008B6FAC" w:rsidRDefault="00766749" w:rsidP="00766749">
      <w:pPr>
        <w:pStyle w:val="H1G"/>
      </w:pPr>
      <w:r>
        <w:tab/>
      </w:r>
      <w:r>
        <w:tab/>
      </w:r>
      <w:r w:rsidR="008B6FAC">
        <w:t>Proposals for inclusion in the editorial corrections</w:t>
      </w:r>
    </w:p>
    <w:p w14:paraId="5EDAB874" w14:textId="2FCDB248" w:rsidR="00AD5E8F" w:rsidRDefault="00AD5E8F" w:rsidP="006558EA">
      <w:pPr>
        <w:pStyle w:val="SingleTxtG"/>
        <w:numPr>
          <w:ilvl w:val="0"/>
          <w:numId w:val="50"/>
        </w:numPr>
        <w:ind w:left="1134" w:firstLine="0"/>
        <w:rPr>
          <w:lang w:val="en-GB"/>
        </w:rPr>
      </w:pPr>
      <w:r w:rsidRPr="00AD5E8F">
        <w:rPr>
          <w:lang w:val="en-GB"/>
        </w:rPr>
        <w:t>After submitting document 2018/73, the expert from Germany identified</w:t>
      </w:r>
      <w:r>
        <w:rPr>
          <w:lang w:val="en-GB"/>
        </w:rPr>
        <w:t xml:space="preserve"> further editorial corrections to the 20</w:t>
      </w:r>
      <w:r w:rsidRPr="00AD5E8F">
        <w:rPr>
          <w:vertAlign w:val="superscript"/>
          <w:lang w:val="en-GB"/>
        </w:rPr>
        <w:t>th</w:t>
      </w:r>
      <w:r>
        <w:rPr>
          <w:lang w:val="en-GB"/>
        </w:rPr>
        <w:t xml:space="preserve"> revised edition of the UN Model Regulations.</w:t>
      </w:r>
      <w:r w:rsidR="006558EA">
        <w:rPr>
          <w:lang w:val="en-GB"/>
        </w:rPr>
        <w:t xml:space="preserve"> The following corrections should be added to the editorial corrections as presented in document ST/SG/AC.10/C.3/2018/</w:t>
      </w:r>
      <w:r w:rsidR="00797556">
        <w:rPr>
          <w:lang w:val="en-GB"/>
        </w:rPr>
        <w:t>90</w:t>
      </w:r>
      <w:r w:rsidR="006558EA">
        <w:rPr>
          <w:lang w:val="en-GB"/>
        </w:rPr>
        <w:t>:</w:t>
      </w:r>
    </w:p>
    <w:p w14:paraId="6D94CB4B" w14:textId="77777777" w:rsidR="00AD5E8F" w:rsidRPr="00AD5E8F" w:rsidRDefault="00AD5E8F" w:rsidP="00766749">
      <w:pPr>
        <w:pStyle w:val="SingleTxtG"/>
        <w:ind w:firstLine="567"/>
        <w:rPr>
          <w:lang w:val="en-US"/>
        </w:rPr>
      </w:pPr>
      <w:r w:rsidRPr="00AD5E8F">
        <w:rPr>
          <w:lang w:val="en-US"/>
        </w:rPr>
        <w:t>2.2.1.2</w:t>
      </w:r>
    </w:p>
    <w:p w14:paraId="0047F21D" w14:textId="70951D33" w:rsidR="00AD5E8F" w:rsidRPr="00AD5E8F" w:rsidRDefault="00AD5E8F" w:rsidP="00766749">
      <w:pPr>
        <w:pStyle w:val="SingleTxtG"/>
        <w:ind w:left="1701"/>
        <w:rPr>
          <w:lang w:val="en-US"/>
        </w:rPr>
      </w:pPr>
      <w:r w:rsidRPr="00AD5E8F">
        <w:rPr>
          <w:lang w:val="en-US"/>
        </w:rPr>
        <w:t>At the en</w:t>
      </w:r>
      <w:r w:rsidR="00141F77">
        <w:rPr>
          <w:lang w:val="en-US"/>
        </w:rPr>
        <w:t xml:space="preserve">d of sub-paragraph (c), delete </w:t>
      </w:r>
      <w:r w:rsidRPr="00AD5E8F">
        <w:rPr>
          <w:lang w:val="en-US"/>
        </w:rPr>
        <w:t>or</w:t>
      </w:r>
    </w:p>
    <w:p w14:paraId="6320024C" w14:textId="0D3D0D6F" w:rsidR="00AD5E8F" w:rsidRDefault="00AD5E8F" w:rsidP="00766749">
      <w:pPr>
        <w:pStyle w:val="SingleTxtG"/>
        <w:ind w:left="1701"/>
        <w:rPr>
          <w:i/>
          <w:lang w:val="en-US"/>
        </w:rPr>
      </w:pPr>
      <w:r>
        <w:rPr>
          <w:i/>
          <w:lang w:val="en-US"/>
        </w:rPr>
        <w:t>(Paragraph continues after (c). Alternatively, the “or” could be shifted from the end of (c) to the end of (d).</w:t>
      </w:r>
    </w:p>
    <w:p w14:paraId="00773E96" w14:textId="77777777" w:rsidR="00AD5E8F" w:rsidRDefault="00AD5E8F" w:rsidP="00766749">
      <w:pPr>
        <w:pStyle w:val="SingleTxtG"/>
        <w:ind w:firstLine="567"/>
        <w:rPr>
          <w:lang w:val="en-US"/>
        </w:rPr>
      </w:pPr>
      <w:r>
        <w:rPr>
          <w:lang w:val="en-US"/>
        </w:rPr>
        <w:t xml:space="preserve">2.4.2.3.1.2 </w:t>
      </w:r>
      <w:r w:rsidRPr="00AD5E8F">
        <w:rPr>
          <w:lang w:val="en-US"/>
        </w:rPr>
        <w:t xml:space="preserve">(e) </w:t>
      </w:r>
    </w:p>
    <w:p w14:paraId="5E050D8D" w14:textId="38AF3ADC" w:rsidR="00AD5E8F" w:rsidRPr="00AD5E8F" w:rsidRDefault="00141F77" w:rsidP="00766749">
      <w:pPr>
        <w:pStyle w:val="SingleTxtG"/>
        <w:ind w:firstLine="567"/>
        <w:rPr>
          <w:lang w:val="en-US"/>
        </w:rPr>
      </w:pPr>
      <w:r>
        <w:rPr>
          <w:lang w:val="en-US"/>
        </w:rPr>
        <w:t>Replace “</w:t>
      </w:r>
      <w:r w:rsidR="00AD5E8F" w:rsidRPr="00AD5E8F">
        <w:rPr>
          <w:lang w:val="en-US"/>
        </w:rPr>
        <w:t xml:space="preserve">aromatic </w:t>
      </w:r>
      <w:proofErr w:type="spellStart"/>
      <w:r w:rsidR="00AD5E8F" w:rsidRPr="00AD5E8F">
        <w:rPr>
          <w:lang w:val="en-US"/>
        </w:rPr>
        <w:t>sulphohydrazides</w:t>
      </w:r>
      <w:proofErr w:type="spellEnd"/>
      <w:r w:rsidR="00AD5E8F" w:rsidRPr="00AD5E8F">
        <w:rPr>
          <w:lang w:val="en-US"/>
        </w:rPr>
        <w:t xml:space="preserve">” </w:t>
      </w:r>
      <w:proofErr w:type="gramStart"/>
      <w:r w:rsidR="00AD5E8F" w:rsidRPr="00AD5E8F">
        <w:rPr>
          <w:lang w:val="en-US"/>
        </w:rPr>
        <w:t>with  “</w:t>
      </w:r>
      <w:proofErr w:type="gramEnd"/>
      <w:r w:rsidR="00AD5E8F" w:rsidRPr="00AD5E8F">
        <w:rPr>
          <w:lang w:val="en-US"/>
        </w:rPr>
        <w:t xml:space="preserve">aromatic </w:t>
      </w:r>
      <w:proofErr w:type="spellStart"/>
      <w:r w:rsidR="00AD5E8F" w:rsidRPr="00AD5E8F">
        <w:rPr>
          <w:lang w:val="en-US"/>
        </w:rPr>
        <w:t>sulphonylhydrazides</w:t>
      </w:r>
      <w:proofErr w:type="spellEnd"/>
      <w:r w:rsidR="00AD5E8F" w:rsidRPr="00AD5E8F">
        <w:rPr>
          <w:lang w:val="en-US"/>
        </w:rPr>
        <w:t>”.</w:t>
      </w:r>
    </w:p>
    <w:p w14:paraId="02E5D0B0" w14:textId="77777777" w:rsidR="00AD5E8F" w:rsidRPr="00AD5E8F" w:rsidRDefault="00AD5E8F" w:rsidP="00766749">
      <w:pPr>
        <w:pStyle w:val="SingleTxtG"/>
        <w:ind w:firstLine="567"/>
        <w:rPr>
          <w:lang w:val="en-US"/>
        </w:rPr>
      </w:pPr>
      <w:r w:rsidRPr="00AD5E8F">
        <w:rPr>
          <w:i/>
          <w:lang w:val="en-US"/>
        </w:rPr>
        <w:t>(Technical update of term).</w:t>
      </w:r>
      <w:r w:rsidRPr="00AD5E8F">
        <w:rPr>
          <w:lang w:val="en-US"/>
        </w:rPr>
        <w:t xml:space="preserve"> </w:t>
      </w:r>
    </w:p>
    <w:p w14:paraId="582F8137" w14:textId="77777777" w:rsidR="00AD5E8F" w:rsidRDefault="00AD5E8F" w:rsidP="00766749">
      <w:pPr>
        <w:pStyle w:val="SingleTxtG"/>
        <w:ind w:firstLine="567"/>
        <w:rPr>
          <w:lang w:val="en-US"/>
        </w:rPr>
      </w:pPr>
      <w:r w:rsidRPr="00AD5E8F">
        <w:rPr>
          <w:lang w:val="en-US"/>
        </w:rPr>
        <w:t xml:space="preserve">2.8.4.3.3 </w:t>
      </w:r>
    </w:p>
    <w:p w14:paraId="6E66045F" w14:textId="317CF4D2" w:rsidR="00AD5E8F" w:rsidRPr="00AD5E8F" w:rsidRDefault="00AD5E8F" w:rsidP="00766749">
      <w:pPr>
        <w:pStyle w:val="SingleTxtG"/>
        <w:ind w:firstLine="567"/>
        <w:rPr>
          <w:lang w:val="en-US"/>
        </w:rPr>
      </w:pPr>
      <w:r w:rsidRPr="00AD5E8F">
        <w:rPr>
          <w:lang w:val="en-US"/>
        </w:rPr>
        <w:t xml:space="preserve">At the end, insert the following sentence: </w:t>
      </w:r>
    </w:p>
    <w:p w14:paraId="5AC29703" w14:textId="645507B6" w:rsidR="00AD5E8F" w:rsidRPr="00AD5E8F" w:rsidRDefault="00AD5E8F" w:rsidP="00766749">
      <w:pPr>
        <w:pStyle w:val="SingleTxtG"/>
        <w:ind w:left="1701"/>
        <w:rPr>
          <w:lang w:val="en-US"/>
        </w:rPr>
      </w:pPr>
      <w:r w:rsidRPr="00AD5E8F">
        <w:rPr>
          <w:lang w:val="en-US"/>
        </w:rPr>
        <w:t>“For this calculation method, generic concentration limits apply where 1% is used in the first step for the assessment of the packing group I su</w:t>
      </w:r>
      <w:r>
        <w:rPr>
          <w:lang w:val="en-US"/>
        </w:rPr>
        <w:t xml:space="preserve">bstances, and where 5% is used </w:t>
      </w:r>
      <w:r w:rsidRPr="00AD5E8F">
        <w:rPr>
          <w:lang w:val="en-US"/>
        </w:rPr>
        <w:t>for the other steps respectively.”</w:t>
      </w:r>
    </w:p>
    <w:p w14:paraId="76283A82" w14:textId="77777777" w:rsidR="00AD5E8F" w:rsidRPr="00AD5E8F" w:rsidRDefault="00AD5E8F" w:rsidP="00766749">
      <w:pPr>
        <w:pStyle w:val="SingleTxtG"/>
        <w:ind w:firstLine="567"/>
        <w:rPr>
          <w:lang w:val="en-US"/>
        </w:rPr>
      </w:pPr>
      <w:r w:rsidRPr="00AD5E8F">
        <w:rPr>
          <w:lang w:val="en-US"/>
        </w:rPr>
        <w:t>2.8.4.3.4 Delete the last sentence.</w:t>
      </w:r>
    </w:p>
    <w:p w14:paraId="00598710" w14:textId="6D287BDE" w:rsidR="00AD5E8F" w:rsidRDefault="00AD5E8F" w:rsidP="00766749">
      <w:pPr>
        <w:pStyle w:val="SingleTxtG"/>
        <w:ind w:left="1701"/>
        <w:rPr>
          <w:i/>
          <w:lang w:val="en-US"/>
        </w:rPr>
      </w:pPr>
      <w:r w:rsidRPr="00AD5E8F">
        <w:rPr>
          <w:i/>
          <w:lang w:val="en-US"/>
        </w:rPr>
        <w:t>(The reference of the last sentence in 2.8.4.3.4 to the previous sentence is incorrect and m</w:t>
      </w:r>
      <w:r w:rsidR="00F82B54">
        <w:rPr>
          <w:i/>
          <w:lang w:val="en-US"/>
        </w:rPr>
        <w:t>a</w:t>
      </w:r>
      <w:r w:rsidRPr="00AD5E8F">
        <w:rPr>
          <w:i/>
          <w:lang w:val="en-US"/>
        </w:rPr>
        <w:t xml:space="preserve">y lead to misinterpretation. The calculation method in figure 2.8.4.3 is not an example of the SCL, but it illustrates the use of GCL. Thus, the content of the sentence should be moved to 2.8.4.3.3.) </w:t>
      </w:r>
    </w:p>
    <w:p w14:paraId="059F31A1" w14:textId="77777777" w:rsidR="00AD5E8F" w:rsidRPr="00AD5E8F" w:rsidRDefault="00AD5E8F" w:rsidP="00766749">
      <w:pPr>
        <w:pStyle w:val="SingleTxtG"/>
        <w:ind w:left="1701"/>
        <w:rPr>
          <w:lang w:val="en-US"/>
        </w:rPr>
      </w:pPr>
      <w:r w:rsidRPr="00AD5E8F">
        <w:rPr>
          <w:lang w:val="en-US"/>
        </w:rPr>
        <w:t>2.8.2.4.3.5: In Example 2, amend the calculation for packing group III to read as follows:</w:t>
      </w:r>
    </w:p>
    <w:p w14:paraId="473FA589" w14:textId="77777777" w:rsidR="00AD5E8F" w:rsidRPr="00AD5E8F" w:rsidRDefault="00AD5E8F" w:rsidP="00141F77">
      <w:pPr>
        <w:pStyle w:val="SingleTxtG"/>
        <w:jc w:val="center"/>
        <w:rPr>
          <w:lang w:val="en-US"/>
        </w:rPr>
      </w:pPr>
      <w:r w:rsidRPr="00AD5E8F">
        <w:rPr>
          <w:lang w:val="en-US"/>
        </w:rPr>
        <w:t>„</w:t>
      </w:r>
      <w:r w:rsidRPr="00AD5E8F">
        <w:rPr>
          <w:lang w:val="de-DE"/>
        </w:rPr>
        <w:object w:dxaOrig="5160" w:dyaOrig="620" w14:anchorId="02A0C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pt;height:28pt" o:ole="">
            <v:imagedata r:id="rId8" o:title=""/>
          </v:shape>
          <o:OLEObject Type="Embed" ProgID="Equation.3" ShapeID="_x0000_i1025" DrawAspect="Content" ObjectID="_1602404136" r:id="rId9"/>
        </w:object>
      </w:r>
      <w:r w:rsidRPr="00AD5E8F">
        <w:rPr>
          <w:lang w:val="en-US"/>
        </w:rPr>
        <w:t>”</w:t>
      </w:r>
    </w:p>
    <w:p w14:paraId="6FBE5BE2" w14:textId="37EC9565" w:rsidR="00AD5E8F" w:rsidRPr="00AD5E8F" w:rsidRDefault="00AD5E8F" w:rsidP="00141F77">
      <w:pPr>
        <w:pStyle w:val="SingleTxtG"/>
        <w:ind w:firstLine="567"/>
        <w:rPr>
          <w:i/>
          <w:lang w:val="en-US"/>
        </w:rPr>
      </w:pPr>
      <w:r>
        <w:rPr>
          <w:i/>
          <w:lang w:val="en-US"/>
        </w:rPr>
        <w:t>(</w:t>
      </w:r>
      <w:r w:rsidRPr="00AD5E8F">
        <w:rPr>
          <w:i/>
          <w:lang w:val="en-US"/>
        </w:rPr>
        <w:t>The component substance C is mentioned incorrectly as “B”)</w:t>
      </w:r>
    </w:p>
    <w:p w14:paraId="2C9CF107" w14:textId="77777777" w:rsidR="00AD5E8F" w:rsidRPr="00AD5E8F" w:rsidRDefault="00AD5E8F" w:rsidP="00141F77">
      <w:pPr>
        <w:pStyle w:val="SingleTxtG"/>
        <w:ind w:firstLine="567"/>
        <w:rPr>
          <w:lang w:val="en-US"/>
        </w:rPr>
      </w:pPr>
      <w:r w:rsidRPr="00AD5E8F">
        <w:rPr>
          <w:lang w:val="en-US"/>
        </w:rPr>
        <w:t xml:space="preserve">SP 188: </w:t>
      </w:r>
    </w:p>
    <w:p w14:paraId="1BD75A49" w14:textId="77777777" w:rsidR="00AD5E8F" w:rsidRPr="00AD5E8F" w:rsidRDefault="00AD5E8F" w:rsidP="00141F77">
      <w:pPr>
        <w:pStyle w:val="SingleTxtG"/>
        <w:ind w:firstLine="567"/>
        <w:rPr>
          <w:lang w:val="en-US"/>
        </w:rPr>
      </w:pPr>
      <w:r w:rsidRPr="00AD5E8F">
        <w:rPr>
          <w:lang w:val="en-US"/>
        </w:rPr>
        <w:lastRenderedPageBreak/>
        <w:t>In (g), after “Except when batteries” insert “or cells”.</w:t>
      </w:r>
    </w:p>
    <w:p w14:paraId="2FAF5399" w14:textId="77777777" w:rsidR="00AD5E8F" w:rsidRPr="00AD5E8F" w:rsidRDefault="00AD5E8F" w:rsidP="00141F77">
      <w:pPr>
        <w:pStyle w:val="SingleTxtG"/>
        <w:ind w:firstLine="567"/>
        <w:rPr>
          <w:lang w:val="en-US"/>
        </w:rPr>
      </w:pPr>
      <w:r w:rsidRPr="00AD5E8F">
        <w:rPr>
          <w:lang w:val="en-US"/>
        </w:rPr>
        <w:t>In (h), after “Except when batteries” insert “or cells”.</w:t>
      </w:r>
    </w:p>
    <w:p w14:paraId="7426ED72" w14:textId="0A2C1332" w:rsidR="00AD5E8F" w:rsidRPr="00AD5E8F" w:rsidRDefault="00AD5E8F" w:rsidP="00141F77">
      <w:pPr>
        <w:pStyle w:val="SingleTxtG"/>
        <w:ind w:firstLine="567"/>
        <w:rPr>
          <w:i/>
          <w:lang w:val="en-US"/>
        </w:rPr>
      </w:pPr>
      <w:r w:rsidRPr="00AD5E8F">
        <w:rPr>
          <w:i/>
          <w:lang w:val="en-US"/>
        </w:rPr>
        <w:t>(Consistency with other sub-paragraphs of SP 188</w:t>
      </w:r>
      <w:r>
        <w:rPr>
          <w:i/>
          <w:lang w:val="en-US"/>
        </w:rPr>
        <w:t>.</w:t>
      </w:r>
      <w:r w:rsidRPr="00AD5E8F">
        <w:rPr>
          <w:i/>
          <w:lang w:val="en-US"/>
        </w:rPr>
        <w:t>)</w:t>
      </w:r>
    </w:p>
    <w:p w14:paraId="2B6C1B2B" w14:textId="77777777" w:rsidR="00AD5E8F" w:rsidRPr="00AD5E8F" w:rsidRDefault="00AD5E8F" w:rsidP="00141F77">
      <w:pPr>
        <w:pStyle w:val="SingleTxtG"/>
        <w:ind w:firstLine="567"/>
        <w:rPr>
          <w:lang w:val="en-US"/>
        </w:rPr>
      </w:pPr>
      <w:r w:rsidRPr="00AD5E8F">
        <w:rPr>
          <w:lang w:val="en-US"/>
        </w:rPr>
        <w:t>SP 392, table with standards and regulations:</w:t>
      </w:r>
    </w:p>
    <w:p w14:paraId="6D5B10F1" w14:textId="7C523CAB" w:rsidR="00AD5E8F" w:rsidRPr="00AD5E8F" w:rsidRDefault="00AD5E8F" w:rsidP="00141F77">
      <w:pPr>
        <w:pStyle w:val="SingleTxtG"/>
        <w:ind w:left="1701"/>
        <w:rPr>
          <w:lang w:val="en-US"/>
        </w:rPr>
      </w:pPr>
      <w:r w:rsidRPr="00AD5E8F">
        <w:rPr>
          <w:lang w:val="en-US"/>
        </w:rPr>
        <w:t>ECE Regulation No. 134</w:t>
      </w:r>
      <w:r w:rsidR="00A71A32">
        <w:rPr>
          <w:lang w:val="en-US"/>
        </w:rPr>
        <w:t>/UN Regulation No. 134</w:t>
      </w:r>
      <w:r w:rsidRPr="00AD5E8F">
        <w:rPr>
          <w:lang w:val="en-US"/>
        </w:rPr>
        <w:t>: Amend the title to read as follows: “Uniform provisions concerning the approval of motor vehicles and their components with regards to the safety-related performance of hydrogen-</w:t>
      </w:r>
      <w:proofErr w:type="spellStart"/>
      <w:r w:rsidRPr="00AD5E8F">
        <w:rPr>
          <w:lang w:val="en-US"/>
        </w:rPr>
        <w:t>fuelled</w:t>
      </w:r>
      <w:proofErr w:type="spellEnd"/>
      <w:r w:rsidRPr="00AD5E8F">
        <w:rPr>
          <w:lang w:val="en-US"/>
        </w:rPr>
        <w:t xml:space="preserve"> vehicles (HFCV)”.</w:t>
      </w:r>
    </w:p>
    <w:p w14:paraId="59A5E2F6" w14:textId="2224FCF6" w:rsidR="00AD5E8F" w:rsidRPr="00343C2D" w:rsidRDefault="00A71A32" w:rsidP="00141F77">
      <w:pPr>
        <w:pStyle w:val="SingleTxtG"/>
        <w:ind w:firstLine="567"/>
        <w:rPr>
          <w:i/>
          <w:lang w:val="en-US"/>
        </w:rPr>
      </w:pPr>
      <w:r>
        <w:rPr>
          <w:i/>
          <w:lang w:val="en-US"/>
        </w:rPr>
        <w:t>(Align with official title.)</w:t>
      </w:r>
    </w:p>
    <w:p w14:paraId="0199C85D" w14:textId="67E97734" w:rsidR="00120DF7" w:rsidRDefault="00120DF7" w:rsidP="00141F77">
      <w:pPr>
        <w:pStyle w:val="SingleTxtG"/>
        <w:ind w:firstLine="567"/>
        <w:rPr>
          <w:lang w:val="en-US"/>
        </w:rPr>
      </w:pPr>
      <w:r>
        <w:rPr>
          <w:lang w:val="en-US"/>
        </w:rPr>
        <w:t>5.2.2.1.12.1</w:t>
      </w:r>
    </w:p>
    <w:p w14:paraId="03A83AEE" w14:textId="4238FBE4" w:rsidR="00120DF7" w:rsidRDefault="00120DF7" w:rsidP="00141F77">
      <w:pPr>
        <w:pStyle w:val="SingleTxtG"/>
        <w:ind w:firstLine="567"/>
        <w:rPr>
          <w:lang w:val="en-US"/>
        </w:rPr>
      </w:pPr>
      <w:r>
        <w:rPr>
          <w:lang w:val="en-US"/>
        </w:rPr>
        <w:t>Delete the third sentence.</w:t>
      </w:r>
    </w:p>
    <w:p w14:paraId="028EFAD2" w14:textId="35EBD1B3" w:rsidR="00120DF7" w:rsidRPr="00120DF7" w:rsidRDefault="00120DF7" w:rsidP="00141F77">
      <w:pPr>
        <w:pStyle w:val="SingleTxtG"/>
        <w:ind w:firstLine="567"/>
        <w:rPr>
          <w:i/>
          <w:lang w:val="en-US"/>
        </w:rPr>
      </w:pPr>
      <w:r>
        <w:rPr>
          <w:i/>
          <w:lang w:val="en-US"/>
        </w:rPr>
        <w:t>(Duplication, labelling of overpacks is already regulated in the second sentence.)</w:t>
      </w:r>
    </w:p>
    <w:p w14:paraId="0E71C3E6" w14:textId="1D24BB76" w:rsidR="008B6FAC" w:rsidRPr="008B6FAC" w:rsidRDefault="00141F77" w:rsidP="00141F77">
      <w:pPr>
        <w:pStyle w:val="H1G"/>
        <w:rPr>
          <w:lang w:val="en-US"/>
        </w:rPr>
      </w:pPr>
      <w:r>
        <w:rPr>
          <w:lang w:val="en-US"/>
        </w:rPr>
        <w:tab/>
      </w:r>
      <w:r>
        <w:rPr>
          <w:lang w:val="en-US"/>
        </w:rPr>
        <w:tab/>
      </w:r>
      <w:r w:rsidR="008B6FAC">
        <w:rPr>
          <w:lang w:val="en-US"/>
        </w:rPr>
        <w:t>Proposal for inclusion in</w:t>
      </w:r>
      <w:r w:rsidR="00323523">
        <w:rPr>
          <w:lang w:val="en-US"/>
        </w:rPr>
        <w:t xml:space="preserve"> the</w:t>
      </w:r>
      <w:r w:rsidR="008B6FAC">
        <w:rPr>
          <w:lang w:val="en-US"/>
        </w:rPr>
        <w:t xml:space="preserve"> amendments</w:t>
      </w:r>
    </w:p>
    <w:p w14:paraId="498F8A47" w14:textId="718F30E2" w:rsidR="006558EA" w:rsidRDefault="006558EA" w:rsidP="006558EA">
      <w:pPr>
        <w:pStyle w:val="SingleTxtG"/>
        <w:numPr>
          <w:ilvl w:val="0"/>
          <w:numId w:val="50"/>
        </w:numPr>
        <w:ind w:left="1134" w:firstLine="0"/>
        <w:rPr>
          <w:lang w:val="fr-FR"/>
        </w:rPr>
      </w:pPr>
      <w:r>
        <w:rPr>
          <w:lang w:val="en-US"/>
        </w:rPr>
        <w:t>Furthermore, it was noted that the 5.4.1.4.3 (d) in the English</w:t>
      </w:r>
      <w:r w:rsidR="006D15EF">
        <w:rPr>
          <w:lang w:val="en-US"/>
        </w:rPr>
        <w:t xml:space="preserve"> version is different from the </w:t>
      </w:r>
      <w:r>
        <w:rPr>
          <w:lang w:val="en-US"/>
        </w:rPr>
        <w:t xml:space="preserve">French </w:t>
      </w:r>
      <w:r w:rsidR="006D15EF">
        <w:rPr>
          <w:lang w:val="en-US"/>
        </w:rPr>
        <w:t>version</w:t>
      </w:r>
      <w:r>
        <w:rPr>
          <w:lang w:val="en-US"/>
        </w:rPr>
        <w:t xml:space="preserve">. The English text reads as follows: </w:t>
      </w:r>
      <w:r w:rsidR="00A81688">
        <w:rPr>
          <w:lang w:val="en-US"/>
        </w:rPr>
        <w:t xml:space="preserve">“If the proper shipping name of a substance which is transported or offered for transport in a liquid state at a temperature equal to or exceeding 100 °C, or in a solid state at a temperature equal to or exceeding 240 °C, does not convey the elevated temperature condition (for example, by using the </w:t>
      </w:r>
      <w:r w:rsidR="00254B91">
        <w:rPr>
          <w:lang w:val="en-US"/>
        </w:rPr>
        <w:t>term “MOLTEN” or “ELEVATED TEMPE</w:t>
      </w:r>
      <w:r w:rsidR="00A81688">
        <w:rPr>
          <w:lang w:val="en-US"/>
        </w:rPr>
        <w:t xml:space="preserve">RATURE” as part of the shipping name), the word “HOT” shall immediately </w:t>
      </w:r>
      <w:r w:rsidR="00A81688" w:rsidRPr="00A81688">
        <w:rPr>
          <w:u w:val="single"/>
          <w:lang w:val="en-US"/>
        </w:rPr>
        <w:t>precede</w:t>
      </w:r>
      <w:r w:rsidR="00A81688">
        <w:rPr>
          <w:lang w:val="en-US"/>
        </w:rPr>
        <w:t xml:space="preserve"> the proper shipping name.” </w:t>
      </w:r>
      <w:r w:rsidR="00A81688" w:rsidRPr="00A81688">
        <w:rPr>
          <w:lang w:val="fr-FR"/>
        </w:rPr>
        <w:t xml:space="preserve">The French </w:t>
      </w:r>
      <w:proofErr w:type="spellStart"/>
      <w:r w:rsidR="00A81688" w:rsidRPr="00A81688">
        <w:rPr>
          <w:lang w:val="fr-FR"/>
        </w:rPr>
        <w:t>text</w:t>
      </w:r>
      <w:proofErr w:type="spellEnd"/>
      <w:r w:rsidR="00A81688" w:rsidRPr="00A81688">
        <w:rPr>
          <w:lang w:val="fr-FR"/>
        </w:rPr>
        <w:t xml:space="preserve"> has the </w:t>
      </w:r>
      <w:proofErr w:type="spellStart"/>
      <w:r w:rsidR="00A81688" w:rsidRPr="00A81688">
        <w:rPr>
          <w:lang w:val="fr-FR"/>
        </w:rPr>
        <w:t>following</w:t>
      </w:r>
      <w:proofErr w:type="spellEnd"/>
      <w:r w:rsidR="00A81688" w:rsidRPr="00A81688">
        <w:rPr>
          <w:lang w:val="fr-FR"/>
        </w:rPr>
        <w:t xml:space="preserve"> </w:t>
      </w:r>
      <w:proofErr w:type="spellStart"/>
      <w:r w:rsidR="00A81688" w:rsidRPr="00A81688">
        <w:rPr>
          <w:lang w:val="fr-FR"/>
        </w:rPr>
        <w:t>wording</w:t>
      </w:r>
      <w:proofErr w:type="spellEnd"/>
      <w:r w:rsidR="00A81688" w:rsidRPr="00A81688">
        <w:rPr>
          <w:lang w:val="fr-FR"/>
        </w:rPr>
        <w:t>: “Si la désignation officielle de transport pour une matière transportée ou pr</w:t>
      </w:r>
      <w:r w:rsidR="00A81688">
        <w:rPr>
          <w:lang w:val="fr-FR"/>
        </w:rPr>
        <w:t>ésentée au transport à l’état liquide à une température égale ou supéri</w:t>
      </w:r>
      <w:r w:rsidR="008B6FAC">
        <w:rPr>
          <w:lang w:val="fr-FR"/>
        </w:rPr>
        <w:t>eure à 100 °C, ou à l’état solide à une température égale ou supérieure à 240 °C, n’indique pas qu’il s’agit d’une matière transportée à température élevée (par exemple, par la présence des termes «FONDU(E)» ou «TRANSPORTÉ À CHAUD » dans la désignat</w:t>
      </w:r>
      <w:r w:rsidR="00254B91">
        <w:rPr>
          <w:lang w:val="fr-FR"/>
        </w:rPr>
        <w:t xml:space="preserve">ion de transport), la mention «À HAUTE TEMPÉRATURE» doit </w:t>
      </w:r>
      <w:bookmarkStart w:id="0" w:name="_GoBack"/>
      <w:bookmarkEnd w:id="0"/>
      <w:r w:rsidR="008B6FAC">
        <w:rPr>
          <w:lang w:val="fr-FR"/>
        </w:rPr>
        <w:t xml:space="preserve">figurer juste </w:t>
      </w:r>
      <w:r w:rsidR="008B6FAC" w:rsidRPr="008B6FAC">
        <w:rPr>
          <w:u w:val="single"/>
          <w:lang w:val="fr-FR"/>
        </w:rPr>
        <w:t>après</w:t>
      </w:r>
      <w:r w:rsidR="008B6FAC">
        <w:rPr>
          <w:lang w:val="fr-FR"/>
        </w:rPr>
        <w:t xml:space="preserve"> la désignation officielle de transport.</w:t>
      </w:r>
    </w:p>
    <w:p w14:paraId="4CFB97DB" w14:textId="4DD3C901" w:rsidR="008B6FAC" w:rsidRPr="008B6FAC" w:rsidRDefault="008B6FAC" w:rsidP="00797556">
      <w:pPr>
        <w:pStyle w:val="SingleTxtG"/>
        <w:numPr>
          <w:ilvl w:val="0"/>
          <w:numId w:val="50"/>
        </w:numPr>
        <w:ind w:left="1134" w:firstLine="0"/>
        <w:rPr>
          <w:lang w:val="en-GB"/>
        </w:rPr>
      </w:pPr>
      <w:r w:rsidRPr="008B6FAC">
        <w:rPr>
          <w:lang w:val="en-GB"/>
        </w:rPr>
        <w:t>Consequentially, the English version requires the insertion of the word “HOT</w:t>
      </w:r>
      <w:r>
        <w:rPr>
          <w:lang w:val="en-GB"/>
        </w:rPr>
        <w:t>” in front of the proper shipping name while the French version requires that the term is inserted after the proper shipping name. It is proposed to align the French and the English text. As an</w:t>
      </w:r>
      <w:r w:rsidR="00797556">
        <w:rPr>
          <w:lang w:val="en-GB"/>
        </w:rPr>
        <w:t xml:space="preserve"> adj</w:t>
      </w:r>
      <w:r>
        <w:rPr>
          <w:lang w:val="en-GB"/>
        </w:rPr>
        <w:t>ective</w:t>
      </w:r>
      <w:r w:rsidR="00797556">
        <w:rPr>
          <w:lang w:val="en-GB"/>
        </w:rPr>
        <w:t xml:space="preserve">, the term would have to be declined in some languages in front of the proper shipping name. </w:t>
      </w:r>
      <w:proofErr w:type="gramStart"/>
      <w:r w:rsidR="00797556">
        <w:rPr>
          <w:lang w:val="en-GB"/>
        </w:rPr>
        <w:t>Therefore</w:t>
      </w:r>
      <w:proofErr w:type="gramEnd"/>
      <w:r w:rsidR="00797556">
        <w:rPr>
          <w:lang w:val="en-GB"/>
        </w:rPr>
        <w:t xml:space="preserve"> it is proposed to harmonise the English text with t</w:t>
      </w:r>
      <w:r w:rsidR="00EF760B">
        <w:rPr>
          <w:lang w:val="en-GB"/>
        </w:rPr>
        <w:t>he French text. Because of the practical impact</w:t>
      </w:r>
      <w:r w:rsidR="00797556">
        <w:rPr>
          <w:lang w:val="en-GB"/>
        </w:rPr>
        <w:t xml:space="preserve"> for users, this change should </w:t>
      </w:r>
      <w:r w:rsidR="00797556" w:rsidRPr="00797556">
        <w:rPr>
          <w:lang w:val="en-GB"/>
        </w:rPr>
        <w:t xml:space="preserve">be added to the </w:t>
      </w:r>
      <w:r w:rsidR="006D15EF">
        <w:rPr>
          <w:lang w:val="en-GB"/>
        </w:rPr>
        <w:t>amendments</w:t>
      </w:r>
      <w:r w:rsidR="00797556" w:rsidRPr="00797556">
        <w:rPr>
          <w:lang w:val="en-GB"/>
        </w:rPr>
        <w:t xml:space="preserve"> as presented in document ST/SG/AC.10/C.3/2018/</w:t>
      </w:r>
      <w:r w:rsidR="00797556">
        <w:rPr>
          <w:lang w:val="en-GB"/>
        </w:rPr>
        <w:t>65.</w:t>
      </w:r>
    </w:p>
    <w:p w14:paraId="206EF46A" w14:textId="25386979" w:rsidR="006558EA" w:rsidRDefault="006558EA" w:rsidP="00797556">
      <w:pPr>
        <w:pStyle w:val="SingleTxtG"/>
        <w:numPr>
          <w:ilvl w:val="0"/>
          <w:numId w:val="50"/>
        </w:numPr>
        <w:ind w:left="1134" w:firstLine="0"/>
        <w:rPr>
          <w:lang w:val="en-US"/>
        </w:rPr>
      </w:pPr>
      <w:r>
        <w:rPr>
          <w:lang w:val="en-US"/>
        </w:rPr>
        <w:t xml:space="preserve">Amend the last part of </w:t>
      </w:r>
      <w:r w:rsidR="00797556" w:rsidRPr="00797556">
        <w:rPr>
          <w:lang w:val="en-US"/>
        </w:rPr>
        <w:t>5.4.1.4.3 (d)</w:t>
      </w:r>
      <w:r w:rsidR="00797556">
        <w:rPr>
          <w:lang w:val="en-US"/>
        </w:rPr>
        <w:t xml:space="preserve"> to read</w:t>
      </w:r>
      <w:r w:rsidR="00797556" w:rsidRPr="00797556">
        <w:rPr>
          <w:lang w:val="en-US"/>
        </w:rPr>
        <w:t xml:space="preserve"> </w:t>
      </w:r>
      <w:r w:rsidR="00797556">
        <w:rPr>
          <w:lang w:val="en-US"/>
        </w:rPr>
        <w:t>as follows:</w:t>
      </w:r>
      <w:r w:rsidR="00797556" w:rsidRPr="00797556">
        <w:t xml:space="preserve"> </w:t>
      </w:r>
      <w:r w:rsidR="00797556" w:rsidRPr="00797556">
        <w:rPr>
          <w:lang w:val="en-GB"/>
        </w:rPr>
        <w:t>“</w:t>
      </w:r>
      <w:r w:rsidR="00797556" w:rsidRPr="00797556">
        <w:rPr>
          <w:lang w:val="en-US"/>
        </w:rPr>
        <w:t xml:space="preserve">the word “HOT” shall immediately </w:t>
      </w:r>
      <w:r w:rsidR="00797556" w:rsidRPr="00797556">
        <w:rPr>
          <w:u w:val="single"/>
          <w:lang w:val="en-US"/>
        </w:rPr>
        <w:t>follow</w:t>
      </w:r>
      <w:r w:rsidR="00797556" w:rsidRPr="00797556">
        <w:rPr>
          <w:lang w:val="en-US"/>
        </w:rPr>
        <w:t xml:space="preserve"> the proper shipping name.”</w:t>
      </w:r>
    </w:p>
    <w:p w14:paraId="00330500" w14:textId="682ABEAA" w:rsidR="00141F77" w:rsidRPr="00141F77" w:rsidRDefault="00141F77" w:rsidP="00141F77">
      <w:pPr>
        <w:pStyle w:val="SingleTxtG"/>
        <w:spacing w:before="240" w:after="0"/>
        <w:jc w:val="center"/>
        <w:rPr>
          <w:u w:val="single"/>
          <w:lang w:val="en-US"/>
        </w:rPr>
      </w:pPr>
      <w:r>
        <w:rPr>
          <w:u w:val="single"/>
          <w:lang w:val="en-US"/>
        </w:rPr>
        <w:tab/>
      </w:r>
      <w:r>
        <w:rPr>
          <w:u w:val="single"/>
          <w:lang w:val="en-US"/>
        </w:rPr>
        <w:tab/>
      </w:r>
      <w:r>
        <w:rPr>
          <w:u w:val="single"/>
          <w:lang w:val="en-US"/>
        </w:rPr>
        <w:tab/>
      </w:r>
    </w:p>
    <w:p w14:paraId="6158739C" w14:textId="77777777" w:rsidR="00141F77" w:rsidRPr="00AD5E8F" w:rsidRDefault="00141F77" w:rsidP="00141F77">
      <w:pPr>
        <w:pStyle w:val="SingleTxtG"/>
        <w:rPr>
          <w:lang w:val="en-US"/>
        </w:rPr>
      </w:pPr>
    </w:p>
    <w:sectPr w:rsidR="00141F77" w:rsidRPr="00AD5E8F" w:rsidSect="00EA597A">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8E6F0" w14:textId="77777777" w:rsidR="00A71A32" w:rsidRDefault="00A71A32"/>
  </w:endnote>
  <w:endnote w:type="continuationSeparator" w:id="0">
    <w:p w14:paraId="47B1B573" w14:textId="77777777" w:rsidR="00A71A32" w:rsidRDefault="00A71A32"/>
  </w:endnote>
  <w:endnote w:type="continuationNotice" w:id="1">
    <w:p w14:paraId="760A498A" w14:textId="77777777" w:rsidR="00A71A32" w:rsidRDefault="00A71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6CC4" w14:textId="0A988B60" w:rsidR="00A71A32" w:rsidRPr="000B033E" w:rsidRDefault="00A71A32">
    <w:pPr>
      <w:pStyle w:val="Footer"/>
      <w:rPr>
        <w:b/>
        <w:bCs/>
        <w:sz w:val="18"/>
        <w:szCs w:val="18"/>
        <w:lang w:val="fr-CH"/>
      </w:rPr>
    </w:pPr>
    <w:r w:rsidRPr="000B033E">
      <w:rPr>
        <w:b/>
        <w:bCs/>
        <w:sz w:val="18"/>
        <w:szCs w:val="18"/>
        <w:lang w:val="fr-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02D89" w14:textId="77777777" w:rsidR="00141F77" w:rsidRDefault="00141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6E38E" w14:textId="77777777" w:rsidR="00141F77" w:rsidRDefault="00141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E209B" w14:textId="77777777" w:rsidR="00A71A32" w:rsidRPr="000B175B" w:rsidRDefault="00A71A32" w:rsidP="000B175B">
      <w:pPr>
        <w:tabs>
          <w:tab w:val="right" w:pos="2155"/>
        </w:tabs>
        <w:spacing w:after="80"/>
        <w:ind w:left="680"/>
        <w:rPr>
          <w:u w:val="single"/>
        </w:rPr>
      </w:pPr>
      <w:r>
        <w:rPr>
          <w:u w:val="single"/>
        </w:rPr>
        <w:tab/>
      </w:r>
    </w:p>
  </w:footnote>
  <w:footnote w:type="continuationSeparator" w:id="0">
    <w:p w14:paraId="6B508029" w14:textId="77777777" w:rsidR="00A71A32" w:rsidRPr="00FC68B7" w:rsidRDefault="00A71A32" w:rsidP="00FC68B7">
      <w:pPr>
        <w:tabs>
          <w:tab w:val="left" w:pos="2155"/>
        </w:tabs>
        <w:spacing w:after="80"/>
        <w:ind w:left="680"/>
        <w:rPr>
          <w:u w:val="single"/>
        </w:rPr>
      </w:pPr>
      <w:r>
        <w:rPr>
          <w:u w:val="single"/>
        </w:rPr>
        <w:tab/>
      </w:r>
    </w:p>
  </w:footnote>
  <w:footnote w:type="continuationNotice" w:id="1">
    <w:p w14:paraId="77715642" w14:textId="77777777" w:rsidR="00A71A32" w:rsidRDefault="00A71A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1EE6" w14:textId="65C0EA8C" w:rsidR="00A71A32" w:rsidRDefault="00A71A32" w:rsidP="00EA597A">
    <w:pPr>
      <w:pStyle w:val="Header"/>
      <w:spacing w:after="240"/>
    </w:pPr>
    <w:r w:rsidRPr="00162E11">
      <w:rPr>
        <w:lang w:val="nl-NL"/>
      </w:rPr>
      <w:t>UN/SCETDG/5</w:t>
    </w:r>
    <w:r>
      <w:rPr>
        <w:lang w:val="nl-NL"/>
      </w:rPr>
      <w:t>4</w:t>
    </w:r>
    <w:r w:rsidRPr="00162E11">
      <w:rPr>
        <w:lang w:val="nl-NL"/>
      </w:rPr>
      <w:t>/INF.</w:t>
    </w:r>
    <w:r w:rsidR="00141F77">
      <w:rPr>
        <w:lang w:val="nl-NL"/>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0CE3" w14:textId="709A8897" w:rsidR="00A71A32" w:rsidRPr="00EA597A" w:rsidRDefault="00A71A32" w:rsidP="00EA597A">
    <w:pPr>
      <w:pStyle w:val="Header"/>
      <w:spacing w:after="240"/>
      <w:jc w:val="right"/>
    </w:pPr>
    <w:r w:rsidRPr="00162E11">
      <w:rPr>
        <w:lang w:val="nl-NL"/>
      </w:rPr>
      <w:t>UN/SCETDG/5</w:t>
    </w:r>
    <w:r>
      <w:rPr>
        <w:lang w:val="nl-NL"/>
      </w:rPr>
      <w:t>4</w:t>
    </w:r>
    <w:r w:rsidRPr="00162E11">
      <w:rPr>
        <w:lang w:val="nl-NL"/>
      </w:rPr>
      <w:t>/INF.</w:t>
    </w:r>
    <w:r>
      <w:rPr>
        <w:lang w:val="nl-NL"/>
      </w:rPr>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2192" w14:textId="77777777" w:rsidR="00A71A32" w:rsidRDefault="00A71A32"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6F063FA"/>
    <w:multiLevelType w:val="hybridMultilevel"/>
    <w:tmpl w:val="29B8CDBC"/>
    <w:lvl w:ilvl="0" w:tplc="6554D2D8">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246F6501"/>
    <w:multiLevelType w:val="hybridMultilevel"/>
    <w:tmpl w:val="561CE07C"/>
    <w:lvl w:ilvl="0" w:tplc="4676A7DC">
      <w:start w:val="1"/>
      <w:numFmt w:val="decimal"/>
      <w:lvlText w:val="%1."/>
      <w:lvlJc w:val="lef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C1FC7"/>
    <w:multiLevelType w:val="hybridMultilevel"/>
    <w:tmpl w:val="BD1C5598"/>
    <w:lvl w:ilvl="0" w:tplc="559A5BBC">
      <w:start w:val="1"/>
      <w:numFmt w:val="bullet"/>
      <w:lvlText w:val="-"/>
      <w:lvlJc w:val="left"/>
      <w:pPr>
        <w:ind w:left="2421" w:hanging="360"/>
      </w:pPr>
      <w:rPr>
        <w:rFonts w:ascii="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2" w15:restartNumberingAfterBreak="0">
    <w:nsid w:val="32C4452E"/>
    <w:multiLevelType w:val="hybridMultilevel"/>
    <w:tmpl w:val="893A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6" w15:restartNumberingAfterBreak="0">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0734DCA"/>
    <w:multiLevelType w:val="hybridMultilevel"/>
    <w:tmpl w:val="2C9E26D0"/>
    <w:lvl w:ilvl="0" w:tplc="A0A42B8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1"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F50C63"/>
    <w:multiLevelType w:val="hybridMultilevel"/>
    <w:tmpl w:val="8098E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4" w15:restartNumberingAfterBreak="0">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35" w15:restartNumberingAfterBreak="0">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6"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54811C7D"/>
    <w:multiLevelType w:val="hybridMultilevel"/>
    <w:tmpl w:val="3A2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145DAD"/>
    <w:multiLevelType w:val="hybridMultilevel"/>
    <w:tmpl w:val="E2E6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4"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8"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0"/>
  </w:num>
  <w:num w:numId="12">
    <w:abstractNumId w:val="16"/>
  </w:num>
  <w:num w:numId="13">
    <w:abstractNumId w:val="12"/>
  </w:num>
  <w:num w:numId="14">
    <w:abstractNumId w:val="42"/>
  </w:num>
  <w:num w:numId="15">
    <w:abstractNumId w:val="45"/>
  </w:num>
  <w:num w:numId="16">
    <w:abstractNumId w:val="28"/>
  </w:num>
  <w:num w:numId="17">
    <w:abstractNumId w:val="36"/>
  </w:num>
  <w:num w:numId="18">
    <w:abstractNumId w:val="44"/>
  </w:num>
  <w:num w:numId="19">
    <w:abstractNumId w:val="25"/>
  </w:num>
  <w:num w:numId="20">
    <w:abstractNumId w:val="43"/>
  </w:num>
  <w:num w:numId="21">
    <w:abstractNumId w:val="23"/>
  </w:num>
  <w:num w:numId="22">
    <w:abstractNumId w:val="31"/>
  </w:num>
  <w:num w:numId="23">
    <w:abstractNumId w:val="49"/>
  </w:num>
  <w:num w:numId="24">
    <w:abstractNumId w:val="20"/>
  </w:num>
  <w:num w:numId="25">
    <w:abstractNumId w:val="30"/>
  </w:num>
  <w:num w:numId="26">
    <w:abstractNumId w:val="19"/>
  </w:num>
  <w:num w:numId="27">
    <w:abstractNumId w:val="13"/>
  </w:num>
  <w:num w:numId="28">
    <w:abstractNumId w:val="47"/>
  </w:num>
  <w:num w:numId="29">
    <w:abstractNumId w:val="35"/>
  </w:num>
  <w:num w:numId="30">
    <w:abstractNumId w:val="27"/>
  </w:num>
  <w:num w:numId="31">
    <w:abstractNumId w:val="39"/>
  </w:num>
  <w:num w:numId="32">
    <w:abstractNumId w:val="24"/>
  </w:num>
  <w:num w:numId="33">
    <w:abstractNumId w:val="33"/>
  </w:num>
  <w:num w:numId="34">
    <w:abstractNumId w:val="46"/>
  </w:num>
  <w:num w:numId="35">
    <w:abstractNumId w:val="10"/>
  </w:num>
  <w:num w:numId="36">
    <w:abstractNumId w:val="26"/>
  </w:num>
  <w:num w:numId="37">
    <w:abstractNumId w:val="14"/>
  </w:num>
  <w:num w:numId="38">
    <w:abstractNumId w:val="41"/>
  </w:num>
  <w:num w:numId="39">
    <w:abstractNumId w:val="15"/>
  </w:num>
  <w:num w:numId="40">
    <w:abstractNumId w:val="17"/>
  </w:num>
  <w:num w:numId="41">
    <w:abstractNumId w:val="34"/>
  </w:num>
  <w:num w:numId="42">
    <w:abstractNumId w:val="22"/>
  </w:num>
  <w:num w:numId="43">
    <w:abstractNumId w:val="37"/>
  </w:num>
  <w:num w:numId="44">
    <w:abstractNumId w:val="11"/>
  </w:num>
  <w:num w:numId="45">
    <w:abstractNumId w:val="21"/>
  </w:num>
  <w:num w:numId="46">
    <w:abstractNumId w:val="48"/>
  </w:num>
  <w:num w:numId="47">
    <w:abstractNumId w:val="32"/>
  </w:num>
  <w:num w:numId="48">
    <w:abstractNumId w:val="18"/>
  </w:num>
  <w:num w:numId="49">
    <w:abstractNumId w:val="38"/>
  </w:num>
  <w:num w:numId="5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91046"/>
    <w:rsid w:val="00091419"/>
    <w:rsid w:val="00091CB3"/>
    <w:rsid w:val="000931C0"/>
    <w:rsid w:val="000A2236"/>
    <w:rsid w:val="000A35F2"/>
    <w:rsid w:val="000A3A48"/>
    <w:rsid w:val="000A4C38"/>
    <w:rsid w:val="000B033E"/>
    <w:rsid w:val="000B175B"/>
    <w:rsid w:val="000B2968"/>
    <w:rsid w:val="000B2972"/>
    <w:rsid w:val="000B3A0F"/>
    <w:rsid w:val="000B4919"/>
    <w:rsid w:val="000B7AF2"/>
    <w:rsid w:val="000C1ED8"/>
    <w:rsid w:val="000C5D4B"/>
    <w:rsid w:val="000C717F"/>
    <w:rsid w:val="000C75A9"/>
    <w:rsid w:val="000D0B8F"/>
    <w:rsid w:val="000D4819"/>
    <w:rsid w:val="000D481F"/>
    <w:rsid w:val="000D6D97"/>
    <w:rsid w:val="000D7830"/>
    <w:rsid w:val="000E0415"/>
    <w:rsid w:val="000F21B8"/>
    <w:rsid w:val="000F52D6"/>
    <w:rsid w:val="000F6A20"/>
    <w:rsid w:val="001001A5"/>
    <w:rsid w:val="001039FD"/>
    <w:rsid w:val="0010461A"/>
    <w:rsid w:val="001106F4"/>
    <w:rsid w:val="00110F3C"/>
    <w:rsid w:val="00115303"/>
    <w:rsid w:val="00117787"/>
    <w:rsid w:val="00117D0D"/>
    <w:rsid w:val="00120DF7"/>
    <w:rsid w:val="00121EB7"/>
    <w:rsid w:val="00123BDC"/>
    <w:rsid w:val="001272B5"/>
    <w:rsid w:val="00130DFE"/>
    <w:rsid w:val="00131B10"/>
    <w:rsid w:val="00131D42"/>
    <w:rsid w:val="00133C50"/>
    <w:rsid w:val="001406F4"/>
    <w:rsid w:val="00141F77"/>
    <w:rsid w:val="00142716"/>
    <w:rsid w:val="00143C6B"/>
    <w:rsid w:val="001448E1"/>
    <w:rsid w:val="00146CFA"/>
    <w:rsid w:val="00156996"/>
    <w:rsid w:val="00162E11"/>
    <w:rsid w:val="001633FB"/>
    <w:rsid w:val="00163A1B"/>
    <w:rsid w:val="00165735"/>
    <w:rsid w:val="00167786"/>
    <w:rsid w:val="00173874"/>
    <w:rsid w:val="00181019"/>
    <w:rsid w:val="00182CAC"/>
    <w:rsid w:val="001835BF"/>
    <w:rsid w:val="00184B86"/>
    <w:rsid w:val="00196A1B"/>
    <w:rsid w:val="001A02A4"/>
    <w:rsid w:val="001A3B0D"/>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E32DA"/>
    <w:rsid w:val="001E797C"/>
    <w:rsid w:val="00211B12"/>
    <w:rsid w:val="00211E0B"/>
    <w:rsid w:val="0021481D"/>
    <w:rsid w:val="00221589"/>
    <w:rsid w:val="00221AC2"/>
    <w:rsid w:val="0022393F"/>
    <w:rsid w:val="0022394D"/>
    <w:rsid w:val="00224CD9"/>
    <w:rsid w:val="002303D0"/>
    <w:rsid w:val="002309A7"/>
    <w:rsid w:val="00235381"/>
    <w:rsid w:val="00237785"/>
    <w:rsid w:val="00241178"/>
    <w:rsid w:val="00241466"/>
    <w:rsid w:val="002440E7"/>
    <w:rsid w:val="00247570"/>
    <w:rsid w:val="00254B91"/>
    <w:rsid w:val="00257C1E"/>
    <w:rsid w:val="00261B71"/>
    <w:rsid w:val="002621F5"/>
    <w:rsid w:val="002708B5"/>
    <w:rsid w:val="00270DDB"/>
    <w:rsid w:val="002725CA"/>
    <w:rsid w:val="00273A92"/>
    <w:rsid w:val="00277896"/>
    <w:rsid w:val="00280EB7"/>
    <w:rsid w:val="00287D81"/>
    <w:rsid w:val="002976CF"/>
    <w:rsid w:val="002A0BD2"/>
    <w:rsid w:val="002A5B17"/>
    <w:rsid w:val="002B0609"/>
    <w:rsid w:val="002B067A"/>
    <w:rsid w:val="002B1514"/>
    <w:rsid w:val="002B1CDA"/>
    <w:rsid w:val="002C014E"/>
    <w:rsid w:val="002C0681"/>
    <w:rsid w:val="002C72E8"/>
    <w:rsid w:val="002C7F25"/>
    <w:rsid w:val="002D5A85"/>
    <w:rsid w:val="002D5C7D"/>
    <w:rsid w:val="002E35BB"/>
    <w:rsid w:val="002E5DE4"/>
    <w:rsid w:val="002F68FD"/>
    <w:rsid w:val="00304CDC"/>
    <w:rsid w:val="00306ABF"/>
    <w:rsid w:val="003107FA"/>
    <w:rsid w:val="003147D0"/>
    <w:rsid w:val="00315D73"/>
    <w:rsid w:val="00316FF9"/>
    <w:rsid w:val="00317CBC"/>
    <w:rsid w:val="00321716"/>
    <w:rsid w:val="003229D8"/>
    <w:rsid w:val="00323523"/>
    <w:rsid w:val="00327D0A"/>
    <w:rsid w:val="00343C2D"/>
    <w:rsid w:val="003517C3"/>
    <w:rsid w:val="00355502"/>
    <w:rsid w:val="00356BC7"/>
    <w:rsid w:val="00357A20"/>
    <w:rsid w:val="00361A5F"/>
    <w:rsid w:val="00372F06"/>
    <w:rsid w:val="003734CA"/>
    <w:rsid w:val="00391647"/>
    <w:rsid w:val="0039277A"/>
    <w:rsid w:val="003966E7"/>
    <w:rsid w:val="00396F6A"/>
    <w:rsid w:val="003972E0"/>
    <w:rsid w:val="003A1EC2"/>
    <w:rsid w:val="003A342A"/>
    <w:rsid w:val="003A43F9"/>
    <w:rsid w:val="003A52D7"/>
    <w:rsid w:val="003A5A16"/>
    <w:rsid w:val="003C0657"/>
    <w:rsid w:val="003C18C9"/>
    <w:rsid w:val="003C2CC4"/>
    <w:rsid w:val="003C2D54"/>
    <w:rsid w:val="003C655D"/>
    <w:rsid w:val="003D4B23"/>
    <w:rsid w:val="003E67EB"/>
    <w:rsid w:val="003F23A4"/>
    <w:rsid w:val="003F5B52"/>
    <w:rsid w:val="00401CDD"/>
    <w:rsid w:val="00403EC6"/>
    <w:rsid w:val="00406CD4"/>
    <w:rsid w:val="00430086"/>
    <w:rsid w:val="00430918"/>
    <w:rsid w:val="004325CB"/>
    <w:rsid w:val="004354EE"/>
    <w:rsid w:val="00437F3F"/>
    <w:rsid w:val="00446DE4"/>
    <w:rsid w:val="00452D10"/>
    <w:rsid w:val="004533A7"/>
    <w:rsid w:val="00454036"/>
    <w:rsid w:val="004562AA"/>
    <w:rsid w:val="0046443A"/>
    <w:rsid w:val="004653B3"/>
    <w:rsid w:val="004654C4"/>
    <w:rsid w:val="0046668F"/>
    <w:rsid w:val="0046773D"/>
    <w:rsid w:val="0046788D"/>
    <w:rsid w:val="0048304D"/>
    <w:rsid w:val="00484A9B"/>
    <w:rsid w:val="00487D4C"/>
    <w:rsid w:val="00492AF9"/>
    <w:rsid w:val="00494C77"/>
    <w:rsid w:val="00497711"/>
    <w:rsid w:val="004B2C9D"/>
    <w:rsid w:val="004B5939"/>
    <w:rsid w:val="004B5C97"/>
    <w:rsid w:val="004B73D6"/>
    <w:rsid w:val="004C39D0"/>
    <w:rsid w:val="004C4F1A"/>
    <w:rsid w:val="004C6D6D"/>
    <w:rsid w:val="004E0C5D"/>
    <w:rsid w:val="004E3D60"/>
    <w:rsid w:val="004F4240"/>
    <w:rsid w:val="004F77CD"/>
    <w:rsid w:val="00500194"/>
    <w:rsid w:val="005008C4"/>
    <w:rsid w:val="00507CF1"/>
    <w:rsid w:val="00511208"/>
    <w:rsid w:val="00522177"/>
    <w:rsid w:val="00527910"/>
    <w:rsid w:val="005322D3"/>
    <w:rsid w:val="005420F2"/>
    <w:rsid w:val="0054211E"/>
    <w:rsid w:val="00542505"/>
    <w:rsid w:val="005475D4"/>
    <w:rsid w:val="00552899"/>
    <w:rsid w:val="00555CDB"/>
    <w:rsid w:val="00561B6D"/>
    <w:rsid w:val="00562D45"/>
    <w:rsid w:val="0056615B"/>
    <w:rsid w:val="00567DFB"/>
    <w:rsid w:val="00571DAA"/>
    <w:rsid w:val="005725F9"/>
    <w:rsid w:val="0057573C"/>
    <w:rsid w:val="0058129D"/>
    <w:rsid w:val="00590144"/>
    <w:rsid w:val="00594F31"/>
    <w:rsid w:val="00595944"/>
    <w:rsid w:val="0059682C"/>
    <w:rsid w:val="005A0B37"/>
    <w:rsid w:val="005A64DD"/>
    <w:rsid w:val="005B09F0"/>
    <w:rsid w:val="005B0CED"/>
    <w:rsid w:val="005B3DB3"/>
    <w:rsid w:val="005B528A"/>
    <w:rsid w:val="005C4CB5"/>
    <w:rsid w:val="005D0C6C"/>
    <w:rsid w:val="005D4B5B"/>
    <w:rsid w:val="005E5946"/>
    <w:rsid w:val="005F1AB7"/>
    <w:rsid w:val="005F3A39"/>
    <w:rsid w:val="005F5C2F"/>
    <w:rsid w:val="005F7BB1"/>
    <w:rsid w:val="00602490"/>
    <w:rsid w:val="00603E3C"/>
    <w:rsid w:val="00611FC4"/>
    <w:rsid w:val="00612812"/>
    <w:rsid w:val="006176FB"/>
    <w:rsid w:val="00623E42"/>
    <w:rsid w:val="00626B06"/>
    <w:rsid w:val="00626DE3"/>
    <w:rsid w:val="006279AC"/>
    <w:rsid w:val="006305C2"/>
    <w:rsid w:val="006334B3"/>
    <w:rsid w:val="0063419C"/>
    <w:rsid w:val="00635381"/>
    <w:rsid w:val="00636986"/>
    <w:rsid w:val="00637542"/>
    <w:rsid w:val="00640B26"/>
    <w:rsid w:val="00641194"/>
    <w:rsid w:val="00645A0B"/>
    <w:rsid w:val="006500BA"/>
    <w:rsid w:val="006506DB"/>
    <w:rsid w:val="006523F5"/>
    <w:rsid w:val="006558EA"/>
    <w:rsid w:val="00662121"/>
    <w:rsid w:val="00662E09"/>
    <w:rsid w:val="00667788"/>
    <w:rsid w:val="006703B6"/>
    <w:rsid w:val="00670CF0"/>
    <w:rsid w:val="00674FF0"/>
    <w:rsid w:val="00675F87"/>
    <w:rsid w:val="00683778"/>
    <w:rsid w:val="00684C14"/>
    <w:rsid w:val="00690C20"/>
    <w:rsid w:val="00690CD6"/>
    <w:rsid w:val="006960A9"/>
    <w:rsid w:val="006A1458"/>
    <w:rsid w:val="006A3932"/>
    <w:rsid w:val="006A63E3"/>
    <w:rsid w:val="006A7392"/>
    <w:rsid w:val="006B1C55"/>
    <w:rsid w:val="006C0D34"/>
    <w:rsid w:val="006C1D3B"/>
    <w:rsid w:val="006C251B"/>
    <w:rsid w:val="006C2F7E"/>
    <w:rsid w:val="006D15EF"/>
    <w:rsid w:val="006D3560"/>
    <w:rsid w:val="006D7E3D"/>
    <w:rsid w:val="006E3B65"/>
    <w:rsid w:val="006E564B"/>
    <w:rsid w:val="006E5916"/>
    <w:rsid w:val="007025C0"/>
    <w:rsid w:val="00707F04"/>
    <w:rsid w:val="00711637"/>
    <w:rsid w:val="00714F4F"/>
    <w:rsid w:val="007245CD"/>
    <w:rsid w:val="0072632A"/>
    <w:rsid w:val="00736E6A"/>
    <w:rsid w:val="00741F59"/>
    <w:rsid w:val="0074697D"/>
    <w:rsid w:val="0075168C"/>
    <w:rsid w:val="00755EBE"/>
    <w:rsid w:val="00755F90"/>
    <w:rsid w:val="00761619"/>
    <w:rsid w:val="0076177C"/>
    <w:rsid w:val="00763C33"/>
    <w:rsid w:val="00766322"/>
    <w:rsid w:val="00766749"/>
    <w:rsid w:val="00770BCD"/>
    <w:rsid w:val="00770D3F"/>
    <w:rsid w:val="00771904"/>
    <w:rsid w:val="00773353"/>
    <w:rsid w:val="00774129"/>
    <w:rsid w:val="00774E8F"/>
    <w:rsid w:val="00774EAA"/>
    <w:rsid w:val="00780EB5"/>
    <w:rsid w:val="0078123B"/>
    <w:rsid w:val="007827D7"/>
    <w:rsid w:val="00786434"/>
    <w:rsid w:val="00790791"/>
    <w:rsid w:val="00796F36"/>
    <w:rsid w:val="00797331"/>
    <w:rsid w:val="00797556"/>
    <w:rsid w:val="007A05D2"/>
    <w:rsid w:val="007A2CDB"/>
    <w:rsid w:val="007A62EC"/>
    <w:rsid w:val="007B1A7E"/>
    <w:rsid w:val="007B2BA8"/>
    <w:rsid w:val="007B6BA5"/>
    <w:rsid w:val="007C2788"/>
    <w:rsid w:val="007C2C0D"/>
    <w:rsid w:val="007C3162"/>
    <w:rsid w:val="007C3390"/>
    <w:rsid w:val="007C4F4B"/>
    <w:rsid w:val="007C644D"/>
    <w:rsid w:val="007D3104"/>
    <w:rsid w:val="007D7BC6"/>
    <w:rsid w:val="007E313F"/>
    <w:rsid w:val="007E4BD3"/>
    <w:rsid w:val="007E5D7C"/>
    <w:rsid w:val="007E7225"/>
    <w:rsid w:val="007F2A54"/>
    <w:rsid w:val="007F444F"/>
    <w:rsid w:val="007F5104"/>
    <w:rsid w:val="007F6611"/>
    <w:rsid w:val="00800024"/>
    <w:rsid w:val="008037A2"/>
    <w:rsid w:val="00811097"/>
    <w:rsid w:val="0081414F"/>
    <w:rsid w:val="00816582"/>
    <w:rsid w:val="008175E9"/>
    <w:rsid w:val="00820A2D"/>
    <w:rsid w:val="008242D7"/>
    <w:rsid w:val="00826C09"/>
    <w:rsid w:val="00827AE1"/>
    <w:rsid w:val="0083043E"/>
    <w:rsid w:val="0083069A"/>
    <w:rsid w:val="00832A1D"/>
    <w:rsid w:val="00834479"/>
    <w:rsid w:val="00834C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3478"/>
    <w:rsid w:val="008B625D"/>
    <w:rsid w:val="008B65FB"/>
    <w:rsid w:val="008B6FAC"/>
    <w:rsid w:val="008C3B3C"/>
    <w:rsid w:val="008C4283"/>
    <w:rsid w:val="008C74C3"/>
    <w:rsid w:val="008C7BF7"/>
    <w:rsid w:val="008D134F"/>
    <w:rsid w:val="008D3C75"/>
    <w:rsid w:val="008D6942"/>
    <w:rsid w:val="008E0E46"/>
    <w:rsid w:val="008E15F2"/>
    <w:rsid w:val="008E1920"/>
    <w:rsid w:val="008E1DAE"/>
    <w:rsid w:val="008E295A"/>
    <w:rsid w:val="008E4B13"/>
    <w:rsid w:val="008F2D9A"/>
    <w:rsid w:val="008F44B8"/>
    <w:rsid w:val="008F504A"/>
    <w:rsid w:val="00904EBC"/>
    <w:rsid w:val="00921BEF"/>
    <w:rsid w:val="00923019"/>
    <w:rsid w:val="009242B0"/>
    <w:rsid w:val="00924B63"/>
    <w:rsid w:val="009363B6"/>
    <w:rsid w:val="00940F46"/>
    <w:rsid w:val="00941ECC"/>
    <w:rsid w:val="00945A5D"/>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B140E"/>
    <w:rsid w:val="009B798F"/>
    <w:rsid w:val="009C31D5"/>
    <w:rsid w:val="009C5D1E"/>
    <w:rsid w:val="009C6394"/>
    <w:rsid w:val="009D0E2A"/>
    <w:rsid w:val="009D0F0E"/>
    <w:rsid w:val="009D1AAE"/>
    <w:rsid w:val="009D634E"/>
    <w:rsid w:val="009D6CA8"/>
    <w:rsid w:val="009E1560"/>
    <w:rsid w:val="009E47FC"/>
    <w:rsid w:val="009F0F06"/>
    <w:rsid w:val="009F4EEB"/>
    <w:rsid w:val="009F4FC5"/>
    <w:rsid w:val="009F77AD"/>
    <w:rsid w:val="00A07F24"/>
    <w:rsid w:val="00A105D3"/>
    <w:rsid w:val="00A1427D"/>
    <w:rsid w:val="00A22FE4"/>
    <w:rsid w:val="00A235F1"/>
    <w:rsid w:val="00A2784C"/>
    <w:rsid w:val="00A34B00"/>
    <w:rsid w:val="00A3777A"/>
    <w:rsid w:val="00A50077"/>
    <w:rsid w:val="00A54CA8"/>
    <w:rsid w:val="00A57236"/>
    <w:rsid w:val="00A60196"/>
    <w:rsid w:val="00A6199C"/>
    <w:rsid w:val="00A622AF"/>
    <w:rsid w:val="00A65F4A"/>
    <w:rsid w:val="00A66636"/>
    <w:rsid w:val="00A71119"/>
    <w:rsid w:val="00A71A32"/>
    <w:rsid w:val="00A72F22"/>
    <w:rsid w:val="00A744D7"/>
    <w:rsid w:val="00A748A6"/>
    <w:rsid w:val="00A74A46"/>
    <w:rsid w:val="00A75EC9"/>
    <w:rsid w:val="00A810D4"/>
    <w:rsid w:val="00A81688"/>
    <w:rsid w:val="00A83538"/>
    <w:rsid w:val="00A8523D"/>
    <w:rsid w:val="00A85DF5"/>
    <w:rsid w:val="00A879A4"/>
    <w:rsid w:val="00AA1D9A"/>
    <w:rsid w:val="00AA32EB"/>
    <w:rsid w:val="00AB382F"/>
    <w:rsid w:val="00AB3D4E"/>
    <w:rsid w:val="00AB4CF1"/>
    <w:rsid w:val="00AC0D78"/>
    <w:rsid w:val="00AC1990"/>
    <w:rsid w:val="00AC31E3"/>
    <w:rsid w:val="00AD2E0D"/>
    <w:rsid w:val="00AD34EE"/>
    <w:rsid w:val="00AD40DE"/>
    <w:rsid w:val="00AD5E8F"/>
    <w:rsid w:val="00AD7C88"/>
    <w:rsid w:val="00AE45DE"/>
    <w:rsid w:val="00AF0878"/>
    <w:rsid w:val="00AF1FD0"/>
    <w:rsid w:val="00AF2F9D"/>
    <w:rsid w:val="00AF33AD"/>
    <w:rsid w:val="00AF6710"/>
    <w:rsid w:val="00B013E6"/>
    <w:rsid w:val="00B04D66"/>
    <w:rsid w:val="00B10C19"/>
    <w:rsid w:val="00B1157C"/>
    <w:rsid w:val="00B14E8B"/>
    <w:rsid w:val="00B1501F"/>
    <w:rsid w:val="00B24740"/>
    <w:rsid w:val="00B26710"/>
    <w:rsid w:val="00B26B3C"/>
    <w:rsid w:val="00B30179"/>
    <w:rsid w:val="00B3317B"/>
    <w:rsid w:val="00B34CAE"/>
    <w:rsid w:val="00B354DC"/>
    <w:rsid w:val="00B41384"/>
    <w:rsid w:val="00B4398E"/>
    <w:rsid w:val="00B47274"/>
    <w:rsid w:val="00B5392B"/>
    <w:rsid w:val="00B64269"/>
    <w:rsid w:val="00B71E2B"/>
    <w:rsid w:val="00B73DA8"/>
    <w:rsid w:val="00B74F7C"/>
    <w:rsid w:val="00B75E05"/>
    <w:rsid w:val="00B81E12"/>
    <w:rsid w:val="00B84AAC"/>
    <w:rsid w:val="00B85381"/>
    <w:rsid w:val="00B90C81"/>
    <w:rsid w:val="00B90F54"/>
    <w:rsid w:val="00B91CC3"/>
    <w:rsid w:val="00B92A0C"/>
    <w:rsid w:val="00B93068"/>
    <w:rsid w:val="00B93292"/>
    <w:rsid w:val="00BB176D"/>
    <w:rsid w:val="00BB3B28"/>
    <w:rsid w:val="00BC0C09"/>
    <w:rsid w:val="00BC74E9"/>
    <w:rsid w:val="00BD586C"/>
    <w:rsid w:val="00BD6433"/>
    <w:rsid w:val="00BE0D90"/>
    <w:rsid w:val="00BE1FF8"/>
    <w:rsid w:val="00BE50CA"/>
    <w:rsid w:val="00BE618E"/>
    <w:rsid w:val="00C0263F"/>
    <w:rsid w:val="00C03B44"/>
    <w:rsid w:val="00C078F8"/>
    <w:rsid w:val="00C13A85"/>
    <w:rsid w:val="00C218A4"/>
    <w:rsid w:val="00C31109"/>
    <w:rsid w:val="00C36D37"/>
    <w:rsid w:val="00C40FDC"/>
    <w:rsid w:val="00C463DD"/>
    <w:rsid w:val="00C46D5B"/>
    <w:rsid w:val="00C537D5"/>
    <w:rsid w:val="00C54ADB"/>
    <w:rsid w:val="00C54CEA"/>
    <w:rsid w:val="00C61DA2"/>
    <w:rsid w:val="00C62F76"/>
    <w:rsid w:val="00C66D78"/>
    <w:rsid w:val="00C745C3"/>
    <w:rsid w:val="00C81212"/>
    <w:rsid w:val="00C84FF1"/>
    <w:rsid w:val="00C8629C"/>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1050"/>
    <w:rsid w:val="00CF6F32"/>
    <w:rsid w:val="00CF778D"/>
    <w:rsid w:val="00D01746"/>
    <w:rsid w:val="00D0631B"/>
    <w:rsid w:val="00D06C3A"/>
    <w:rsid w:val="00D06F88"/>
    <w:rsid w:val="00D164BA"/>
    <w:rsid w:val="00D2031B"/>
    <w:rsid w:val="00D25E8C"/>
    <w:rsid w:val="00D25FE2"/>
    <w:rsid w:val="00D27E89"/>
    <w:rsid w:val="00D317D0"/>
    <w:rsid w:val="00D33DE8"/>
    <w:rsid w:val="00D35135"/>
    <w:rsid w:val="00D37E80"/>
    <w:rsid w:val="00D40F5B"/>
    <w:rsid w:val="00D43252"/>
    <w:rsid w:val="00D46231"/>
    <w:rsid w:val="00D477C4"/>
    <w:rsid w:val="00D47F84"/>
    <w:rsid w:val="00D5409C"/>
    <w:rsid w:val="00D57C13"/>
    <w:rsid w:val="00D57FD9"/>
    <w:rsid w:val="00D60685"/>
    <w:rsid w:val="00D610C1"/>
    <w:rsid w:val="00D658FA"/>
    <w:rsid w:val="00D730E3"/>
    <w:rsid w:val="00D753D8"/>
    <w:rsid w:val="00D9274F"/>
    <w:rsid w:val="00D96248"/>
    <w:rsid w:val="00D96CC5"/>
    <w:rsid w:val="00D978C6"/>
    <w:rsid w:val="00D97B77"/>
    <w:rsid w:val="00DA6620"/>
    <w:rsid w:val="00DA67AD"/>
    <w:rsid w:val="00DB072B"/>
    <w:rsid w:val="00DD026E"/>
    <w:rsid w:val="00DD256D"/>
    <w:rsid w:val="00DD42A0"/>
    <w:rsid w:val="00DD4C95"/>
    <w:rsid w:val="00DE027F"/>
    <w:rsid w:val="00DE236F"/>
    <w:rsid w:val="00DE3E90"/>
    <w:rsid w:val="00DE3ECB"/>
    <w:rsid w:val="00DE4785"/>
    <w:rsid w:val="00DE7267"/>
    <w:rsid w:val="00DF0A4D"/>
    <w:rsid w:val="00DF3039"/>
    <w:rsid w:val="00DF3A04"/>
    <w:rsid w:val="00DF4518"/>
    <w:rsid w:val="00E01324"/>
    <w:rsid w:val="00E04F8A"/>
    <w:rsid w:val="00E130AB"/>
    <w:rsid w:val="00E1679E"/>
    <w:rsid w:val="00E178A1"/>
    <w:rsid w:val="00E239A0"/>
    <w:rsid w:val="00E2792B"/>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3C5C"/>
    <w:rsid w:val="00E96630"/>
    <w:rsid w:val="00EA0364"/>
    <w:rsid w:val="00EA48C4"/>
    <w:rsid w:val="00EA5700"/>
    <w:rsid w:val="00EA597A"/>
    <w:rsid w:val="00EA772F"/>
    <w:rsid w:val="00EB291B"/>
    <w:rsid w:val="00EB2AE3"/>
    <w:rsid w:val="00EB4C06"/>
    <w:rsid w:val="00EB51D5"/>
    <w:rsid w:val="00EB65EF"/>
    <w:rsid w:val="00EB6832"/>
    <w:rsid w:val="00EB6C04"/>
    <w:rsid w:val="00EB71BA"/>
    <w:rsid w:val="00EB798F"/>
    <w:rsid w:val="00EC14E9"/>
    <w:rsid w:val="00EC271A"/>
    <w:rsid w:val="00EC755A"/>
    <w:rsid w:val="00ED1D48"/>
    <w:rsid w:val="00ED2553"/>
    <w:rsid w:val="00ED3508"/>
    <w:rsid w:val="00ED3F6F"/>
    <w:rsid w:val="00ED7A2A"/>
    <w:rsid w:val="00EE1375"/>
    <w:rsid w:val="00EE1B32"/>
    <w:rsid w:val="00EE2247"/>
    <w:rsid w:val="00EE3EB7"/>
    <w:rsid w:val="00EE4D59"/>
    <w:rsid w:val="00EE73C3"/>
    <w:rsid w:val="00EF0A3F"/>
    <w:rsid w:val="00EF0FC6"/>
    <w:rsid w:val="00EF1D7F"/>
    <w:rsid w:val="00EF4AAC"/>
    <w:rsid w:val="00EF760B"/>
    <w:rsid w:val="00F00E46"/>
    <w:rsid w:val="00F01475"/>
    <w:rsid w:val="00F01C57"/>
    <w:rsid w:val="00F02060"/>
    <w:rsid w:val="00F03FA2"/>
    <w:rsid w:val="00F05283"/>
    <w:rsid w:val="00F07537"/>
    <w:rsid w:val="00F075EF"/>
    <w:rsid w:val="00F07E12"/>
    <w:rsid w:val="00F11ABA"/>
    <w:rsid w:val="00F1200D"/>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65725"/>
    <w:rsid w:val="00F65C0A"/>
    <w:rsid w:val="00F74116"/>
    <w:rsid w:val="00F75E96"/>
    <w:rsid w:val="00F77CF6"/>
    <w:rsid w:val="00F82B54"/>
    <w:rsid w:val="00FA00A0"/>
    <w:rsid w:val="00FA2BF7"/>
    <w:rsid w:val="00FA3FB7"/>
    <w:rsid w:val="00FA65A2"/>
    <w:rsid w:val="00FB0B84"/>
    <w:rsid w:val="00FB5A37"/>
    <w:rsid w:val="00FB7793"/>
    <w:rsid w:val="00FC14DF"/>
    <w:rsid w:val="00FC16D7"/>
    <w:rsid w:val="00FC18AA"/>
    <w:rsid w:val="00FC215C"/>
    <w:rsid w:val="00FC68B7"/>
    <w:rsid w:val="00FD3C5D"/>
    <w:rsid w:val="00FD3E70"/>
    <w:rsid w:val="00FD6B2B"/>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862006"/>
  <w15:docId w15:val="{F9C8B7EA-F612-44BE-89B0-7B9D51E8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1"/>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AD5E8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44019-4530-4B7F-ADA1-924D1675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18</TotalTime>
  <Pages>2</Pages>
  <Words>658</Words>
  <Characters>3753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2018-09-13T08:22:00Z</cp:lastPrinted>
  <dcterms:created xsi:type="dcterms:W3CDTF">2018-10-27T09:05:00Z</dcterms:created>
  <dcterms:modified xsi:type="dcterms:W3CDTF">2018-10-30T10:29:00Z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