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4919" w:rsidTr="000216CC">
        <w:trPr>
          <w:trHeight w:val="851"/>
        </w:trPr>
        <w:tc>
          <w:tcPr>
            <w:tcW w:w="1259" w:type="dxa"/>
            <w:tcBorders>
              <w:top w:val="nil"/>
              <w:left w:val="nil"/>
              <w:bottom w:val="single" w:sz="4" w:space="0" w:color="auto"/>
              <w:right w:val="nil"/>
            </w:tcBorders>
            <w:shd w:val="clear" w:color="auto" w:fill="auto"/>
          </w:tcPr>
          <w:p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0B4919" w:rsidRDefault="00FC215C" w:rsidP="00B666B2">
            <w:pPr>
              <w:jc w:val="right"/>
              <w:rPr>
                <w:b/>
                <w:sz w:val="40"/>
                <w:szCs w:val="40"/>
              </w:rPr>
            </w:pPr>
            <w:r w:rsidRPr="00A83451">
              <w:rPr>
                <w:b/>
                <w:sz w:val="40"/>
                <w:szCs w:val="40"/>
              </w:rPr>
              <w:t>UN/SCETDG/</w:t>
            </w:r>
            <w:r w:rsidR="00CE74ED" w:rsidRPr="00A83451">
              <w:rPr>
                <w:b/>
                <w:sz w:val="40"/>
                <w:szCs w:val="40"/>
              </w:rPr>
              <w:t>5</w:t>
            </w:r>
            <w:r w:rsidR="0003375D">
              <w:rPr>
                <w:b/>
                <w:sz w:val="40"/>
                <w:szCs w:val="40"/>
              </w:rPr>
              <w:t>3</w:t>
            </w:r>
            <w:r w:rsidRPr="00A83451">
              <w:rPr>
                <w:b/>
                <w:sz w:val="40"/>
                <w:szCs w:val="40"/>
              </w:rPr>
              <w:t>/INF.</w:t>
            </w:r>
            <w:r w:rsidR="003112A7">
              <w:rPr>
                <w:b/>
                <w:sz w:val="40"/>
                <w:szCs w:val="40"/>
              </w:rPr>
              <w:t>1</w:t>
            </w:r>
            <w:r w:rsidR="00B666B2">
              <w:rPr>
                <w:b/>
                <w:sz w:val="40"/>
                <w:szCs w:val="40"/>
              </w:rPr>
              <w:t>6</w:t>
            </w:r>
          </w:p>
          <w:p w:rsidR="000216CC" w:rsidRPr="000B4919" w:rsidRDefault="000216CC" w:rsidP="00497711">
            <w:pPr>
              <w:jc w:val="right"/>
              <w:rPr>
                <w:highlight w:val="yellow"/>
              </w:rPr>
            </w:pPr>
          </w:p>
        </w:tc>
      </w:tr>
    </w:tbl>
    <w:p w:rsidR="000019B8" w:rsidRPr="000B4919"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0B4919" w:rsidTr="00165735">
        <w:tc>
          <w:tcPr>
            <w:tcW w:w="9645" w:type="dxa"/>
            <w:gridSpan w:val="2"/>
            <w:tcMar>
              <w:top w:w="142" w:type="dxa"/>
              <w:left w:w="108" w:type="dxa"/>
              <w:bottom w:w="142" w:type="dxa"/>
              <w:right w:w="108" w:type="dxa"/>
            </w:tcMar>
          </w:tcPr>
          <w:p w:rsidR="00645A0B" w:rsidRPr="000B4919" w:rsidRDefault="00645A0B" w:rsidP="000B6AD1">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3112A7">
              <w:rPr>
                <w:b/>
              </w:rPr>
              <w:t>29 May</w:t>
            </w:r>
            <w:r w:rsidR="00CE74ED" w:rsidRPr="000B6AD1">
              <w:rPr>
                <w:b/>
                <w:sz w:val="18"/>
                <w:szCs w:val="24"/>
              </w:rPr>
              <w:t xml:space="preserve"> 2018</w:t>
            </w:r>
          </w:p>
        </w:tc>
      </w:tr>
      <w:tr w:rsidR="00645A0B" w:rsidRPr="000B4919" w:rsidTr="00165735">
        <w:tc>
          <w:tcPr>
            <w:tcW w:w="4652" w:type="dxa"/>
            <w:tcMar>
              <w:top w:w="57" w:type="dxa"/>
              <w:left w:w="108" w:type="dxa"/>
              <w:bottom w:w="0" w:type="dxa"/>
              <w:right w:w="108" w:type="dxa"/>
            </w:tcMar>
            <w:vAlign w:val="center"/>
          </w:tcPr>
          <w:p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rsidR="00645A0B" w:rsidRPr="000B4919" w:rsidRDefault="00645A0B" w:rsidP="00165735">
            <w:pPr>
              <w:spacing w:before="120"/>
              <w:rPr>
                <w:b/>
              </w:rPr>
            </w:pPr>
          </w:p>
        </w:tc>
      </w:tr>
      <w:tr w:rsidR="00645A0B" w:rsidRPr="000B4919" w:rsidTr="00165735">
        <w:tc>
          <w:tcPr>
            <w:tcW w:w="4652" w:type="dxa"/>
            <w:tcMar>
              <w:top w:w="57" w:type="dxa"/>
              <w:left w:w="108" w:type="dxa"/>
              <w:bottom w:w="0" w:type="dxa"/>
              <w:right w:w="108" w:type="dxa"/>
            </w:tcMar>
          </w:tcPr>
          <w:p w:rsidR="00645A0B" w:rsidRPr="000B4919" w:rsidRDefault="00CE74ED" w:rsidP="00F64C95">
            <w:pPr>
              <w:spacing w:before="120"/>
              <w:ind w:left="34" w:hanging="34"/>
              <w:rPr>
                <w:b/>
              </w:rPr>
            </w:pPr>
            <w:r w:rsidRPr="006F47DE">
              <w:rPr>
                <w:b/>
              </w:rPr>
              <w:t>Fifty-</w:t>
            </w:r>
            <w:r>
              <w:rPr>
                <w:b/>
              </w:rPr>
              <w:t>third</w:t>
            </w:r>
            <w:r w:rsidRPr="006F47DE">
              <w:rPr>
                <w:b/>
              </w:rPr>
              <w:t xml:space="preserve"> session</w:t>
            </w:r>
          </w:p>
        </w:tc>
        <w:tc>
          <w:tcPr>
            <w:tcW w:w="4993" w:type="dxa"/>
            <w:tcMar>
              <w:top w:w="57" w:type="dxa"/>
              <w:left w:w="108" w:type="dxa"/>
              <w:bottom w:w="0" w:type="dxa"/>
              <w:right w:w="108" w:type="dxa"/>
            </w:tcMar>
          </w:tcPr>
          <w:p w:rsidR="00645A0B" w:rsidRPr="000B4919" w:rsidRDefault="00645A0B" w:rsidP="00CE74ED">
            <w:pPr>
              <w:spacing w:before="120"/>
              <w:ind w:left="34" w:hanging="34"/>
              <w:rPr>
                <w:b/>
              </w:rPr>
            </w:pPr>
          </w:p>
        </w:tc>
      </w:tr>
      <w:tr w:rsidR="00645A0B" w:rsidRPr="000B4919" w:rsidTr="00165735">
        <w:tc>
          <w:tcPr>
            <w:tcW w:w="4652" w:type="dxa"/>
            <w:tcMar>
              <w:top w:w="28" w:type="dxa"/>
              <w:left w:w="108" w:type="dxa"/>
              <w:bottom w:w="0" w:type="dxa"/>
              <w:right w:w="108" w:type="dxa"/>
            </w:tcMar>
          </w:tcPr>
          <w:p w:rsidR="00CE74ED" w:rsidRPr="006F47DE" w:rsidRDefault="00CE74ED" w:rsidP="00CE74ED">
            <w:pPr>
              <w:tabs>
                <w:tab w:val="left" w:pos="6361"/>
                <w:tab w:val="left" w:pos="6939"/>
              </w:tabs>
              <w:spacing w:before="40"/>
              <w:outlineLvl w:val="0"/>
              <w:rPr>
                <w:bCs/>
              </w:rPr>
            </w:pPr>
            <w:r w:rsidRPr="006500BA">
              <w:t>Geneva,</w:t>
            </w:r>
            <w:r>
              <w:t xml:space="preserve"> 25 June-4 July 2018</w:t>
            </w:r>
          </w:p>
          <w:p w:rsidR="00645A0B" w:rsidRPr="000B4919" w:rsidRDefault="00A83451" w:rsidP="00EA48C4">
            <w:pPr>
              <w:spacing w:before="40"/>
              <w:ind w:left="34" w:hanging="34"/>
            </w:pPr>
            <w:r w:rsidRPr="006F47DE">
              <w:t xml:space="preserve">Item </w:t>
            </w:r>
            <w:r w:rsidR="003112A7">
              <w:t>6 (b)</w:t>
            </w:r>
            <w:r w:rsidRPr="006F47DE">
              <w:t xml:space="preserve"> of the provisional agenda</w:t>
            </w:r>
          </w:p>
          <w:p w:rsidR="00645A0B" w:rsidRPr="003112A7" w:rsidRDefault="003112A7" w:rsidP="00EA48C4">
            <w:pPr>
              <w:spacing w:before="40"/>
              <w:ind w:left="34" w:hanging="34"/>
              <w:rPr>
                <w:b/>
                <w:bCs/>
              </w:rPr>
            </w:pPr>
            <w:r w:rsidRPr="003112A7">
              <w:rPr>
                <w:b/>
                <w:bCs/>
              </w:rPr>
              <w:t>Miscellaneous proposals for amendments to the Model Regulations on the Transport of Dangerous Goods</w:t>
            </w:r>
            <w:r>
              <w:rPr>
                <w:b/>
                <w:bCs/>
              </w:rPr>
              <w:t xml:space="preserve">: </w:t>
            </w:r>
            <w:proofErr w:type="spellStart"/>
            <w:r>
              <w:rPr>
                <w:b/>
                <w:bCs/>
              </w:rPr>
              <w:t>p</w:t>
            </w:r>
            <w:r w:rsidRPr="003112A7">
              <w:rPr>
                <w:b/>
                <w:bCs/>
              </w:rPr>
              <w:t>ackagings</w:t>
            </w:r>
            <w:proofErr w:type="spellEnd"/>
          </w:p>
        </w:tc>
        <w:tc>
          <w:tcPr>
            <w:tcW w:w="4993" w:type="dxa"/>
            <w:tcMar>
              <w:top w:w="28" w:type="dxa"/>
              <w:left w:w="108" w:type="dxa"/>
              <w:bottom w:w="0" w:type="dxa"/>
              <w:right w:w="108" w:type="dxa"/>
            </w:tcMar>
          </w:tcPr>
          <w:p w:rsidR="00645A0B" w:rsidRPr="000B4919" w:rsidRDefault="00645A0B" w:rsidP="000B6AD1">
            <w:pPr>
              <w:spacing w:before="40"/>
              <w:rPr>
                <w:b/>
                <w:bCs/>
              </w:rPr>
            </w:pPr>
          </w:p>
        </w:tc>
      </w:tr>
    </w:tbl>
    <w:p w:rsidR="003112A7" w:rsidRPr="00A96F63" w:rsidRDefault="003112A7" w:rsidP="003112A7">
      <w:pPr>
        <w:pStyle w:val="HChG"/>
      </w:pPr>
      <w:r>
        <w:tab/>
      </w:r>
      <w:r>
        <w:tab/>
      </w:r>
      <w:r w:rsidRPr="00A96F63">
        <w:t>Maximum permitted stacking load of IBC</w:t>
      </w:r>
      <w:r>
        <w:t>s</w:t>
      </w:r>
      <w:r w:rsidRPr="00A96F63">
        <w:t xml:space="preserve"> </w:t>
      </w:r>
      <w:r>
        <w:br/>
      </w:r>
      <w:r w:rsidRPr="00A96F63">
        <w:t>comments on ST/SG/AC.10/C.3/2018/27</w:t>
      </w:r>
    </w:p>
    <w:p w:rsidR="003112A7" w:rsidRPr="00A96F63" w:rsidRDefault="003112A7" w:rsidP="003112A7">
      <w:pPr>
        <w:pStyle w:val="H1G"/>
        <w:rPr>
          <w:lang w:val="en-US"/>
        </w:rPr>
      </w:pPr>
      <w:r w:rsidRPr="00A96F63">
        <w:rPr>
          <w:lang w:val="en-US"/>
        </w:rPr>
        <w:tab/>
      </w:r>
      <w:r>
        <w:rPr>
          <w:lang w:val="en-US"/>
        </w:rPr>
        <w:tab/>
      </w:r>
      <w:r>
        <w:rPr>
          <w:lang w:val="en-US"/>
        </w:rPr>
        <w:tab/>
      </w:r>
      <w:r w:rsidRPr="003112A7">
        <w:t>Transmitted</w:t>
      </w:r>
      <w:r w:rsidRPr="00A96F63">
        <w:rPr>
          <w:lang w:val="en-US"/>
        </w:rPr>
        <w:t xml:space="preserve"> by the European Chemical Industry Council (CEFIC)</w:t>
      </w:r>
    </w:p>
    <w:p w:rsidR="003112A7" w:rsidRPr="00A96F63" w:rsidRDefault="003112A7" w:rsidP="003112A7">
      <w:pPr>
        <w:pStyle w:val="HChG"/>
        <w:rPr>
          <w:lang w:val="en-US"/>
        </w:rPr>
      </w:pPr>
      <w:r>
        <w:tab/>
      </w:r>
      <w:r>
        <w:tab/>
      </w:r>
      <w:r w:rsidRPr="003112A7">
        <w:t>Introduction</w:t>
      </w:r>
    </w:p>
    <w:p w:rsidR="003112A7" w:rsidRPr="00A96F63" w:rsidRDefault="003112A7" w:rsidP="000F632C">
      <w:pPr>
        <w:pStyle w:val="SingleTxtG"/>
        <w:numPr>
          <w:ilvl w:val="0"/>
          <w:numId w:val="16"/>
        </w:numPr>
        <w:ind w:left="1134" w:firstLine="0"/>
        <w:rPr>
          <w:lang w:val="en-US"/>
        </w:rPr>
      </w:pPr>
      <w:r w:rsidRPr="00A96F63">
        <w:rPr>
          <w:lang w:val="en-US"/>
        </w:rPr>
        <w:t xml:space="preserve">The </w:t>
      </w:r>
      <w:r w:rsidRPr="003112A7">
        <w:t>requirement</w:t>
      </w:r>
      <w:r w:rsidRPr="00A96F63">
        <w:rPr>
          <w:lang w:val="en-US"/>
        </w:rPr>
        <w:t xml:space="preserve"> to mark IBCs with a pictogram indicating the maximum permitted stacking load (6.5.2.2.2) in addition to be marked with the stacking test load in the UN string according to 6.5.2.1.1 (g) </w:t>
      </w:r>
      <w:proofErr w:type="gramStart"/>
      <w:r w:rsidRPr="00A96F63">
        <w:rPr>
          <w:lang w:val="en-US"/>
        </w:rPr>
        <w:t xml:space="preserve">is </w:t>
      </w:r>
      <w:r>
        <w:rPr>
          <w:lang w:val="en-US"/>
        </w:rPr>
        <w:t>considered to be</w:t>
      </w:r>
      <w:proofErr w:type="gramEnd"/>
      <w:r>
        <w:rPr>
          <w:lang w:val="en-US"/>
        </w:rPr>
        <w:t xml:space="preserve"> beneficial to loading operations</w:t>
      </w:r>
      <w:r w:rsidRPr="00A96F63">
        <w:rPr>
          <w:lang w:val="en-US"/>
        </w:rPr>
        <w:t>. However, the additional information displayed by the pictogram should not cause any misinterpretation in practice for which purpose it is provided.</w:t>
      </w:r>
    </w:p>
    <w:p w:rsidR="003112A7" w:rsidRPr="00A96F63" w:rsidRDefault="003112A7" w:rsidP="000F632C">
      <w:pPr>
        <w:pStyle w:val="SingleTxtG"/>
        <w:numPr>
          <w:ilvl w:val="0"/>
          <w:numId w:val="16"/>
        </w:numPr>
        <w:ind w:left="1134" w:firstLine="0"/>
        <w:rPr>
          <w:lang w:val="en-US"/>
        </w:rPr>
      </w:pPr>
      <w:r w:rsidRPr="00A96F63">
        <w:rPr>
          <w:lang w:val="en-US"/>
        </w:rPr>
        <w:t xml:space="preserve">The term </w:t>
      </w:r>
      <w:r w:rsidRPr="00A96F63">
        <w:rPr>
          <w:i/>
          <w:lang w:val="en-US"/>
        </w:rPr>
        <w:t>“in use”</w:t>
      </w:r>
      <w:r w:rsidRPr="00A96F63">
        <w:rPr>
          <w:lang w:val="en-US"/>
        </w:rPr>
        <w:t xml:space="preserve"> in the current text of 6.5.2.2.2, </w:t>
      </w:r>
      <w:r w:rsidRPr="00A96F63">
        <w:rPr>
          <w:i/>
          <w:lang w:val="en-US"/>
        </w:rPr>
        <w:t>“The maximum permitted stacking load applicable when the IBC is in use shall be displayed ...”</w:t>
      </w:r>
      <w:r w:rsidRPr="00A96F63">
        <w:rPr>
          <w:lang w:val="en-US"/>
        </w:rPr>
        <w:t>, seems not to be precise enough to prevent from such misinterpretation.</w:t>
      </w:r>
    </w:p>
    <w:p w:rsidR="003112A7" w:rsidRPr="00A96F63" w:rsidRDefault="003112A7" w:rsidP="003112A7">
      <w:pPr>
        <w:pStyle w:val="HChG"/>
        <w:rPr>
          <w:lang w:val="en-US"/>
        </w:rPr>
      </w:pPr>
      <w:r>
        <w:rPr>
          <w:lang w:val="en-US"/>
        </w:rPr>
        <w:tab/>
      </w:r>
      <w:r>
        <w:rPr>
          <w:lang w:val="en-US"/>
        </w:rPr>
        <w:tab/>
      </w:r>
      <w:r w:rsidRPr="00A96F63">
        <w:rPr>
          <w:lang w:val="en-US"/>
        </w:rPr>
        <w:t>Discussion</w:t>
      </w:r>
    </w:p>
    <w:p w:rsidR="003112A7" w:rsidRPr="003112A7" w:rsidRDefault="003112A7" w:rsidP="000F632C">
      <w:pPr>
        <w:pStyle w:val="SingleTxtG"/>
        <w:numPr>
          <w:ilvl w:val="0"/>
          <w:numId w:val="16"/>
        </w:numPr>
        <w:ind w:left="1134" w:firstLine="0"/>
      </w:pPr>
      <w:r w:rsidRPr="003112A7">
        <w:t xml:space="preserve">The proposal in </w:t>
      </w:r>
      <w:proofErr w:type="spellStart"/>
      <w:r>
        <w:rPr>
          <w:lang w:val="fr-CH"/>
        </w:rPr>
        <w:t>informal</w:t>
      </w:r>
      <w:proofErr w:type="spellEnd"/>
      <w:r>
        <w:rPr>
          <w:lang w:val="fr-CH"/>
        </w:rPr>
        <w:t xml:space="preserve"> document </w:t>
      </w:r>
      <w:r w:rsidRPr="003112A7">
        <w:t xml:space="preserve">INF.22 (ICPP) </w:t>
      </w:r>
      <w:r>
        <w:rPr>
          <w:lang w:val="fr-CH"/>
        </w:rPr>
        <w:t xml:space="preserve">(52nd session) </w:t>
      </w:r>
      <w:r w:rsidRPr="003112A7">
        <w:t>to replace the term “in use” by the term “being transported”, discussed at the last meeting of the Sub-Committee, did not reach consensus because it was also considered to be not specific enough to address the intermediate temporary storage during transport operations, clearly distinguished from warehousing at the consignor’s or consignee’s premises.</w:t>
      </w:r>
    </w:p>
    <w:p w:rsidR="003112A7" w:rsidRPr="003112A7" w:rsidRDefault="003112A7" w:rsidP="000F632C">
      <w:pPr>
        <w:pStyle w:val="SingleTxtG"/>
        <w:numPr>
          <w:ilvl w:val="0"/>
          <w:numId w:val="16"/>
        </w:numPr>
        <w:ind w:left="1134" w:firstLine="0"/>
      </w:pPr>
      <w:r w:rsidRPr="003112A7">
        <w:t xml:space="preserve">The new proposal </w:t>
      </w:r>
      <w:r w:rsidR="00AB1A44">
        <w:rPr>
          <w:lang w:val="fr-CH"/>
        </w:rPr>
        <w:t xml:space="preserve">in document </w:t>
      </w:r>
      <w:bookmarkStart w:id="0" w:name="_GoBack"/>
      <w:bookmarkEnd w:id="0"/>
      <w:r w:rsidRPr="003112A7">
        <w:t>ST/SG/AC.10/C.3/2018/27 from ICPP, to renounce any indication under which conditions the information about the maximum permitted stacking load shall be applied, does not provide any guidance nor clarification of the issue.</w:t>
      </w:r>
    </w:p>
    <w:p w:rsidR="003112A7" w:rsidRPr="003112A7" w:rsidRDefault="003112A7" w:rsidP="000F632C">
      <w:pPr>
        <w:pStyle w:val="SingleTxtG"/>
        <w:numPr>
          <w:ilvl w:val="0"/>
          <w:numId w:val="16"/>
        </w:numPr>
        <w:ind w:left="1134" w:firstLine="0"/>
      </w:pPr>
      <w:r w:rsidRPr="003112A7">
        <w:t>Therefore, CEFIC proposes to apply the term “carriage”, already used in the Model Regulations, and to supplement a clear definition of the meaning of this term in section 1.2.1.</w:t>
      </w:r>
    </w:p>
    <w:p w:rsidR="003112A7" w:rsidRPr="003112A7" w:rsidRDefault="003112A7" w:rsidP="000F632C">
      <w:pPr>
        <w:pStyle w:val="SingleTxtG"/>
        <w:numPr>
          <w:ilvl w:val="0"/>
          <w:numId w:val="16"/>
        </w:numPr>
        <w:ind w:left="1134" w:firstLine="0"/>
      </w:pPr>
      <w:r w:rsidRPr="003112A7">
        <w:t>Based on the views shared by the delegations in the session of the Sub-Committee, the meaning of the term “carriage” could alternatively be provided by a supplementary Note to 6.5.2.2.2.</w:t>
      </w:r>
    </w:p>
    <w:p w:rsidR="003112A7" w:rsidRDefault="003112A7">
      <w:pPr>
        <w:suppressAutoHyphens w:val="0"/>
        <w:spacing w:line="240" w:lineRule="auto"/>
        <w:rPr>
          <w:b/>
          <w:sz w:val="28"/>
          <w:lang w:val="en-US"/>
        </w:rPr>
      </w:pPr>
      <w:r>
        <w:rPr>
          <w:lang w:val="en-US"/>
        </w:rPr>
        <w:br w:type="page"/>
      </w:r>
    </w:p>
    <w:p w:rsidR="003112A7" w:rsidRPr="009A0BA2" w:rsidRDefault="003112A7" w:rsidP="003112A7">
      <w:pPr>
        <w:pStyle w:val="HChG"/>
        <w:ind w:right="-1"/>
        <w:rPr>
          <w:lang w:val="en-US"/>
        </w:rPr>
      </w:pPr>
      <w:r>
        <w:rPr>
          <w:lang w:val="en-US"/>
        </w:rPr>
        <w:lastRenderedPageBreak/>
        <w:tab/>
      </w:r>
      <w:r>
        <w:rPr>
          <w:lang w:val="en-US"/>
        </w:rPr>
        <w:tab/>
      </w:r>
      <w:r w:rsidRPr="009A0BA2">
        <w:rPr>
          <w:lang w:val="en-US"/>
        </w:rPr>
        <w:t>Proposals</w:t>
      </w:r>
    </w:p>
    <w:p w:rsidR="003112A7" w:rsidRDefault="003112A7" w:rsidP="000F632C">
      <w:pPr>
        <w:pStyle w:val="SingleTxtG"/>
        <w:numPr>
          <w:ilvl w:val="0"/>
          <w:numId w:val="16"/>
        </w:numPr>
        <w:ind w:left="1134" w:firstLine="0"/>
      </w:pPr>
      <w:r w:rsidRPr="003112A7">
        <w:t xml:space="preserve">Add the following definition in 1.2.1: </w:t>
      </w:r>
    </w:p>
    <w:p w:rsidR="003112A7" w:rsidRPr="003112A7" w:rsidRDefault="003112A7" w:rsidP="003112A7">
      <w:pPr>
        <w:pStyle w:val="SingleTxtG"/>
        <w:ind w:left="1701"/>
      </w:pPr>
      <w:r w:rsidRPr="003112A7">
        <w:t>"</w:t>
      </w:r>
      <w:r w:rsidRPr="003112A7">
        <w:rPr>
          <w:i/>
          <w:iCs/>
          <w:u w:val="single"/>
        </w:rPr>
        <w:t>Carriage</w:t>
      </w:r>
      <w:r w:rsidRPr="003112A7">
        <w:rPr>
          <w:u w:val="single"/>
        </w:rPr>
        <w:t xml:space="preserve"> means the change of place of dangerous goods, including intermediate stops made necessary by transport conditions. This definition also covers the intermediate temporary storage of dangerous goods in order to change the mode or means of transport (trans-shipment).</w:t>
      </w:r>
      <w:r w:rsidRPr="003112A7">
        <w:t>”</w:t>
      </w:r>
    </w:p>
    <w:p w:rsidR="003112A7" w:rsidRDefault="003112A7" w:rsidP="003112A7">
      <w:pPr>
        <w:pStyle w:val="SingleTxtG"/>
        <w:ind w:left="1701"/>
      </w:pPr>
      <w:r w:rsidRPr="003112A7">
        <w:t xml:space="preserve">Amend the first sentence of 6.5.2.2.2 to read as follows: </w:t>
      </w:r>
    </w:p>
    <w:p w:rsidR="003112A7" w:rsidRPr="003112A7" w:rsidRDefault="003112A7" w:rsidP="003112A7">
      <w:pPr>
        <w:pStyle w:val="SingleTxtG"/>
        <w:ind w:left="1701"/>
      </w:pPr>
      <w:r w:rsidRPr="003112A7">
        <w:t xml:space="preserve">“The maximum permitted stacking load applicable </w:t>
      </w:r>
      <w:r w:rsidRPr="003112A7">
        <w:rPr>
          <w:strike/>
        </w:rPr>
        <w:t>when</w:t>
      </w:r>
      <w:r w:rsidRPr="003112A7">
        <w:t xml:space="preserve"> </w:t>
      </w:r>
      <w:r w:rsidRPr="003112A7">
        <w:rPr>
          <w:u w:val="single"/>
        </w:rPr>
        <w:t>for</w:t>
      </w:r>
      <w:r w:rsidRPr="003112A7">
        <w:t xml:space="preserve"> the IBC </w:t>
      </w:r>
      <w:r w:rsidRPr="003112A7">
        <w:rPr>
          <w:strike/>
        </w:rPr>
        <w:t>is in use</w:t>
      </w:r>
      <w:r w:rsidRPr="003112A7">
        <w:t xml:space="preserve"> </w:t>
      </w:r>
      <w:r w:rsidRPr="003112A7">
        <w:rPr>
          <w:u w:val="single"/>
        </w:rPr>
        <w:t>during carriage</w:t>
      </w:r>
      <w:r w:rsidRPr="003112A7">
        <w:t xml:space="preserve"> shall be displayed on a symbol as shown in Figure 6.5.1 or Figure 6.5.2." </w:t>
      </w:r>
    </w:p>
    <w:p w:rsidR="003112A7" w:rsidRPr="003112A7" w:rsidRDefault="003112A7" w:rsidP="003112A7">
      <w:pPr>
        <w:spacing w:before="240"/>
        <w:ind w:left="1134" w:right="1134"/>
        <w:jc w:val="center"/>
        <w:rPr>
          <w:u w:val="single"/>
          <w:lang w:val="fr-CH"/>
        </w:rPr>
      </w:pPr>
      <w:r>
        <w:rPr>
          <w:u w:val="single"/>
          <w:lang w:val="fr-CH"/>
        </w:rPr>
        <w:tab/>
      </w:r>
      <w:r>
        <w:rPr>
          <w:u w:val="single"/>
          <w:lang w:val="fr-CH"/>
        </w:rPr>
        <w:tab/>
      </w:r>
      <w:r>
        <w:rPr>
          <w:u w:val="single"/>
          <w:lang w:val="fr-CH"/>
        </w:rPr>
        <w:tab/>
      </w:r>
    </w:p>
    <w:p w:rsidR="00B666B2" w:rsidRPr="00B666B2" w:rsidRDefault="00B666B2" w:rsidP="003112A7">
      <w:pPr>
        <w:pStyle w:val="HChG"/>
        <w:rPr>
          <w:lang w:eastAsia="ja-JP"/>
        </w:rPr>
      </w:pPr>
    </w:p>
    <w:sectPr w:rsidR="00B666B2" w:rsidRPr="00B666B2" w:rsidSect="00B666B2">
      <w:headerReference w:type="even" r:id="rId8"/>
      <w:headerReference w:type="default" r:id="rId9"/>
      <w:footerReference w:type="even" r:id="rId10"/>
      <w:footerReference w:type="default" r:id="rId11"/>
      <w:type w:val="continuous"/>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F27" w:rsidRDefault="00EC1F27"/>
  </w:endnote>
  <w:endnote w:type="continuationSeparator" w:id="0">
    <w:p w:rsidR="00EC1F27" w:rsidRDefault="00EC1F27"/>
  </w:endnote>
  <w:endnote w:type="continuationNotice" w:id="1">
    <w:p w:rsidR="00EC1F27" w:rsidRDefault="00EC1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27" w:rsidRPr="00F257D1" w:rsidRDefault="00EC1F27" w:rsidP="00F257D1">
    <w:pPr>
      <w:pStyle w:val="Footer"/>
      <w:jc w:val="right"/>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AB1A44">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27" w:rsidRPr="000216CC" w:rsidRDefault="00EC1F27"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B666B2">
      <w:rPr>
        <w:b/>
        <w:noProof/>
        <w:sz w:val="18"/>
      </w:rPr>
      <w:t>97</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F27" w:rsidRPr="000B175B" w:rsidRDefault="00EC1F27" w:rsidP="000B175B">
      <w:pPr>
        <w:tabs>
          <w:tab w:val="right" w:pos="2155"/>
        </w:tabs>
        <w:spacing w:after="80"/>
        <w:ind w:left="680"/>
        <w:rPr>
          <w:u w:val="single"/>
        </w:rPr>
      </w:pPr>
      <w:r>
        <w:rPr>
          <w:u w:val="single"/>
        </w:rPr>
        <w:tab/>
      </w:r>
    </w:p>
  </w:footnote>
  <w:footnote w:type="continuationSeparator" w:id="0">
    <w:p w:rsidR="00EC1F27" w:rsidRPr="00FC68B7" w:rsidRDefault="00EC1F27" w:rsidP="00FC68B7">
      <w:pPr>
        <w:tabs>
          <w:tab w:val="left" w:pos="2155"/>
        </w:tabs>
        <w:spacing w:after="80"/>
        <w:ind w:left="680"/>
        <w:rPr>
          <w:u w:val="single"/>
        </w:rPr>
      </w:pPr>
      <w:r>
        <w:rPr>
          <w:u w:val="single"/>
        </w:rPr>
        <w:tab/>
      </w:r>
    </w:p>
  </w:footnote>
  <w:footnote w:type="continuationNotice" w:id="1">
    <w:p w:rsidR="00EC1F27" w:rsidRDefault="00EC1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27" w:rsidRPr="00B5392B" w:rsidRDefault="00EC1F27" w:rsidP="003112A7">
    <w:pPr>
      <w:pStyle w:val="Header"/>
      <w:rPr>
        <w:lang w:val="nl-NL"/>
      </w:rPr>
    </w:pPr>
    <w:r w:rsidRPr="00460B22">
      <w:rPr>
        <w:lang w:val="nl-NL"/>
      </w:rPr>
      <w:t>UN/SCETDG/53/INF.</w:t>
    </w:r>
    <w:r w:rsidR="003112A7">
      <w:rPr>
        <w:lang w:val="nl-NL"/>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27" w:rsidRPr="000216CC" w:rsidRDefault="00EC1F27" w:rsidP="000216CC">
    <w:pPr>
      <w:pStyle w:val="Header"/>
      <w:jc w:val="right"/>
    </w:pPr>
    <w:r w:rsidRPr="0059131E">
      <w:t>UN/SCETDG/</w:t>
    </w:r>
    <w:r w:rsidR="0059131E" w:rsidRPr="0059131E">
      <w:t>53</w:t>
    </w:r>
    <w:r w:rsidRPr="0059131E">
      <w:t>/INF.</w:t>
    </w:r>
    <w:r w:rsidR="0059131E" w:rsidRPr="0059131E">
      <w:t>5</w:t>
    </w:r>
    <w:r w:rsidRPr="0059131E">
      <w:br/>
      <w:t>UN/SCEGHS/</w:t>
    </w:r>
    <w:r w:rsidR="0059131E" w:rsidRPr="0059131E">
      <w:t>35</w:t>
    </w:r>
    <w:r w:rsidRPr="0059131E">
      <w:t>/INF.</w:t>
    </w:r>
    <w:r w:rsidR="0059131E" w:rsidRPr="0059131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466023"/>
    <w:multiLevelType w:val="hybridMultilevel"/>
    <w:tmpl w:val="300CB6A8"/>
    <w:lvl w:ilvl="0" w:tplc="CCF0AFE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AE"/>
    <w:rsid w:val="000133C5"/>
    <w:rsid w:val="00017D24"/>
    <w:rsid w:val="000216CC"/>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32C"/>
    <w:rsid w:val="000F6A20"/>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81019"/>
    <w:rsid w:val="0018168F"/>
    <w:rsid w:val="001835BF"/>
    <w:rsid w:val="00184B86"/>
    <w:rsid w:val="00195229"/>
    <w:rsid w:val="001A02A4"/>
    <w:rsid w:val="001B35EE"/>
    <w:rsid w:val="001B4B04"/>
    <w:rsid w:val="001B6B72"/>
    <w:rsid w:val="001C429D"/>
    <w:rsid w:val="001C6663"/>
    <w:rsid w:val="001C7895"/>
    <w:rsid w:val="001D26DF"/>
    <w:rsid w:val="001D2FDC"/>
    <w:rsid w:val="001D3123"/>
    <w:rsid w:val="001D3A88"/>
    <w:rsid w:val="001D49F7"/>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5C28"/>
    <w:rsid w:val="002976CF"/>
    <w:rsid w:val="002A0BD2"/>
    <w:rsid w:val="002A5B17"/>
    <w:rsid w:val="002B067A"/>
    <w:rsid w:val="002B1514"/>
    <w:rsid w:val="002B1CDA"/>
    <w:rsid w:val="002C7F25"/>
    <w:rsid w:val="002D5A85"/>
    <w:rsid w:val="002D5C7D"/>
    <w:rsid w:val="002E35BB"/>
    <w:rsid w:val="002F68FD"/>
    <w:rsid w:val="003107FA"/>
    <w:rsid w:val="003112A7"/>
    <w:rsid w:val="00313AC2"/>
    <w:rsid w:val="00315D73"/>
    <w:rsid w:val="00316FF9"/>
    <w:rsid w:val="00321716"/>
    <w:rsid w:val="003229D8"/>
    <w:rsid w:val="00327D0A"/>
    <w:rsid w:val="003517C3"/>
    <w:rsid w:val="00355502"/>
    <w:rsid w:val="00356BC7"/>
    <w:rsid w:val="00357A20"/>
    <w:rsid w:val="00372F06"/>
    <w:rsid w:val="00391647"/>
    <w:rsid w:val="0039260F"/>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A9B"/>
    <w:rsid w:val="00492AF9"/>
    <w:rsid w:val="00494C77"/>
    <w:rsid w:val="00497711"/>
    <w:rsid w:val="004B2C9D"/>
    <w:rsid w:val="004B5939"/>
    <w:rsid w:val="004B73D6"/>
    <w:rsid w:val="004C39D0"/>
    <w:rsid w:val="004C4F1A"/>
    <w:rsid w:val="004C6D6D"/>
    <w:rsid w:val="004E0C5D"/>
    <w:rsid w:val="004F4240"/>
    <w:rsid w:val="004F77CD"/>
    <w:rsid w:val="00507CF1"/>
    <w:rsid w:val="00522177"/>
    <w:rsid w:val="00527910"/>
    <w:rsid w:val="005420F2"/>
    <w:rsid w:val="00542505"/>
    <w:rsid w:val="005475D4"/>
    <w:rsid w:val="00555CDB"/>
    <w:rsid w:val="00561B6D"/>
    <w:rsid w:val="00562D45"/>
    <w:rsid w:val="0056615B"/>
    <w:rsid w:val="00567DFB"/>
    <w:rsid w:val="00571DAA"/>
    <w:rsid w:val="0058129D"/>
    <w:rsid w:val="00590144"/>
    <w:rsid w:val="0059131E"/>
    <w:rsid w:val="0059682C"/>
    <w:rsid w:val="005A64DD"/>
    <w:rsid w:val="005B09F0"/>
    <w:rsid w:val="005B0CED"/>
    <w:rsid w:val="005B3DB3"/>
    <w:rsid w:val="005B528A"/>
    <w:rsid w:val="005C4CB5"/>
    <w:rsid w:val="005D0C6C"/>
    <w:rsid w:val="005D1BB4"/>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64682"/>
    <w:rsid w:val="009701ED"/>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F0F06"/>
    <w:rsid w:val="009F4FC5"/>
    <w:rsid w:val="00A1427D"/>
    <w:rsid w:val="00A235F1"/>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A1D9A"/>
    <w:rsid w:val="00AA32EB"/>
    <w:rsid w:val="00AB1A44"/>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04E1"/>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50CA"/>
    <w:rsid w:val="00BE618E"/>
    <w:rsid w:val="00C0263F"/>
    <w:rsid w:val="00C03B44"/>
    <w:rsid w:val="00C05987"/>
    <w:rsid w:val="00C13A85"/>
    <w:rsid w:val="00C218A4"/>
    <w:rsid w:val="00C31519"/>
    <w:rsid w:val="00C36D37"/>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02E"/>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4E58"/>
    <w:rsid w:val="00E36838"/>
    <w:rsid w:val="00E36C10"/>
    <w:rsid w:val="00E40B76"/>
    <w:rsid w:val="00E42461"/>
    <w:rsid w:val="00E4443D"/>
    <w:rsid w:val="00E52EB0"/>
    <w:rsid w:val="00E54352"/>
    <w:rsid w:val="00E5644E"/>
    <w:rsid w:val="00E5691C"/>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A2A"/>
    <w:rsid w:val="00EE4D59"/>
    <w:rsid w:val="00EE73C3"/>
    <w:rsid w:val="00EF1D7F"/>
    <w:rsid w:val="00EF4AAC"/>
    <w:rsid w:val="00F01C57"/>
    <w:rsid w:val="00F03FA2"/>
    <w:rsid w:val="00F05283"/>
    <w:rsid w:val="00F07537"/>
    <w:rsid w:val="00F07E12"/>
    <w:rsid w:val="00F1200D"/>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37D25"/>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uiPriority w:val="99"/>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9485-9569-4A19-8685-D05016D4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2018-05-29T09:36:00Z</cp:lastPrinted>
  <dcterms:created xsi:type="dcterms:W3CDTF">2018-05-29T07:48:00Z</dcterms:created>
  <dcterms:modified xsi:type="dcterms:W3CDTF">2018-05-29T09:36:00Z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