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CB8EFBE" w14:textId="77777777" w:rsidTr="009E6CB7">
        <w:trPr>
          <w:cantSplit/>
          <w:trHeight w:hRule="exact" w:val="851"/>
        </w:trPr>
        <w:tc>
          <w:tcPr>
            <w:tcW w:w="1276" w:type="dxa"/>
            <w:tcBorders>
              <w:bottom w:val="single" w:sz="4" w:space="0" w:color="auto"/>
            </w:tcBorders>
            <w:vAlign w:val="bottom"/>
          </w:tcPr>
          <w:p w14:paraId="43284BA2" w14:textId="77777777" w:rsidR="009E6CB7" w:rsidRDefault="009E6CB7" w:rsidP="009E6CB7">
            <w:pPr>
              <w:spacing w:after="80"/>
            </w:pPr>
          </w:p>
        </w:tc>
        <w:tc>
          <w:tcPr>
            <w:tcW w:w="2268" w:type="dxa"/>
            <w:tcBorders>
              <w:bottom w:val="single" w:sz="4" w:space="0" w:color="auto"/>
            </w:tcBorders>
            <w:vAlign w:val="bottom"/>
          </w:tcPr>
          <w:p w14:paraId="7BEA5379" w14:textId="77777777"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791500D" w14:textId="791D1999" w:rsidR="009E6CB7" w:rsidRPr="00D47EEA" w:rsidRDefault="0063461B" w:rsidP="007E043A">
            <w:pPr>
              <w:jc w:val="right"/>
            </w:pPr>
            <w:r w:rsidRPr="0063461B">
              <w:rPr>
                <w:sz w:val="40"/>
              </w:rPr>
              <w:t>ST</w:t>
            </w:r>
            <w:r w:rsidR="00527E4B">
              <w:t>/</w:t>
            </w:r>
            <w:r>
              <w:t>SG/AC.10/C.3/</w:t>
            </w:r>
            <w:r w:rsidR="00C47F13">
              <w:t>10</w:t>
            </w:r>
            <w:r w:rsidR="00AB2106">
              <w:t>8</w:t>
            </w:r>
          </w:p>
        </w:tc>
      </w:tr>
      <w:tr w:rsidR="009E6CB7" w14:paraId="1F78790E" w14:textId="77777777" w:rsidTr="009E6CB7">
        <w:trPr>
          <w:cantSplit/>
          <w:trHeight w:hRule="exact" w:val="2835"/>
        </w:trPr>
        <w:tc>
          <w:tcPr>
            <w:tcW w:w="1276" w:type="dxa"/>
            <w:tcBorders>
              <w:top w:val="single" w:sz="4" w:space="0" w:color="auto"/>
              <w:bottom w:val="single" w:sz="12" w:space="0" w:color="auto"/>
            </w:tcBorders>
          </w:tcPr>
          <w:p w14:paraId="6DD230E0" w14:textId="77777777" w:rsidR="009E6CB7" w:rsidRDefault="00C82CF0" w:rsidP="009E6CB7">
            <w:pPr>
              <w:spacing w:before="120"/>
            </w:pPr>
            <w:r>
              <w:rPr>
                <w:noProof/>
                <w:lang w:eastAsia="en-GB"/>
              </w:rPr>
              <w:drawing>
                <wp:inline distT="0" distB="0" distL="0" distR="0" wp14:anchorId="76FE49E6" wp14:editId="1465FA10">
                  <wp:extent cx="71120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3A9EDF2" w14:textId="77777777" w:rsidR="009E6CB7" w:rsidRPr="00D773DF" w:rsidRDefault="008A7340" w:rsidP="009E6CB7">
            <w:pPr>
              <w:spacing w:before="120" w:line="420" w:lineRule="exact"/>
              <w:rPr>
                <w:sz w:val="40"/>
                <w:szCs w:val="40"/>
              </w:rPr>
            </w:pPr>
            <w:r>
              <w:rPr>
                <w:b/>
                <w:sz w:val="40"/>
                <w:szCs w:val="40"/>
              </w:rPr>
              <w:t>Secretariat</w:t>
            </w:r>
          </w:p>
        </w:tc>
        <w:tc>
          <w:tcPr>
            <w:tcW w:w="2835" w:type="dxa"/>
            <w:tcBorders>
              <w:top w:val="single" w:sz="4" w:space="0" w:color="auto"/>
              <w:bottom w:val="single" w:sz="12" w:space="0" w:color="auto"/>
            </w:tcBorders>
          </w:tcPr>
          <w:p w14:paraId="191A3E66" w14:textId="77777777" w:rsidR="0063461B" w:rsidRDefault="0063461B" w:rsidP="0063461B">
            <w:pPr>
              <w:spacing w:before="240" w:line="240" w:lineRule="exact"/>
            </w:pPr>
            <w:r>
              <w:t>Distr.: General</w:t>
            </w:r>
          </w:p>
          <w:p w14:paraId="1ED88E99" w14:textId="32854684" w:rsidR="0063461B" w:rsidRDefault="004A5507" w:rsidP="00F245A8">
            <w:pPr>
              <w:spacing w:line="240" w:lineRule="exact"/>
            </w:pPr>
            <w:r>
              <w:t>21</w:t>
            </w:r>
            <w:r w:rsidR="007A5E7E" w:rsidRPr="006E0761">
              <w:t xml:space="preserve"> December </w:t>
            </w:r>
            <w:r w:rsidR="00BC5968" w:rsidRPr="006E0761">
              <w:t>2018</w:t>
            </w:r>
          </w:p>
          <w:p w14:paraId="74E33841" w14:textId="77777777" w:rsidR="00E400BD" w:rsidRDefault="00E400BD" w:rsidP="00D41DD3">
            <w:pPr>
              <w:spacing w:line="240" w:lineRule="exact"/>
            </w:pPr>
          </w:p>
          <w:p w14:paraId="4BF20A0D" w14:textId="77777777" w:rsidR="009E6CB7" w:rsidRDefault="0063461B" w:rsidP="00D41DD3">
            <w:pPr>
              <w:spacing w:line="240" w:lineRule="exact"/>
            </w:pPr>
            <w:r>
              <w:t>Original: English</w:t>
            </w:r>
            <w:r w:rsidR="00E400BD">
              <w:t xml:space="preserve"> </w:t>
            </w:r>
          </w:p>
        </w:tc>
      </w:tr>
    </w:tbl>
    <w:p w14:paraId="6BC8C9E0" w14:textId="77777777" w:rsidR="003133C5" w:rsidRPr="0004101D" w:rsidRDefault="003133C5" w:rsidP="003133C5">
      <w:pPr>
        <w:spacing w:before="120"/>
        <w:rPr>
          <w:b/>
          <w:sz w:val="24"/>
          <w:szCs w:val="24"/>
        </w:rPr>
      </w:pPr>
      <w:r w:rsidRPr="0004101D">
        <w:rPr>
          <w:b/>
          <w:sz w:val="24"/>
          <w:szCs w:val="24"/>
        </w:rPr>
        <w:t>Committee of Experts on the Transport of</w:t>
      </w:r>
      <w:r w:rsidR="0004101D">
        <w:rPr>
          <w:b/>
          <w:sz w:val="24"/>
          <w:szCs w:val="24"/>
        </w:rPr>
        <w:t xml:space="preserve"> </w:t>
      </w:r>
      <w:r w:rsidRPr="0004101D">
        <w:rPr>
          <w:b/>
          <w:sz w:val="24"/>
          <w:szCs w:val="24"/>
        </w:rPr>
        <w:t xml:space="preserve">Dangerous Goods </w:t>
      </w:r>
      <w:r w:rsidR="0004101D">
        <w:rPr>
          <w:b/>
          <w:sz w:val="24"/>
          <w:szCs w:val="24"/>
        </w:rPr>
        <w:br/>
      </w:r>
      <w:r w:rsidRPr="0004101D">
        <w:rPr>
          <w:b/>
          <w:sz w:val="24"/>
          <w:szCs w:val="24"/>
        </w:rPr>
        <w:t>and on the Globally</w:t>
      </w:r>
      <w:r w:rsidR="0004101D">
        <w:rPr>
          <w:b/>
          <w:sz w:val="24"/>
          <w:szCs w:val="24"/>
        </w:rPr>
        <w:t xml:space="preserve"> </w:t>
      </w:r>
      <w:r w:rsidRPr="0004101D">
        <w:rPr>
          <w:b/>
          <w:sz w:val="24"/>
          <w:szCs w:val="24"/>
        </w:rPr>
        <w:t xml:space="preserve">Harmonized System of Classification </w:t>
      </w:r>
      <w:r w:rsidR="0004101D">
        <w:rPr>
          <w:b/>
          <w:sz w:val="24"/>
          <w:szCs w:val="24"/>
        </w:rPr>
        <w:br/>
      </w:r>
      <w:r w:rsidRPr="0004101D">
        <w:rPr>
          <w:b/>
          <w:sz w:val="24"/>
          <w:szCs w:val="24"/>
        </w:rPr>
        <w:t>and</w:t>
      </w:r>
      <w:r w:rsidR="0004101D">
        <w:rPr>
          <w:b/>
          <w:sz w:val="24"/>
          <w:szCs w:val="24"/>
        </w:rPr>
        <w:t xml:space="preserve"> </w:t>
      </w:r>
      <w:r w:rsidRPr="0004101D">
        <w:rPr>
          <w:b/>
          <w:sz w:val="24"/>
          <w:szCs w:val="24"/>
        </w:rPr>
        <w:t>Labelling of Chemicals</w:t>
      </w:r>
    </w:p>
    <w:p w14:paraId="10F594A2" w14:textId="77777777" w:rsidR="003133C5" w:rsidRPr="0004101D" w:rsidRDefault="003133C5" w:rsidP="00880C45">
      <w:pPr>
        <w:tabs>
          <w:tab w:val="left" w:pos="0"/>
          <w:tab w:val="left" w:pos="6361"/>
          <w:tab w:val="left" w:pos="6939"/>
        </w:tabs>
        <w:spacing w:before="120"/>
        <w:outlineLvl w:val="0"/>
        <w:rPr>
          <w:b/>
        </w:rPr>
      </w:pPr>
      <w:r w:rsidRPr="0004101D">
        <w:rPr>
          <w:b/>
        </w:rPr>
        <w:t xml:space="preserve">Sub-Committee of Experts on the Transport of Dangerous Goods </w:t>
      </w:r>
    </w:p>
    <w:p w14:paraId="3853C0E0" w14:textId="03B438CF" w:rsidR="003133C5" w:rsidRPr="00E40772" w:rsidRDefault="003133C5" w:rsidP="00F245A8">
      <w:pPr>
        <w:pStyle w:val="HChG"/>
        <w:spacing w:before="240" w:after="120"/>
      </w:pPr>
      <w:r>
        <w:tab/>
      </w:r>
      <w:r>
        <w:tab/>
        <w:t xml:space="preserve">Report of the Sub-Committee of Experts on </w:t>
      </w:r>
      <w:r w:rsidR="00B54CC3">
        <w:t xml:space="preserve">the Transport of Dangerous Goods on </w:t>
      </w:r>
      <w:r>
        <w:t xml:space="preserve">its </w:t>
      </w:r>
      <w:r w:rsidR="007E043A">
        <w:t>fifty-</w:t>
      </w:r>
      <w:r w:rsidR="00AB2106">
        <w:t xml:space="preserve">fourth </w:t>
      </w:r>
      <w:r>
        <w:t>session</w:t>
      </w:r>
    </w:p>
    <w:p w14:paraId="001B29CB" w14:textId="79C376B6" w:rsidR="003133C5" w:rsidRDefault="00837038" w:rsidP="00F43C0F">
      <w:pPr>
        <w:pStyle w:val="H23G"/>
        <w:spacing w:before="120" w:after="240"/>
        <w:rPr>
          <w:b w:val="0"/>
        </w:rPr>
      </w:pPr>
      <w:r>
        <w:tab/>
      </w:r>
      <w:r>
        <w:tab/>
      </w:r>
      <w:r w:rsidR="00F245A8">
        <w:rPr>
          <w:b w:val="0"/>
        </w:rPr>
        <w:t>h</w:t>
      </w:r>
      <w:r>
        <w:rPr>
          <w:b w:val="0"/>
        </w:rPr>
        <w:t xml:space="preserve">eld in Geneva from </w:t>
      </w:r>
      <w:r w:rsidR="00C47F13">
        <w:rPr>
          <w:b w:val="0"/>
        </w:rPr>
        <w:t>2</w:t>
      </w:r>
      <w:r w:rsidR="00AB2106">
        <w:rPr>
          <w:b w:val="0"/>
        </w:rPr>
        <w:t>6</w:t>
      </w:r>
      <w:r w:rsidR="00F12C97">
        <w:rPr>
          <w:b w:val="0"/>
        </w:rPr>
        <w:t xml:space="preserve"> November to </w:t>
      </w:r>
      <w:r w:rsidR="00AB2106">
        <w:rPr>
          <w:b w:val="0"/>
        </w:rPr>
        <w:t>4</w:t>
      </w:r>
      <w:r w:rsidR="00F12C97">
        <w:rPr>
          <w:b w:val="0"/>
        </w:rPr>
        <w:t xml:space="preserve"> December</w:t>
      </w:r>
      <w:r w:rsidR="00AB2106">
        <w:rPr>
          <w:b w:val="0"/>
        </w:rPr>
        <w:t xml:space="preserve"> 2018</w:t>
      </w:r>
    </w:p>
    <w:p w14:paraId="2D1F111C" w14:textId="77777777" w:rsidR="003133C5" w:rsidRPr="00BB7154" w:rsidRDefault="003133C5" w:rsidP="00840842">
      <w:pPr>
        <w:spacing w:line="200" w:lineRule="atLeast"/>
        <w:rPr>
          <w:sz w:val="28"/>
          <w:lang w:val="fr-CH"/>
        </w:rPr>
      </w:pPr>
      <w:r w:rsidRPr="00BB7154">
        <w:rPr>
          <w:sz w:val="28"/>
          <w:lang w:val="fr-CH"/>
        </w:rPr>
        <w:t>Contents</w:t>
      </w:r>
    </w:p>
    <w:p w14:paraId="1BE03A24" w14:textId="77777777" w:rsidR="003133C5" w:rsidRPr="00BB7154" w:rsidRDefault="003133C5" w:rsidP="003133C5">
      <w:pPr>
        <w:tabs>
          <w:tab w:val="right" w:pos="8929"/>
          <w:tab w:val="right" w:pos="9638"/>
        </w:tabs>
        <w:spacing w:after="120"/>
        <w:ind w:left="283"/>
        <w:rPr>
          <w:lang w:val="fr-CH"/>
        </w:rPr>
      </w:pPr>
      <w:r w:rsidRPr="00BB7154">
        <w:rPr>
          <w:i/>
          <w:sz w:val="18"/>
          <w:lang w:val="fr-CH"/>
        </w:rPr>
        <w:tab/>
        <w:t>Paragraphs</w:t>
      </w:r>
      <w:r w:rsidRPr="00BB7154">
        <w:rPr>
          <w:i/>
          <w:sz w:val="18"/>
          <w:lang w:val="fr-CH"/>
        </w:rPr>
        <w:tab/>
        <w:t>Page</w:t>
      </w:r>
    </w:p>
    <w:p w14:paraId="04232636" w14:textId="417B8598" w:rsidR="0007221F" w:rsidRPr="00E22987" w:rsidRDefault="0007221F" w:rsidP="0007221F">
      <w:pPr>
        <w:tabs>
          <w:tab w:val="right" w:pos="850"/>
          <w:tab w:val="left" w:pos="1134"/>
          <w:tab w:val="left" w:pos="1559"/>
          <w:tab w:val="left" w:pos="1984"/>
          <w:tab w:val="left" w:leader="dot" w:pos="7654"/>
          <w:tab w:val="right" w:pos="8929"/>
          <w:tab w:val="right" w:pos="9638"/>
        </w:tabs>
        <w:spacing w:after="120"/>
        <w:rPr>
          <w:lang w:val="fr-CH"/>
        </w:rPr>
      </w:pPr>
      <w:r w:rsidRPr="00BB7154">
        <w:rPr>
          <w:lang w:val="fr-CH"/>
        </w:rPr>
        <w:tab/>
      </w:r>
      <w:r w:rsidRPr="00E22987">
        <w:rPr>
          <w:lang w:val="fr-CH"/>
        </w:rPr>
        <w:t>I.</w:t>
      </w:r>
      <w:r w:rsidRPr="00E22987">
        <w:rPr>
          <w:lang w:val="fr-CH"/>
        </w:rPr>
        <w:tab/>
        <w:t>Attendance</w:t>
      </w:r>
      <w:r w:rsidRPr="00E22987">
        <w:rPr>
          <w:lang w:val="fr-CH"/>
        </w:rPr>
        <w:tab/>
      </w:r>
      <w:r w:rsidRPr="00E22987">
        <w:rPr>
          <w:lang w:val="fr-CH"/>
        </w:rPr>
        <w:tab/>
      </w:r>
      <w:r w:rsidR="00293E47">
        <w:rPr>
          <w:lang w:val="fr-CH"/>
        </w:rPr>
        <w:t>1-6</w:t>
      </w:r>
      <w:r w:rsidR="00293E47">
        <w:rPr>
          <w:lang w:val="fr-CH"/>
        </w:rPr>
        <w:tab/>
        <w:t>5</w:t>
      </w:r>
    </w:p>
    <w:p w14:paraId="70A9AF9F" w14:textId="1AA2A5FB" w:rsidR="00FF4F8C" w:rsidRPr="00E22987" w:rsidRDefault="00FF4F8C" w:rsidP="00FF4F8C">
      <w:pPr>
        <w:tabs>
          <w:tab w:val="right" w:pos="850"/>
          <w:tab w:val="left" w:pos="1134"/>
          <w:tab w:val="left" w:pos="1559"/>
          <w:tab w:val="left" w:pos="1984"/>
          <w:tab w:val="left" w:leader="dot" w:pos="7654"/>
          <w:tab w:val="right" w:pos="8929"/>
          <w:tab w:val="right" w:pos="9638"/>
        </w:tabs>
        <w:spacing w:after="120"/>
      </w:pPr>
      <w:r w:rsidRPr="00E22987">
        <w:rPr>
          <w:lang w:val="fr-CH"/>
        </w:rPr>
        <w:tab/>
      </w:r>
      <w:r w:rsidRPr="00E22987">
        <w:t>II.</w:t>
      </w:r>
      <w:r w:rsidRPr="00E22987">
        <w:tab/>
        <w:t>Adoption of the agenda (agenda item 1)</w:t>
      </w:r>
      <w:r w:rsidRPr="00E22987">
        <w:tab/>
      </w:r>
      <w:r w:rsidRPr="00E22987">
        <w:tab/>
      </w:r>
      <w:r w:rsidR="00FE646B">
        <w:t>7</w:t>
      </w:r>
      <w:r w:rsidR="00FE646B">
        <w:tab/>
        <w:t>6</w:t>
      </w:r>
    </w:p>
    <w:p w14:paraId="38C3585B" w14:textId="4EEC9DD9" w:rsidR="00FF4F8C" w:rsidRPr="00E22987" w:rsidRDefault="00FF4F8C" w:rsidP="00FF4F8C">
      <w:pPr>
        <w:tabs>
          <w:tab w:val="right" w:pos="850"/>
          <w:tab w:val="left" w:pos="1134"/>
          <w:tab w:val="left" w:pos="1559"/>
          <w:tab w:val="left" w:pos="1984"/>
          <w:tab w:val="left" w:leader="dot" w:pos="7654"/>
          <w:tab w:val="right" w:pos="8929"/>
          <w:tab w:val="right" w:pos="9638"/>
        </w:tabs>
        <w:spacing w:after="120"/>
        <w:rPr>
          <w:bCs/>
        </w:rPr>
      </w:pPr>
      <w:r w:rsidRPr="00E22987">
        <w:tab/>
        <w:t>III.</w:t>
      </w:r>
      <w:r w:rsidRPr="00E22987">
        <w:tab/>
        <w:t xml:space="preserve">Recommendations made by the Sub-Committee on its </w:t>
      </w:r>
      <w:r w:rsidR="00B46683" w:rsidRPr="00E22987">
        <w:t xml:space="preserve">fifty-first, fifty-second </w:t>
      </w:r>
      <w:r w:rsidR="00B46683" w:rsidRPr="00E22987">
        <w:br/>
      </w:r>
      <w:r w:rsidR="00466E4E" w:rsidRPr="00E22987">
        <w:tab/>
      </w:r>
      <w:r w:rsidR="00466E4E" w:rsidRPr="00E22987">
        <w:tab/>
      </w:r>
      <w:r w:rsidR="00B46683" w:rsidRPr="00E22987">
        <w:t xml:space="preserve">and </w:t>
      </w:r>
      <w:r w:rsidR="00466E4E" w:rsidRPr="00E22987">
        <w:t xml:space="preserve">fifty-third sessions and </w:t>
      </w:r>
      <w:r w:rsidRPr="00E22987">
        <w:t>pending issues (agenda item 2)</w:t>
      </w:r>
      <w:r w:rsidRPr="00E22987">
        <w:rPr>
          <w:bCs/>
        </w:rPr>
        <w:tab/>
      </w:r>
      <w:r w:rsidRPr="00E22987">
        <w:rPr>
          <w:bCs/>
        </w:rPr>
        <w:tab/>
      </w:r>
      <w:r w:rsidR="00293E47">
        <w:rPr>
          <w:bCs/>
        </w:rPr>
        <w:t>8-94</w:t>
      </w:r>
      <w:r w:rsidR="00293E47">
        <w:rPr>
          <w:bCs/>
        </w:rPr>
        <w:tab/>
        <w:t>6</w:t>
      </w:r>
    </w:p>
    <w:p w14:paraId="5FDBD49D" w14:textId="37CCC1CB" w:rsidR="0007221F" w:rsidRPr="00E22987" w:rsidRDefault="0007221F" w:rsidP="0007221F">
      <w:pPr>
        <w:tabs>
          <w:tab w:val="right" w:pos="850"/>
          <w:tab w:val="left" w:pos="1134"/>
          <w:tab w:val="left" w:pos="1559"/>
          <w:tab w:val="left" w:pos="1984"/>
          <w:tab w:val="left" w:leader="dot" w:pos="7654"/>
          <w:tab w:val="right" w:pos="8929"/>
          <w:tab w:val="right" w:pos="9638"/>
        </w:tabs>
        <w:spacing w:before="120" w:after="120"/>
      </w:pPr>
      <w:r w:rsidRPr="00E22987">
        <w:tab/>
      </w:r>
      <w:r w:rsidRPr="00E22987">
        <w:tab/>
      </w:r>
      <w:r w:rsidR="00022685" w:rsidRPr="00E22987">
        <w:t>A</w:t>
      </w:r>
      <w:r w:rsidR="00CF3C5D" w:rsidRPr="00E22987">
        <w:t>.</w:t>
      </w:r>
      <w:r w:rsidR="00087D93" w:rsidRPr="00E22987">
        <w:tab/>
      </w:r>
      <w:r w:rsidR="00466E4E" w:rsidRPr="00E22987">
        <w:t>Review of draft amendments already adopted during the biennium</w:t>
      </w:r>
      <w:r w:rsidRPr="00E22987">
        <w:tab/>
      </w:r>
      <w:r w:rsidRPr="00E22987">
        <w:tab/>
      </w:r>
      <w:r w:rsidR="00293E47">
        <w:t>8-10</w:t>
      </w:r>
      <w:r w:rsidR="00293E47">
        <w:tab/>
        <w:t>6</w:t>
      </w:r>
    </w:p>
    <w:p w14:paraId="0FC81783" w14:textId="416F98F0" w:rsidR="005C6D03" w:rsidRPr="00E22987" w:rsidRDefault="005C6D03" w:rsidP="005C6D03">
      <w:pPr>
        <w:tabs>
          <w:tab w:val="right" w:pos="850"/>
          <w:tab w:val="left" w:pos="1134"/>
          <w:tab w:val="left" w:pos="1559"/>
          <w:tab w:val="left" w:pos="1984"/>
          <w:tab w:val="left" w:leader="dot" w:pos="7654"/>
          <w:tab w:val="right" w:pos="8929"/>
          <w:tab w:val="right" w:pos="9638"/>
        </w:tabs>
        <w:spacing w:before="120" w:after="120"/>
      </w:pPr>
      <w:r w:rsidRPr="00E22987">
        <w:tab/>
      </w:r>
      <w:r w:rsidRPr="00E22987">
        <w:tab/>
        <w:t>B.</w:t>
      </w:r>
      <w:r w:rsidRPr="00E22987">
        <w:tab/>
        <w:t>Explosives and related matters</w:t>
      </w:r>
      <w:r w:rsidRPr="00E22987">
        <w:tab/>
      </w:r>
      <w:r w:rsidRPr="00E22987">
        <w:tab/>
      </w:r>
      <w:r w:rsidR="00293E47">
        <w:t>11-34</w:t>
      </w:r>
      <w:r w:rsidR="00293E47">
        <w:tab/>
        <w:t>7</w:t>
      </w:r>
    </w:p>
    <w:p w14:paraId="74A7FBB8" w14:textId="06804B37" w:rsidR="005C6D03" w:rsidRPr="00E22987" w:rsidRDefault="005C6D03" w:rsidP="0007221F">
      <w:pPr>
        <w:tabs>
          <w:tab w:val="right" w:pos="850"/>
          <w:tab w:val="left" w:pos="1134"/>
          <w:tab w:val="left" w:pos="1559"/>
          <w:tab w:val="left" w:pos="1984"/>
          <w:tab w:val="left" w:leader="dot" w:pos="7654"/>
          <w:tab w:val="right" w:pos="8929"/>
          <w:tab w:val="right" w:pos="9638"/>
        </w:tabs>
        <w:spacing w:before="120" w:after="120"/>
      </w:pPr>
      <w:r w:rsidRPr="00E22987">
        <w:tab/>
      </w:r>
      <w:r w:rsidRPr="00E22987">
        <w:tab/>
      </w:r>
      <w:r w:rsidRPr="00E22987">
        <w:tab/>
        <w:t>1.</w:t>
      </w:r>
      <w:r w:rsidRPr="00E22987">
        <w:tab/>
        <w:t>Recommendations for Test Series 8</w:t>
      </w:r>
      <w:r w:rsidR="0007221F" w:rsidRPr="00E22987">
        <w:tab/>
      </w:r>
      <w:r w:rsidR="00293E47">
        <w:tab/>
        <w:t>15</w:t>
      </w:r>
      <w:r w:rsidR="00293E47">
        <w:tab/>
        <w:t>7</w:t>
      </w:r>
    </w:p>
    <w:p w14:paraId="24245CA7" w14:textId="4DC6D1AA" w:rsidR="005C6D03" w:rsidRPr="00E22987" w:rsidRDefault="005C6D03" w:rsidP="005C6D03">
      <w:pPr>
        <w:tabs>
          <w:tab w:val="right" w:pos="850"/>
          <w:tab w:val="left" w:pos="1134"/>
          <w:tab w:val="left" w:pos="1559"/>
          <w:tab w:val="left" w:pos="1984"/>
          <w:tab w:val="left" w:leader="dot" w:pos="7654"/>
          <w:tab w:val="right" w:pos="8929"/>
          <w:tab w:val="right" w:pos="9638"/>
        </w:tabs>
        <w:spacing w:before="120" w:after="120"/>
        <w:ind w:left="1980" w:hanging="1980"/>
      </w:pPr>
      <w:r w:rsidRPr="00E22987">
        <w:tab/>
      </w:r>
      <w:r w:rsidRPr="00E22987">
        <w:tab/>
      </w:r>
      <w:r w:rsidRPr="00E22987">
        <w:tab/>
        <w:t>2.</w:t>
      </w:r>
      <w:r w:rsidRPr="00E22987">
        <w:tab/>
        <w:t xml:space="preserve">Application of the default fireworks classification table for </w:t>
      </w:r>
      <w:r w:rsidRPr="00E22987">
        <w:br/>
        <w:t>classification of certain articles, pyrotechnic UN 0431</w:t>
      </w:r>
      <w:r w:rsidR="00FE646B">
        <w:tab/>
      </w:r>
      <w:r w:rsidR="00FE646B">
        <w:tab/>
        <w:t>16-17</w:t>
      </w:r>
      <w:r w:rsidR="00FE646B">
        <w:tab/>
        <w:t>8</w:t>
      </w:r>
    </w:p>
    <w:p w14:paraId="13D4526E" w14:textId="2DAD3031" w:rsidR="005C6D03" w:rsidRPr="00E22987" w:rsidRDefault="005C6D03" w:rsidP="005C6D03">
      <w:pPr>
        <w:tabs>
          <w:tab w:val="right" w:pos="850"/>
          <w:tab w:val="left" w:pos="1134"/>
          <w:tab w:val="left" w:pos="1559"/>
          <w:tab w:val="left" w:pos="1984"/>
          <w:tab w:val="left" w:leader="dot" w:pos="7654"/>
          <w:tab w:val="right" w:pos="8929"/>
          <w:tab w:val="right" w:pos="9638"/>
        </w:tabs>
        <w:spacing w:before="120" w:after="120"/>
        <w:ind w:left="1980" w:hanging="1980"/>
      </w:pPr>
      <w:r w:rsidRPr="00E22987">
        <w:tab/>
      </w:r>
      <w:r w:rsidRPr="00E22987">
        <w:tab/>
      </w:r>
      <w:r w:rsidRPr="00E22987">
        <w:tab/>
        <w:t>3.</w:t>
      </w:r>
      <w:r w:rsidRPr="00E22987">
        <w:tab/>
        <w:t>Amendments to the list of items assigned to LP101</w:t>
      </w:r>
      <w:r w:rsidRPr="00E22987">
        <w:tab/>
      </w:r>
      <w:r w:rsidR="00293E47">
        <w:tab/>
        <w:t>18</w:t>
      </w:r>
      <w:r w:rsidR="00293E47">
        <w:tab/>
        <w:t>8</w:t>
      </w:r>
    </w:p>
    <w:p w14:paraId="2E4C45CC" w14:textId="2CF61081" w:rsidR="005C6D03" w:rsidRPr="00E22987" w:rsidRDefault="005C6D03" w:rsidP="005C6D03">
      <w:pPr>
        <w:tabs>
          <w:tab w:val="right" w:pos="850"/>
          <w:tab w:val="left" w:pos="1134"/>
          <w:tab w:val="left" w:pos="1559"/>
          <w:tab w:val="left" w:pos="1984"/>
          <w:tab w:val="left" w:leader="dot" w:pos="7654"/>
          <w:tab w:val="right" w:pos="8929"/>
          <w:tab w:val="right" w:pos="9638"/>
        </w:tabs>
        <w:spacing w:before="120" w:after="120"/>
        <w:ind w:left="1980" w:hanging="1980"/>
      </w:pPr>
      <w:r w:rsidRPr="00E22987">
        <w:tab/>
      </w:r>
      <w:r w:rsidRPr="00E22987">
        <w:tab/>
      </w:r>
      <w:r w:rsidRPr="00E22987">
        <w:tab/>
        <w:t>4.</w:t>
      </w:r>
      <w:r w:rsidRPr="00E22987">
        <w:tab/>
        <w:t>Reassignment of PP67 and L1 to a new special provision</w:t>
      </w:r>
      <w:r w:rsidRPr="00E22987">
        <w:tab/>
      </w:r>
      <w:r w:rsidRPr="00E22987">
        <w:tab/>
      </w:r>
      <w:r w:rsidR="00293E47">
        <w:t>19-20</w:t>
      </w:r>
      <w:r w:rsidR="00293E47">
        <w:tab/>
        <w:t>8</w:t>
      </w:r>
    </w:p>
    <w:p w14:paraId="159B6E0F" w14:textId="73B5C747" w:rsidR="005C6D03" w:rsidRPr="00E22987" w:rsidRDefault="005C6D03" w:rsidP="005C6D03">
      <w:pPr>
        <w:tabs>
          <w:tab w:val="right" w:pos="850"/>
          <w:tab w:val="left" w:pos="1134"/>
          <w:tab w:val="left" w:pos="1559"/>
          <w:tab w:val="left" w:pos="1984"/>
          <w:tab w:val="left" w:leader="dot" w:pos="7654"/>
          <w:tab w:val="right" w:pos="8929"/>
          <w:tab w:val="right" w:pos="9638"/>
        </w:tabs>
        <w:spacing w:before="120" w:after="120"/>
        <w:ind w:left="1980" w:hanging="1980"/>
      </w:pPr>
      <w:r w:rsidRPr="00E22987">
        <w:tab/>
      </w:r>
      <w:r w:rsidRPr="00E22987">
        <w:tab/>
      </w:r>
      <w:r w:rsidRPr="00E22987">
        <w:tab/>
        <w:t>5.</w:t>
      </w:r>
      <w:r w:rsidRPr="00E22987">
        <w:tab/>
        <w:t>Self-inflating recovery devices</w:t>
      </w:r>
      <w:r w:rsidRPr="00E22987">
        <w:tab/>
      </w:r>
      <w:r w:rsidR="00293E47">
        <w:tab/>
        <w:t>21</w:t>
      </w:r>
      <w:r w:rsidR="00293E47">
        <w:tab/>
        <w:t>8</w:t>
      </w:r>
    </w:p>
    <w:p w14:paraId="5B906903" w14:textId="24986E50" w:rsidR="005C6D03" w:rsidRPr="00E22987" w:rsidRDefault="005C6D03" w:rsidP="005C6D03">
      <w:pPr>
        <w:tabs>
          <w:tab w:val="right" w:pos="850"/>
          <w:tab w:val="left" w:pos="1134"/>
          <w:tab w:val="left" w:pos="1559"/>
          <w:tab w:val="left" w:pos="1984"/>
          <w:tab w:val="left" w:leader="dot" w:pos="7654"/>
          <w:tab w:val="right" w:pos="8929"/>
          <w:tab w:val="right" w:pos="9638"/>
        </w:tabs>
        <w:spacing w:before="120" w:after="120"/>
        <w:ind w:left="1980" w:hanging="1980"/>
      </w:pPr>
      <w:r w:rsidRPr="00E22987">
        <w:tab/>
      </w:r>
      <w:r w:rsidRPr="00E22987">
        <w:tab/>
      </w:r>
      <w:r w:rsidRPr="00E22987">
        <w:tab/>
        <w:t>6.</w:t>
      </w:r>
      <w:r w:rsidRPr="00E22987">
        <w:tab/>
        <w:t>Review of Chapter 2.1 of the GHS</w:t>
      </w:r>
      <w:r w:rsidRPr="00E22987">
        <w:tab/>
      </w:r>
      <w:r w:rsidRPr="00E22987">
        <w:tab/>
      </w:r>
      <w:r w:rsidR="00FE646B">
        <w:t>22-24</w:t>
      </w:r>
      <w:r w:rsidR="00FE646B">
        <w:tab/>
        <w:t>9</w:t>
      </w:r>
    </w:p>
    <w:p w14:paraId="1266B3E3" w14:textId="6B4A9CA2" w:rsidR="005C6D03" w:rsidRPr="00E22987" w:rsidRDefault="005C6D03" w:rsidP="005C6D03">
      <w:pPr>
        <w:tabs>
          <w:tab w:val="right" w:pos="850"/>
          <w:tab w:val="left" w:pos="1134"/>
          <w:tab w:val="left" w:pos="1559"/>
          <w:tab w:val="left" w:pos="1984"/>
          <w:tab w:val="left" w:leader="dot" w:pos="7654"/>
          <w:tab w:val="right" w:pos="8929"/>
          <w:tab w:val="right" w:pos="9638"/>
        </w:tabs>
        <w:spacing w:before="120" w:after="120"/>
        <w:ind w:left="1980" w:hanging="1980"/>
      </w:pPr>
      <w:r w:rsidRPr="00E22987">
        <w:tab/>
      </w:r>
      <w:r w:rsidRPr="00E22987">
        <w:tab/>
      </w:r>
      <w:r w:rsidRPr="00E22987">
        <w:tab/>
        <w:t>7.</w:t>
      </w:r>
      <w:r w:rsidRPr="00E22987">
        <w:tab/>
        <w:t xml:space="preserve">Review of draft amendments previously adopted by the Sub-Committee </w:t>
      </w:r>
      <w:r w:rsidRPr="00E22987">
        <w:br/>
        <w:t>during the biennium</w:t>
      </w:r>
      <w:r w:rsidRPr="00E22987">
        <w:tab/>
      </w:r>
      <w:r w:rsidRPr="00E22987">
        <w:tab/>
      </w:r>
      <w:r w:rsidR="00293E47">
        <w:t>25</w:t>
      </w:r>
      <w:r w:rsidR="00293E47">
        <w:tab/>
        <w:t>9</w:t>
      </w:r>
    </w:p>
    <w:p w14:paraId="538AEAAD" w14:textId="295D241A" w:rsidR="005C6D03" w:rsidRPr="00E22987" w:rsidRDefault="005C6D03" w:rsidP="005C6D03">
      <w:pPr>
        <w:tabs>
          <w:tab w:val="right" w:pos="850"/>
          <w:tab w:val="left" w:pos="1134"/>
          <w:tab w:val="left" w:pos="1559"/>
          <w:tab w:val="left" w:pos="1984"/>
          <w:tab w:val="left" w:leader="dot" w:pos="7654"/>
          <w:tab w:val="right" w:pos="8929"/>
          <w:tab w:val="right" w:pos="9638"/>
        </w:tabs>
        <w:spacing w:before="120" w:after="120"/>
        <w:ind w:left="1980" w:hanging="1980"/>
      </w:pPr>
      <w:r w:rsidRPr="00E22987">
        <w:tab/>
      </w:r>
      <w:r w:rsidRPr="00E22987">
        <w:tab/>
      </w:r>
      <w:r w:rsidRPr="00E22987">
        <w:tab/>
        <w:t>8.</w:t>
      </w:r>
      <w:r w:rsidRPr="00E22987">
        <w:tab/>
      </w:r>
      <w:r w:rsidRPr="00E22987">
        <w:tab/>
        <w:t>Classification of ammonium nitrate (UN 0222)</w:t>
      </w:r>
      <w:r w:rsidRPr="00E22987">
        <w:tab/>
      </w:r>
      <w:r w:rsidRPr="00E22987">
        <w:tab/>
      </w:r>
      <w:r w:rsidR="00293E47">
        <w:t>26</w:t>
      </w:r>
      <w:r w:rsidR="00293E47">
        <w:tab/>
        <w:t>9</w:t>
      </w:r>
    </w:p>
    <w:p w14:paraId="777ACE36" w14:textId="08D50B90" w:rsidR="005C6D03" w:rsidRPr="00E22987" w:rsidRDefault="005C6D03" w:rsidP="005C6D03">
      <w:pPr>
        <w:tabs>
          <w:tab w:val="right" w:pos="850"/>
          <w:tab w:val="left" w:pos="1134"/>
          <w:tab w:val="left" w:pos="1559"/>
          <w:tab w:val="left" w:pos="1984"/>
          <w:tab w:val="left" w:leader="dot" w:pos="7654"/>
          <w:tab w:val="right" w:pos="8929"/>
          <w:tab w:val="right" w:pos="9638"/>
        </w:tabs>
        <w:spacing w:before="120" w:after="120"/>
        <w:ind w:left="1980" w:hanging="1980"/>
      </w:pPr>
      <w:r w:rsidRPr="00E22987">
        <w:tab/>
      </w:r>
      <w:r w:rsidRPr="00E22987">
        <w:tab/>
      </w:r>
      <w:r w:rsidRPr="00E22987">
        <w:tab/>
        <w:t>9.</w:t>
      </w:r>
      <w:r w:rsidRPr="00E22987">
        <w:tab/>
        <w:t>Transport of energetic samples</w:t>
      </w:r>
      <w:r w:rsidRPr="00E22987">
        <w:tab/>
      </w:r>
      <w:r w:rsidRPr="00E22987">
        <w:tab/>
      </w:r>
      <w:r w:rsidR="00FE646B">
        <w:t>27-28</w:t>
      </w:r>
      <w:r w:rsidR="00FE646B">
        <w:tab/>
        <w:t>10</w:t>
      </w:r>
    </w:p>
    <w:p w14:paraId="75E3B79D" w14:textId="4630880F" w:rsidR="005C6D03" w:rsidRPr="00E22987" w:rsidRDefault="005C6D03" w:rsidP="005C6D03">
      <w:pPr>
        <w:tabs>
          <w:tab w:val="right" w:pos="850"/>
          <w:tab w:val="left" w:pos="1134"/>
          <w:tab w:val="left" w:pos="1559"/>
          <w:tab w:val="left" w:pos="1984"/>
          <w:tab w:val="left" w:leader="dot" w:pos="7654"/>
          <w:tab w:val="right" w:pos="8929"/>
          <w:tab w:val="right" w:pos="9638"/>
        </w:tabs>
        <w:spacing w:before="120" w:after="120"/>
        <w:ind w:left="1980" w:hanging="1980"/>
      </w:pPr>
      <w:r w:rsidRPr="00E22987">
        <w:tab/>
      </w:r>
      <w:r w:rsidRPr="00E22987">
        <w:tab/>
      </w:r>
      <w:r w:rsidRPr="00E22987">
        <w:tab/>
        <w:t>10.</w:t>
      </w:r>
      <w:r w:rsidRPr="00E22987">
        <w:tab/>
        <w:t>Practical explosive or pyrotechnical effect</w:t>
      </w:r>
      <w:r w:rsidRPr="00E22987">
        <w:tab/>
      </w:r>
      <w:r w:rsidRPr="00E22987">
        <w:tab/>
      </w:r>
      <w:r w:rsidR="00293E47">
        <w:t>29</w:t>
      </w:r>
      <w:r w:rsidR="00293E47">
        <w:tab/>
        <w:t>10</w:t>
      </w:r>
    </w:p>
    <w:p w14:paraId="228CE086" w14:textId="7DD01009" w:rsidR="005C6D03" w:rsidRPr="00E22987" w:rsidRDefault="005C6D03" w:rsidP="005C6D03">
      <w:pPr>
        <w:tabs>
          <w:tab w:val="right" w:pos="850"/>
          <w:tab w:val="left" w:pos="1134"/>
          <w:tab w:val="left" w:pos="1559"/>
          <w:tab w:val="left" w:pos="1984"/>
          <w:tab w:val="left" w:leader="dot" w:pos="7654"/>
          <w:tab w:val="right" w:pos="8929"/>
          <w:tab w:val="right" w:pos="9638"/>
        </w:tabs>
        <w:spacing w:before="120" w:after="120"/>
        <w:ind w:left="1980" w:hanging="1980"/>
      </w:pPr>
      <w:r w:rsidRPr="00E22987">
        <w:tab/>
      </w:r>
      <w:r w:rsidRPr="00E22987">
        <w:tab/>
      </w:r>
      <w:r w:rsidRPr="00E22987">
        <w:tab/>
        <w:t>11.</w:t>
      </w:r>
      <w:r w:rsidRPr="00E22987">
        <w:tab/>
      </w:r>
      <w:r w:rsidRPr="00E22987">
        <w:tab/>
        <w:t>Test Series 6 (b)</w:t>
      </w:r>
      <w:r w:rsidRPr="00E22987">
        <w:tab/>
      </w:r>
      <w:r w:rsidRPr="00E22987">
        <w:tab/>
      </w:r>
      <w:r w:rsidR="00293E47">
        <w:t>30</w:t>
      </w:r>
      <w:r w:rsidR="00293E47">
        <w:tab/>
        <w:t>10</w:t>
      </w:r>
    </w:p>
    <w:p w14:paraId="2E7C2FFF" w14:textId="1879AF0E" w:rsidR="005C6D03" w:rsidRPr="00E22987" w:rsidRDefault="005C6D03" w:rsidP="005C6D03">
      <w:pPr>
        <w:tabs>
          <w:tab w:val="right" w:pos="850"/>
          <w:tab w:val="left" w:pos="1134"/>
          <w:tab w:val="left" w:pos="1559"/>
          <w:tab w:val="left" w:pos="1984"/>
          <w:tab w:val="left" w:leader="dot" w:pos="7654"/>
          <w:tab w:val="right" w:pos="8929"/>
          <w:tab w:val="right" w:pos="9638"/>
        </w:tabs>
        <w:spacing w:before="120" w:after="120"/>
        <w:ind w:left="1980" w:hanging="1980"/>
      </w:pPr>
      <w:r w:rsidRPr="00E22987">
        <w:tab/>
      </w:r>
      <w:r w:rsidRPr="00E22987">
        <w:tab/>
      </w:r>
      <w:r w:rsidRPr="00E22987">
        <w:tab/>
        <w:t>12.</w:t>
      </w:r>
      <w:r w:rsidRPr="00E22987">
        <w:tab/>
        <w:t>Definitions related to Class 1</w:t>
      </w:r>
      <w:r w:rsidRPr="00E22987">
        <w:tab/>
      </w:r>
      <w:r w:rsidRPr="00E22987">
        <w:tab/>
      </w:r>
      <w:r w:rsidR="00293E47">
        <w:t>31</w:t>
      </w:r>
      <w:r w:rsidR="00293E47">
        <w:tab/>
        <w:t>10</w:t>
      </w:r>
    </w:p>
    <w:p w14:paraId="395CB935" w14:textId="20112533" w:rsidR="005C6D03" w:rsidRPr="00E22987" w:rsidRDefault="005C6D03" w:rsidP="005C6D03">
      <w:pPr>
        <w:tabs>
          <w:tab w:val="right" w:pos="850"/>
          <w:tab w:val="left" w:pos="1134"/>
          <w:tab w:val="left" w:pos="1559"/>
          <w:tab w:val="left" w:pos="1984"/>
          <w:tab w:val="left" w:leader="dot" w:pos="7654"/>
          <w:tab w:val="right" w:pos="8929"/>
          <w:tab w:val="right" w:pos="9638"/>
        </w:tabs>
        <w:spacing w:before="120" w:after="120"/>
        <w:ind w:left="1980" w:hanging="1980"/>
      </w:pPr>
      <w:r w:rsidRPr="00E22987">
        <w:lastRenderedPageBreak/>
        <w:tab/>
      </w:r>
      <w:r w:rsidRPr="00E22987">
        <w:tab/>
      </w:r>
      <w:r w:rsidRPr="00E22987">
        <w:tab/>
        <w:t>13.</w:t>
      </w:r>
      <w:r w:rsidRPr="00E22987">
        <w:tab/>
        <w:t>Fibre-reinforced plastics (FRP) portable tanks</w:t>
      </w:r>
      <w:r w:rsidRPr="00E22987">
        <w:tab/>
      </w:r>
      <w:r w:rsidRPr="00E22987">
        <w:tab/>
      </w:r>
      <w:r w:rsidR="00FE646B">
        <w:t>32</w:t>
      </w:r>
      <w:r w:rsidR="00FE646B">
        <w:tab/>
        <w:t>11</w:t>
      </w:r>
    </w:p>
    <w:p w14:paraId="198D2162" w14:textId="6EADD11B" w:rsidR="005C6D03" w:rsidRPr="00E22987" w:rsidRDefault="005C6D03" w:rsidP="005C6D03">
      <w:pPr>
        <w:tabs>
          <w:tab w:val="right" w:pos="850"/>
          <w:tab w:val="left" w:pos="1134"/>
          <w:tab w:val="left" w:pos="1559"/>
          <w:tab w:val="left" w:pos="1984"/>
          <w:tab w:val="left" w:leader="dot" w:pos="7654"/>
          <w:tab w:val="right" w:pos="8929"/>
          <w:tab w:val="right" w:pos="9638"/>
        </w:tabs>
        <w:spacing w:before="120" w:after="120"/>
        <w:ind w:left="1980" w:hanging="1980"/>
      </w:pPr>
      <w:r w:rsidRPr="00E22987">
        <w:tab/>
      </w:r>
      <w:r w:rsidRPr="00E22987">
        <w:tab/>
      </w:r>
      <w:r w:rsidRPr="00E22987">
        <w:tab/>
        <w:t>14.</w:t>
      </w:r>
      <w:r w:rsidRPr="00E22987">
        <w:tab/>
        <w:t>Use of the Manual of Tests and Criteria in the context of the GHS</w:t>
      </w:r>
      <w:r w:rsidRPr="00E22987">
        <w:tab/>
      </w:r>
      <w:r w:rsidRPr="00E22987">
        <w:tab/>
      </w:r>
      <w:r w:rsidR="00FE646B">
        <w:t>33-34</w:t>
      </w:r>
      <w:r w:rsidR="00FE646B">
        <w:tab/>
        <w:t>11</w:t>
      </w:r>
    </w:p>
    <w:p w14:paraId="188379E5" w14:textId="0F9A1D1A" w:rsidR="0097535A" w:rsidRPr="00E22987" w:rsidRDefault="0097535A" w:rsidP="0007221F">
      <w:pPr>
        <w:tabs>
          <w:tab w:val="right" w:pos="850"/>
          <w:tab w:val="left" w:pos="1134"/>
          <w:tab w:val="left" w:pos="1559"/>
          <w:tab w:val="left" w:pos="1984"/>
          <w:tab w:val="left" w:leader="dot" w:pos="7654"/>
          <w:tab w:val="right" w:pos="8929"/>
          <w:tab w:val="right" w:pos="9638"/>
        </w:tabs>
        <w:spacing w:before="120" w:after="120"/>
      </w:pPr>
      <w:r w:rsidRPr="00E22987">
        <w:tab/>
      </w:r>
      <w:r w:rsidRPr="00E22987">
        <w:tab/>
        <w:t>C.</w:t>
      </w:r>
      <w:r w:rsidRPr="00E22987">
        <w:tab/>
      </w:r>
      <w:r w:rsidR="00466E4E" w:rsidRPr="00E22987">
        <w:t>Listing, classification and packing</w:t>
      </w:r>
      <w:r w:rsidRPr="00E22987">
        <w:tab/>
      </w:r>
      <w:r w:rsidRPr="00E22987">
        <w:tab/>
      </w:r>
      <w:r w:rsidR="00293E47">
        <w:t>35-46</w:t>
      </w:r>
      <w:r w:rsidR="00293E47">
        <w:tab/>
        <w:t>11</w:t>
      </w:r>
    </w:p>
    <w:p w14:paraId="581A1AA3" w14:textId="3E6B0CCC" w:rsidR="005C6D03" w:rsidRPr="00E22987" w:rsidRDefault="005C6D03" w:rsidP="005C6D03">
      <w:pPr>
        <w:tabs>
          <w:tab w:val="right" w:pos="850"/>
          <w:tab w:val="left" w:pos="1134"/>
          <w:tab w:val="left" w:pos="1559"/>
          <w:tab w:val="left" w:pos="1984"/>
          <w:tab w:val="left" w:leader="dot" w:pos="7654"/>
          <w:tab w:val="right" w:pos="8929"/>
          <w:tab w:val="right" w:pos="9638"/>
        </w:tabs>
        <w:spacing w:before="120" w:after="120"/>
        <w:ind w:left="1980" w:hanging="1980"/>
      </w:pPr>
      <w:r w:rsidRPr="00E22987">
        <w:tab/>
      </w:r>
      <w:r w:rsidRPr="00E22987">
        <w:tab/>
      </w:r>
      <w:r w:rsidRPr="00E22987">
        <w:tab/>
        <w:t>1.</w:t>
      </w:r>
      <w:r w:rsidRPr="00E22987">
        <w:tab/>
      </w:r>
      <w:r w:rsidRPr="00E22987">
        <w:tab/>
        <w:t>Amendment of packing instructions P400 and P404</w:t>
      </w:r>
      <w:r w:rsidRPr="00E22987">
        <w:tab/>
      </w:r>
      <w:r w:rsidRPr="00E22987">
        <w:tab/>
      </w:r>
      <w:r w:rsidR="00293E47">
        <w:t>35</w:t>
      </w:r>
      <w:r w:rsidR="00293E47">
        <w:tab/>
        <w:t>11</w:t>
      </w:r>
    </w:p>
    <w:p w14:paraId="06058011" w14:textId="7782F52A" w:rsidR="005C6D03" w:rsidRPr="00E22987" w:rsidRDefault="005C6D03" w:rsidP="005C6D03">
      <w:pPr>
        <w:tabs>
          <w:tab w:val="right" w:pos="850"/>
          <w:tab w:val="left" w:pos="1134"/>
          <w:tab w:val="left" w:pos="1559"/>
          <w:tab w:val="left" w:pos="1984"/>
          <w:tab w:val="left" w:leader="dot" w:pos="7654"/>
          <w:tab w:val="right" w:pos="8929"/>
          <w:tab w:val="right" w:pos="9638"/>
        </w:tabs>
        <w:spacing w:before="120" w:after="120"/>
        <w:ind w:left="1980" w:hanging="1980"/>
        <w:rPr>
          <w:lang w:val="en-US"/>
        </w:rPr>
      </w:pPr>
      <w:r w:rsidRPr="00E22987">
        <w:tab/>
      </w:r>
      <w:r w:rsidRPr="00E22987">
        <w:tab/>
      </w:r>
      <w:r w:rsidRPr="00E22987">
        <w:tab/>
        <w:t>2.</w:t>
      </w:r>
      <w:r w:rsidRPr="00E22987">
        <w:tab/>
      </w:r>
      <w:r w:rsidRPr="00E22987">
        <w:rPr>
          <w:lang w:val="en-US"/>
        </w:rPr>
        <w:tab/>
        <w:t>Exemptions for polymerizing substances</w:t>
      </w:r>
      <w:r w:rsidRPr="00E22987">
        <w:rPr>
          <w:lang w:val="en-US"/>
        </w:rPr>
        <w:tab/>
      </w:r>
      <w:r w:rsidRPr="00E22987">
        <w:rPr>
          <w:lang w:val="en-US"/>
        </w:rPr>
        <w:tab/>
      </w:r>
      <w:r w:rsidR="00293E47">
        <w:rPr>
          <w:lang w:val="en-US"/>
        </w:rPr>
        <w:t>36-38</w:t>
      </w:r>
      <w:r w:rsidR="00293E47">
        <w:rPr>
          <w:lang w:val="en-US"/>
        </w:rPr>
        <w:tab/>
        <w:t>11</w:t>
      </w:r>
    </w:p>
    <w:p w14:paraId="7846EDD4" w14:textId="06C0A721" w:rsidR="005C6D03" w:rsidRPr="00E22987" w:rsidRDefault="005C6D03" w:rsidP="005C6D03">
      <w:pPr>
        <w:tabs>
          <w:tab w:val="right" w:pos="850"/>
          <w:tab w:val="left" w:pos="1134"/>
          <w:tab w:val="left" w:pos="1559"/>
          <w:tab w:val="left" w:pos="1984"/>
          <w:tab w:val="left" w:leader="dot" w:pos="7654"/>
          <w:tab w:val="right" w:pos="8929"/>
          <w:tab w:val="right" w:pos="9638"/>
        </w:tabs>
        <w:spacing w:before="120" w:after="120"/>
        <w:ind w:left="1980" w:hanging="1980"/>
      </w:pPr>
      <w:r w:rsidRPr="00E22987">
        <w:rPr>
          <w:lang w:val="en-US"/>
        </w:rPr>
        <w:tab/>
      </w:r>
      <w:r w:rsidRPr="00E22987">
        <w:rPr>
          <w:lang w:val="en-US"/>
        </w:rPr>
        <w:tab/>
      </w:r>
      <w:r w:rsidRPr="00E22987">
        <w:rPr>
          <w:lang w:val="en-US"/>
        </w:rPr>
        <w:tab/>
        <w:t>3.</w:t>
      </w:r>
      <w:r w:rsidRPr="00E22987">
        <w:rPr>
          <w:lang w:val="en-US"/>
        </w:rPr>
        <w:tab/>
        <w:t>Revision of the Spanish names of UN numbers</w:t>
      </w:r>
      <w:r w:rsidRPr="00E22987">
        <w:rPr>
          <w:lang w:val="en-US"/>
        </w:rPr>
        <w:tab/>
      </w:r>
      <w:r w:rsidRPr="00E22987">
        <w:rPr>
          <w:lang w:val="en-US"/>
        </w:rPr>
        <w:tab/>
      </w:r>
      <w:r w:rsidR="00FE646B">
        <w:rPr>
          <w:lang w:val="en-US"/>
        </w:rPr>
        <w:t>39</w:t>
      </w:r>
      <w:r w:rsidR="00FE646B">
        <w:rPr>
          <w:lang w:val="en-US"/>
        </w:rPr>
        <w:tab/>
        <w:t>12</w:t>
      </w:r>
    </w:p>
    <w:p w14:paraId="16DD80E0" w14:textId="6B0E0327" w:rsidR="005C6D03" w:rsidRPr="00E22987" w:rsidRDefault="005C6D03" w:rsidP="0007221F">
      <w:pPr>
        <w:tabs>
          <w:tab w:val="right" w:pos="850"/>
          <w:tab w:val="left" w:pos="1134"/>
          <w:tab w:val="left" w:pos="1559"/>
          <w:tab w:val="left" w:pos="1984"/>
          <w:tab w:val="left" w:leader="dot" w:pos="7654"/>
          <w:tab w:val="right" w:pos="8929"/>
          <w:tab w:val="right" w:pos="9638"/>
        </w:tabs>
        <w:spacing w:before="120" w:after="120"/>
        <w:rPr>
          <w:lang w:val="en-US"/>
        </w:rPr>
      </w:pPr>
      <w:r w:rsidRPr="00E22987">
        <w:tab/>
      </w:r>
      <w:r w:rsidRPr="00E22987">
        <w:tab/>
      </w:r>
      <w:r w:rsidRPr="00E22987">
        <w:tab/>
        <w:t>4.</w:t>
      </w:r>
      <w:r w:rsidRPr="00E22987">
        <w:tab/>
      </w:r>
      <w:r w:rsidRPr="00E22987">
        <w:rPr>
          <w:lang w:val="en-US"/>
        </w:rPr>
        <w:t>Transport of barium carbonate as non-dangerous goods</w:t>
      </w:r>
      <w:r w:rsidRPr="00E22987">
        <w:rPr>
          <w:lang w:val="en-US"/>
        </w:rPr>
        <w:tab/>
      </w:r>
      <w:r w:rsidRPr="00E22987">
        <w:rPr>
          <w:lang w:val="en-US"/>
        </w:rPr>
        <w:tab/>
      </w:r>
      <w:r w:rsidR="00293E47">
        <w:rPr>
          <w:lang w:val="en-US"/>
        </w:rPr>
        <w:t>40-42</w:t>
      </w:r>
      <w:r w:rsidR="00293E47">
        <w:rPr>
          <w:lang w:val="en-US"/>
        </w:rPr>
        <w:tab/>
        <w:t>12</w:t>
      </w:r>
    </w:p>
    <w:p w14:paraId="02FDAC1F" w14:textId="6679C871" w:rsidR="005C6D03" w:rsidRPr="00E22987" w:rsidRDefault="005C6D03" w:rsidP="005C6D03">
      <w:pPr>
        <w:tabs>
          <w:tab w:val="right" w:pos="850"/>
          <w:tab w:val="left" w:pos="1134"/>
          <w:tab w:val="left" w:pos="1559"/>
          <w:tab w:val="left" w:pos="1984"/>
          <w:tab w:val="left" w:leader="dot" w:pos="7654"/>
          <w:tab w:val="right" w:pos="8929"/>
          <w:tab w:val="right" w:pos="9638"/>
        </w:tabs>
        <w:spacing w:before="120" w:after="120"/>
      </w:pPr>
      <w:r w:rsidRPr="00E22987">
        <w:tab/>
      </w:r>
      <w:r w:rsidRPr="00E22987">
        <w:tab/>
      </w:r>
      <w:r w:rsidRPr="00E22987">
        <w:tab/>
        <w:t>5.</w:t>
      </w:r>
      <w:r w:rsidRPr="00E22987">
        <w:tab/>
        <w:t>Chemicals under pressure in Chapter 2.2</w:t>
      </w:r>
      <w:r w:rsidRPr="00E22987">
        <w:tab/>
      </w:r>
      <w:r w:rsidRPr="00E22987">
        <w:tab/>
      </w:r>
      <w:r w:rsidR="00FE646B">
        <w:t>43</w:t>
      </w:r>
      <w:r w:rsidR="00FE646B">
        <w:tab/>
        <w:t>13</w:t>
      </w:r>
    </w:p>
    <w:p w14:paraId="0AAC65C7" w14:textId="2D0CD679" w:rsidR="005C6D03" w:rsidRPr="00E22987" w:rsidRDefault="005C6D03" w:rsidP="005C6D03">
      <w:pPr>
        <w:tabs>
          <w:tab w:val="right" w:pos="850"/>
          <w:tab w:val="left" w:pos="1134"/>
          <w:tab w:val="left" w:pos="1559"/>
          <w:tab w:val="left" w:pos="1984"/>
          <w:tab w:val="left" w:leader="dot" w:pos="7654"/>
          <w:tab w:val="right" w:pos="8929"/>
          <w:tab w:val="right" w:pos="9638"/>
        </w:tabs>
        <w:spacing w:before="120" w:after="120"/>
      </w:pPr>
      <w:r w:rsidRPr="00E22987">
        <w:tab/>
      </w:r>
      <w:r w:rsidRPr="00E22987">
        <w:tab/>
      </w:r>
      <w:r w:rsidRPr="00E22987">
        <w:tab/>
        <w:t>6.</w:t>
      </w:r>
      <w:r w:rsidRPr="00E22987">
        <w:tab/>
        <w:t xml:space="preserve">IBCs: inner receptacle marking </w:t>
      </w:r>
      <w:r w:rsidRPr="00E22987">
        <w:tab/>
      </w:r>
      <w:r w:rsidRPr="00E22987">
        <w:tab/>
      </w:r>
      <w:r w:rsidR="00FE646B">
        <w:t>44</w:t>
      </w:r>
      <w:r w:rsidR="00FE646B">
        <w:tab/>
        <w:t>13</w:t>
      </w:r>
    </w:p>
    <w:p w14:paraId="12FFFF12" w14:textId="5FB295AC" w:rsidR="005C6D03" w:rsidRPr="00E22987" w:rsidRDefault="005C6D03" w:rsidP="005C6D03">
      <w:pPr>
        <w:tabs>
          <w:tab w:val="right" w:pos="850"/>
          <w:tab w:val="left" w:pos="1134"/>
          <w:tab w:val="left" w:pos="1559"/>
          <w:tab w:val="left" w:pos="1984"/>
          <w:tab w:val="left" w:leader="dot" w:pos="7654"/>
          <w:tab w:val="right" w:pos="8929"/>
          <w:tab w:val="right" w:pos="9638"/>
        </w:tabs>
        <w:spacing w:before="120" w:after="120"/>
        <w:ind w:left="1980" w:hanging="1980"/>
        <w:rPr>
          <w:b/>
          <w:bCs/>
        </w:rPr>
      </w:pPr>
      <w:r w:rsidRPr="00E22987">
        <w:tab/>
      </w:r>
      <w:r w:rsidRPr="00E22987">
        <w:tab/>
      </w:r>
      <w:r w:rsidRPr="00E22987">
        <w:tab/>
        <w:t>7.</w:t>
      </w:r>
      <w:r w:rsidRPr="00E22987">
        <w:tab/>
        <w:t xml:space="preserve">Technical names for environmentally hazardous goods of Class 9 </w:t>
      </w:r>
      <w:r w:rsidRPr="00E22987">
        <w:br/>
        <w:t>(UN 3077 and UN 3082)</w:t>
      </w:r>
      <w:r w:rsidRPr="00E22987">
        <w:tab/>
      </w:r>
      <w:r w:rsidRPr="00E22987">
        <w:tab/>
      </w:r>
      <w:r w:rsidR="00FE646B">
        <w:t>45-46</w:t>
      </w:r>
      <w:r w:rsidR="00FE646B">
        <w:tab/>
        <w:t>13</w:t>
      </w:r>
    </w:p>
    <w:p w14:paraId="06E80728" w14:textId="1A056A92" w:rsidR="0097535A" w:rsidRPr="00E22987" w:rsidRDefault="0097535A" w:rsidP="0007221F">
      <w:pPr>
        <w:tabs>
          <w:tab w:val="right" w:pos="850"/>
          <w:tab w:val="left" w:pos="1134"/>
          <w:tab w:val="left" w:pos="1559"/>
          <w:tab w:val="left" w:pos="1984"/>
          <w:tab w:val="left" w:leader="dot" w:pos="7654"/>
          <w:tab w:val="right" w:pos="8929"/>
          <w:tab w:val="right" w:pos="9638"/>
        </w:tabs>
        <w:spacing w:before="120" w:after="120"/>
      </w:pPr>
      <w:r w:rsidRPr="00E22987">
        <w:tab/>
      </w:r>
      <w:r w:rsidRPr="00E22987">
        <w:tab/>
        <w:t>D.</w:t>
      </w:r>
      <w:r w:rsidRPr="00E22987">
        <w:tab/>
      </w:r>
      <w:r w:rsidR="00466E4E" w:rsidRPr="00E22987">
        <w:t>Electric storage systems</w:t>
      </w:r>
      <w:r w:rsidRPr="00E22987">
        <w:tab/>
      </w:r>
      <w:r w:rsidRPr="00E22987">
        <w:tab/>
      </w:r>
      <w:r w:rsidR="00293E47">
        <w:t>47-56</w:t>
      </w:r>
      <w:r w:rsidR="00293E47">
        <w:tab/>
        <w:t>13</w:t>
      </w:r>
    </w:p>
    <w:p w14:paraId="7E0B76DF" w14:textId="478D9BA0" w:rsidR="005C6D03" w:rsidRPr="00E22987" w:rsidRDefault="005C6D03" w:rsidP="005C6D03">
      <w:pPr>
        <w:tabs>
          <w:tab w:val="right" w:pos="850"/>
          <w:tab w:val="left" w:pos="1134"/>
          <w:tab w:val="left" w:pos="1559"/>
          <w:tab w:val="left" w:pos="1984"/>
          <w:tab w:val="left" w:leader="dot" w:pos="7654"/>
          <w:tab w:val="right" w:pos="8929"/>
          <w:tab w:val="right" w:pos="9638"/>
        </w:tabs>
        <w:spacing w:before="120" w:after="120"/>
      </w:pPr>
      <w:r w:rsidRPr="00E22987">
        <w:tab/>
      </w:r>
      <w:r w:rsidRPr="00E22987">
        <w:tab/>
      </w:r>
      <w:r w:rsidRPr="00E22987">
        <w:tab/>
        <w:t>1.</w:t>
      </w:r>
      <w:r w:rsidRPr="00E22987">
        <w:tab/>
        <w:t>Sodium-nickel chloride (Na-NiCl</w:t>
      </w:r>
      <w:r w:rsidRPr="00E22987">
        <w:rPr>
          <w:vertAlign w:val="subscript"/>
        </w:rPr>
        <w:t>2</w:t>
      </w:r>
      <w:r w:rsidRPr="00E22987">
        <w:t>)</w:t>
      </w:r>
      <w:r w:rsidRPr="00E22987">
        <w:tab/>
      </w:r>
      <w:r w:rsidRPr="00E22987">
        <w:tab/>
      </w:r>
      <w:r w:rsidR="00293E47">
        <w:t>47-52</w:t>
      </w:r>
      <w:r w:rsidR="00293E47">
        <w:tab/>
        <w:t>13</w:t>
      </w:r>
    </w:p>
    <w:p w14:paraId="5865E5B9" w14:textId="77A3236B" w:rsidR="005C6D03" w:rsidRPr="00E22987" w:rsidRDefault="005C6D03" w:rsidP="0007221F">
      <w:pPr>
        <w:tabs>
          <w:tab w:val="right" w:pos="850"/>
          <w:tab w:val="left" w:pos="1134"/>
          <w:tab w:val="left" w:pos="1559"/>
          <w:tab w:val="left" w:pos="1984"/>
          <w:tab w:val="left" w:leader="dot" w:pos="7654"/>
          <w:tab w:val="right" w:pos="8929"/>
          <w:tab w:val="right" w:pos="9638"/>
        </w:tabs>
        <w:spacing w:before="120" w:after="120"/>
        <w:rPr>
          <w:lang w:val="en-US"/>
        </w:rPr>
      </w:pPr>
      <w:r w:rsidRPr="00E22987">
        <w:rPr>
          <w:lang w:val="en-US"/>
        </w:rPr>
        <w:tab/>
      </w:r>
      <w:r w:rsidRPr="00E22987">
        <w:rPr>
          <w:lang w:val="en-US"/>
        </w:rPr>
        <w:tab/>
      </w:r>
      <w:r w:rsidRPr="00E22987">
        <w:rPr>
          <w:lang w:val="en-US"/>
        </w:rPr>
        <w:tab/>
        <w:t>2.</w:t>
      </w:r>
      <w:r w:rsidRPr="00E22987">
        <w:rPr>
          <w:lang w:val="en-US"/>
        </w:rPr>
        <w:tab/>
        <w:t>Hazard-based classification of lithium cells and batteries</w:t>
      </w:r>
      <w:r w:rsidRPr="00E22987">
        <w:rPr>
          <w:lang w:val="en-US"/>
        </w:rPr>
        <w:tab/>
      </w:r>
      <w:r w:rsidR="00293E47">
        <w:rPr>
          <w:lang w:val="en-US"/>
        </w:rPr>
        <w:tab/>
        <w:t>53-54</w:t>
      </w:r>
      <w:r w:rsidR="00293E47">
        <w:rPr>
          <w:lang w:val="en-US"/>
        </w:rPr>
        <w:tab/>
        <w:t>14</w:t>
      </w:r>
    </w:p>
    <w:p w14:paraId="7885DD5C" w14:textId="156B3441" w:rsidR="005C6D03" w:rsidRPr="00E22987" w:rsidRDefault="005C6D03" w:rsidP="0007221F">
      <w:pPr>
        <w:tabs>
          <w:tab w:val="right" w:pos="850"/>
          <w:tab w:val="left" w:pos="1134"/>
          <w:tab w:val="left" w:pos="1559"/>
          <w:tab w:val="left" w:pos="1984"/>
          <w:tab w:val="left" w:leader="dot" w:pos="7654"/>
          <w:tab w:val="right" w:pos="8929"/>
          <w:tab w:val="right" w:pos="9638"/>
        </w:tabs>
        <w:spacing w:before="120" w:after="120"/>
      </w:pPr>
      <w:r w:rsidRPr="00E22987">
        <w:rPr>
          <w:lang w:val="en-US"/>
        </w:rPr>
        <w:tab/>
      </w:r>
      <w:r w:rsidRPr="00E22987">
        <w:rPr>
          <w:lang w:val="en-US"/>
        </w:rPr>
        <w:tab/>
      </w:r>
      <w:r w:rsidRPr="00E22987">
        <w:rPr>
          <w:lang w:val="en-US"/>
        </w:rPr>
        <w:tab/>
        <w:t>3.</w:t>
      </w:r>
      <w:r w:rsidRPr="00E22987">
        <w:rPr>
          <w:lang w:val="en-US"/>
        </w:rPr>
        <w:tab/>
        <w:t>Dimensions of the lithium battery mark</w:t>
      </w:r>
      <w:r w:rsidRPr="00E22987">
        <w:rPr>
          <w:lang w:val="en-US"/>
        </w:rPr>
        <w:tab/>
      </w:r>
      <w:r w:rsidRPr="00E22987">
        <w:rPr>
          <w:lang w:val="en-US"/>
        </w:rPr>
        <w:tab/>
      </w:r>
      <w:r w:rsidR="00293E47">
        <w:rPr>
          <w:lang w:val="en-US"/>
        </w:rPr>
        <w:t>55-56</w:t>
      </w:r>
      <w:r w:rsidR="00293E47">
        <w:rPr>
          <w:lang w:val="en-US"/>
        </w:rPr>
        <w:tab/>
        <w:t>14</w:t>
      </w:r>
    </w:p>
    <w:p w14:paraId="0E674F85" w14:textId="7CB83B1E" w:rsidR="0097535A" w:rsidRPr="00E22987" w:rsidRDefault="0097535A" w:rsidP="0007221F">
      <w:pPr>
        <w:tabs>
          <w:tab w:val="right" w:pos="850"/>
          <w:tab w:val="left" w:pos="1134"/>
          <w:tab w:val="left" w:pos="1559"/>
          <w:tab w:val="left" w:pos="1984"/>
          <w:tab w:val="left" w:leader="dot" w:pos="7654"/>
          <w:tab w:val="right" w:pos="8929"/>
          <w:tab w:val="right" w:pos="9638"/>
        </w:tabs>
        <w:spacing w:before="120" w:after="120"/>
      </w:pPr>
      <w:r w:rsidRPr="00E22987">
        <w:tab/>
      </w:r>
      <w:r w:rsidRPr="00E22987">
        <w:tab/>
        <w:t>E.</w:t>
      </w:r>
      <w:r w:rsidRPr="00E22987">
        <w:tab/>
      </w:r>
      <w:r w:rsidR="00466E4E" w:rsidRPr="00E22987">
        <w:t>Transport of gases</w:t>
      </w:r>
      <w:r w:rsidRPr="00E22987">
        <w:tab/>
      </w:r>
      <w:r w:rsidRPr="00E22987">
        <w:tab/>
      </w:r>
      <w:r w:rsidR="00FE646B">
        <w:t>57-65</w:t>
      </w:r>
      <w:r w:rsidR="00FE646B">
        <w:tab/>
        <w:t>15</w:t>
      </w:r>
    </w:p>
    <w:p w14:paraId="69EE2CC5" w14:textId="7DC28580" w:rsidR="005C6D03" w:rsidRPr="00E22987" w:rsidRDefault="005C6D03" w:rsidP="0007221F">
      <w:pPr>
        <w:tabs>
          <w:tab w:val="right" w:pos="850"/>
          <w:tab w:val="left" w:pos="1134"/>
          <w:tab w:val="left" w:pos="1559"/>
          <w:tab w:val="left" w:pos="1984"/>
          <w:tab w:val="left" w:leader="dot" w:pos="7654"/>
          <w:tab w:val="right" w:pos="8929"/>
          <w:tab w:val="right" w:pos="9638"/>
        </w:tabs>
        <w:spacing w:before="120" w:after="120"/>
        <w:rPr>
          <w:lang w:val="en-US"/>
        </w:rPr>
      </w:pPr>
      <w:r w:rsidRPr="00E22987">
        <w:tab/>
      </w:r>
      <w:r w:rsidRPr="00E22987">
        <w:tab/>
      </w:r>
      <w:r w:rsidRPr="00E22987">
        <w:tab/>
      </w:r>
      <w:r w:rsidRPr="00E22987">
        <w:rPr>
          <w:lang w:val="en-US"/>
        </w:rPr>
        <w:t>1.</w:t>
      </w:r>
      <w:r w:rsidRPr="00E22987">
        <w:rPr>
          <w:lang w:val="en-US"/>
        </w:rPr>
        <w:tab/>
        <w:t>Provision for the transport of waste gas cartridges (UN 2037)</w:t>
      </w:r>
      <w:r w:rsidRPr="00E22987">
        <w:rPr>
          <w:lang w:val="en-US"/>
        </w:rPr>
        <w:tab/>
      </w:r>
      <w:r w:rsidRPr="00E22987">
        <w:rPr>
          <w:lang w:val="en-US"/>
        </w:rPr>
        <w:tab/>
      </w:r>
      <w:r w:rsidR="00FE646B">
        <w:rPr>
          <w:lang w:val="en-US"/>
        </w:rPr>
        <w:t>57-58</w:t>
      </w:r>
      <w:r w:rsidR="00FE646B">
        <w:rPr>
          <w:lang w:val="en-US"/>
        </w:rPr>
        <w:tab/>
        <w:t>15</w:t>
      </w:r>
    </w:p>
    <w:p w14:paraId="5F0DABDD" w14:textId="1A67CCEB" w:rsidR="005C6D03" w:rsidRPr="00E22987" w:rsidRDefault="005C6D03" w:rsidP="005C6D03">
      <w:pPr>
        <w:tabs>
          <w:tab w:val="right" w:pos="850"/>
          <w:tab w:val="left" w:pos="1134"/>
          <w:tab w:val="left" w:pos="1559"/>
          <w:tab w:val="left" w:pos="1984"/>
          <w:tab w:val="left" w:leader="dot" w:pos="7654"/>
          <w:tab w:val="right" w:pos="8929"/>
          <w:tab w:val="right" w:pos="9638"/>
        </w:tabs>
        <w:spacing w:before="120" w:after="120"/>
      </w:pPr>
      <w:r w:rsidRPr="00E22987">
        <w:tab/>
      </w:r>
      <w:r w:rsidRPr="00E22987">
        <w:tab/>
      </w:r>
      <w:r w:rsidRPr="00E22987">
        <w:tab/>
        <w:t>2.</w:t>
      </w:r>
      <w:r w:rsidRPr="00E22987">
        <w:tab/>
        <w:t>Review of standards in Chapter 6.2</w:t>
      </w:r>
      <w:r w:rsidRPr="00E22987">
        <w:tab/>
      </w:r>
      <w:r w:rsidRPr="00E22987">
        <w:tab/>
      </w:r>
      <w:r w:rsidR="00FE646B">
        <w:t>59-60</w:t>
      </w:r>
      <w:r w:rsidR="00FE646B">
        <w:tab/>
        <w:t>15</w:t>
      </w:r>
    </w:p>
    <w:p w14:paraId="7BAE0BF5" w14:textId="28E060B4" w:rsidR="005C6D03" w:rsidRPr="00E22987" w:rsidRDefault="005C6D03" w:rsidP="0007221F">
      <w:pPr>
        <w:tabs>
          <w:tab w:val="right" w:pos="850"/>
          <w:tab w:val="left" w:pos="1134"/>
          <w:tab w:val="left" w:pos="1559"/>
          <w:tab w:val="left" w:pos="1984"/>
          <w:tab w:val="left" w:leader="dot" w:pos="7654"/>
          <w:tab w:val="right" w:pos="8929"/>
          <w:tab w:val="right" w:pos="9638"/>
        </w:tabs>
        <w:spacing w:before="120" w:after="120"/>
      </w:pPr>
      <w:r w:rsidRPr="00E22987">
        <w:rPr>
          <w:lang w:val="en-US"/>
        </w:rPr>
        <w:tab/>
      </w:r>
      <w:r w:rsidRPr="00E22987">
        <w:rPr>
          <w:lang w:val="en-US"/>
        </w:rPr>
        <w:tab/>
      </w:r>
      <w:r w:rsidRPr="00E22987">
        <w:rPr>
          <w:lang w:val="en-US"/>
        </w:rPr>
        <w:tab/>
        <w:t>3.</w:t>
      </w:r>
      <w:r w:rsidRPr="00E22987">
        <w:rPr>
          <w:lang w:val="en-US"/>
        </w:rPr>
        <w:tab/>
        <w:t xml:space="preserve">Reference to ISO </w:t>
      </w:r>
      <w:r w:rsidRPr="00E22987">
        <w:t>17879:2017</w:t>
      </w:r>
      <w:r w:rsidRPr="00E22987">
        <w:tab/>
      </w:r>
      <w:r w:rsidRPr="00E22987">
        <w:tab/>
      </w:r>
      <w:r w:rsidR="00293E47">
        <w:t>61</w:t>
      </w:r>
      <w:r w:rsidR="00293E47">
        <w:tab/>
        <w:t>15</w:t>
      </w:r>
    </w:p>
    <w:p w14:paraId="074988EE" w14:textId="730A78C7" w:rsidR="005C6D03" w:rsidRPr="00E22987" w:rsidRDefault="005C6D03" w:rsidP="0007221F">
      <w:pPr>
        <w:tabs>
          <w:tab w:val="right" w:pos="850"/>
          <w:tab w:val="left" w:pos="1134"/>
          <w:tab w:val="left" w:pos="1559"/>
          <w:tab w:val="left" w:pos="1984"/>
          <w:tab w:val="left" w:leader="dot" w:pos="7654"/>
          <w:tab w:val="right" w:pos="8929"/>
          <w:tab w:val="right" w:pos="9638"/>
        </w:tabs>
        <w:spacing w:before="120" w:after="120"/>
        <w:rPr>
          <w:lang w:val="en-US"/>
        </w:rPr>
      </w:pPr>
      <w:r w:rsidRPr="00E22987">
        <w:tab/>
      </w:r>
      <w:r w:rsidRPr="00E22987">
        <w:tab/>
      </w:r>
      <w:r w:rsidRPr="00E22987">
        <w:tab/>
      </w:r>
      <w:r w:rsidRPr="00E22987">
        <w:rPr>
          <w:lang w:val="en-US"/>
        </w:rPr>
        <w:t>4.</w:t>
      </w:r>
      <w:r w:rsidRPr="00E22987">
        <w:rPr>
          <w:lang w:val="en-US"/>
        </w:rPr>
        <w:tab/>
        <w:t>Update of LC</w:t>
      </w:r>
      <w:r w:rsidRPr="00E22987">
        <w:rPr>
          <w:vertAlign w:val="subscript"/>
          <w:lang w:val="en-US"/>
        </w:rPr>
        <w:t>50</w:t>
      </w:r>
      <w:r w:rsidRPr="00E22987">
        <w:rPr>
          <w:lang w:val="en-US"/>
        </w:rPr>
        <w:t xml:space="preserve"> values in P200</w:t>
      </w:r>
      <w:r w:rsidRPr="00E22987">
        <w:rPr>
          <w:lang w:val="en-US"/>
        </w:rPr>
        <w:tab/>
      </w:r>
      <w:r w:rsidRPr="00E22987">
        <w:rPr>
          <w:lang w:val="en-US"/>
        </w:rPr>
        <w:tab/>
      </w:r>
      <w:r w:rsidR="00293E47">
        <w:rPr>
          <w:lang w:val="en-US"/>
        </w:rPr>
        <w:t>62-64</w:t>
      </w:r>
      <w:r w:rsidR="00293E47">
        <w:rPr>
          <w:lang w:val="en-US"/>
        </w:rPr>
        <w:tab/>
        <w:t>15</w:t>
      </w:r>
    </w:p>
    <w:p w14:paraId="3714A68F" w14:textId="29144D40" w:rsidR="005C6D03" w:rsidRPr="00E22987" w:rsidRDefault="005C6D03" w:rsidP="005C6D03">
      <w:pPr>
        <w:tabs>
          <w:tab w:val="right" w:pos="850"/>
          <w:tab w:val="left" w:pos="1134"/>
          <w:tab w:val="left" w:pos="1559"/>
          <w:tab w:val="left" w:pos="1984"/>
          <w:tab w:val="left" w:leader="dot" w:pos="7654"/>
          <w:tab w:val="right" w:pos="8929"/>
          <w:tab w:val="right" w:pos="9638"/>
        </w:tabs>
        <w:spacing w:before="120" w:after="120"/>
      </w:pPr>
      <w:r w:rsidRPr="00E22987">
        <w:tab/>
      </w:r>
      <w:r w:rsidRPr="00E22987">
        <w:tab/>
      </w:r>
      <w:r w:rsidRPr="00E22987">
        <w:tab/>
        <w:t>5.</w:t>
      </w:r>
      <w:r w:rsidRPr="00E22987">
        <w:tab/>
        <w:t>Chemicals under pressure: extinguishing agents (UN 3500)</w:t>
      </w:r>
      <w:r w:rsidR="00293E47">
        <w:tab/>
      </w:r>
      <w:r w:rsidR="00293E47">
        <w:tab/>
      </w:r>
      <w:r w:rsidR="00FE646B">
        <w:t>65</w:t>
      </w:r>
      <w:r w:rsidR="00FE646B">
        <w:tab/>
        <w:t>16</w:t>
      </w:r>
    </w:p>
    <w:p w14:paraId="2C624775" w14:textId="323B35CB" w:rsidR="0097535A" w:rsidRPr="00E22987" w:rsidRDefault="0097535A" w:rsidP="0007221F">
      <w:pPr>
        <w:tabs>
          <w:tab w:val="right" w:pos="850"/>
          <w:tab w:val="left" w:pos="1134"/>
          <w:tab w:val="left" w:pos="1559"/>
          <w:tab w:val="left" w:pos="1984"/>
          <w:tab w:val="left" w:leader="dot" w:pos="7654"/>
          <w:tab w:val="right" w:pos="8929"/>
          <w:tab w:val="right" w:pos="9638"/>
        </w:tabs>
        <w:spacing w:before="120" w:after="120"/>
      </w:pPr>
      <w:r w:rsidRPr="00E22987">
        <w:tab/>
      </w:r>
      <w:r w:rsidRPr="00E22987">
        <w:tab/>
        <w:t>F.</w:t>
      </w:r>
      <w:r w:rsidRPr="00E22987">
        <w:tab/>
      </w:r>
      <w:r w:rsidR="00466E4E" w:rsidRPr="00E22987">
        <w:t>Miscellaneous pending issues</w:t>
      </w:r>
      <w:r w:rsidRPr="00E22987">
        <w:tab/>
      </w:r>
      <w:r w:rsidRPr="00E22987">
        <w:tab/>
      </w:r>
      <w:r w:rsidR="00FE646B">
        <w:t>66-94</w:t>
      </w:r>
      <w:r w:rsidR="00FE646B">
        <w:tab/>
        <w:t>16</w:t>
      </w:r>
    </w:p>
    <w:p w14:paraId="140C2698" w14:textId="1B7C4CDB" w:rsidR="005C6D03" w:rsidRPr="00E22987" w:rsidRDefault="005C6D03" w:rsidP="005C6D03">
      <w:pPr>
        <w:tabs>
          <w:tab w:val="right" w:pos="850"/>
          <w:tab w:val="left" w:pos="1134"/>
          <w:tab w:val="left" w:pos="1559"/>
          <w:tab w:val="left" w:pos="1984"/>
          <w:tab w:val="left" w:leader="dot" w:pos="7654"/>
          <w:tab w:val="right" w:pos="8929"/>
          <w:tab w:val="right" w:pos="9638"/>
        </w:tabs>
        <w:spacing w:before="120" w:after="120"/>
      </w:pPr>
      <w:r w:rsidRPr="00E22987">
        <w:tab/>
      </w:r>
      <w:r w:rsidRPr="00E22987">
        <w:tab/>
      </w:r>
      <w:r w:rsidRPr="00E22987">
        <w:tab/>
        <w:t xml:space="preserve">1. </w:t>
      </w:r>
      <w:r w:rsidRPr="00E22987">
        <w:tab/>
        <w:t>Fibre reinforced plastics (FRP) tanks</w:t>
      </w:r>
      <w:r w:rsidRPr="00E22987">
        <w:tab/>
      </w:r>
      <w:r w:rsidR="00FE646B">
        <w:tab/>
        <w:t>66-68</w:t>
      </w:r>
      <w:r w:rsidR="00FE646B">
        <w:tab/>
        <w:t>16</w:t>
      </w:r>
    </w:p>
    <w:p w14:paraId="2B205FE9" w14:textId="0F20D3FD" w:rsidR="005C6D03" w:rsidRPr="00E22987" w:rsidRDefault="005C6D03" w:rsidP="005C6D03">
      <w:pPr>
        <w:tabs>
          <w:tab w:val="right" w:pos="850"/>
          <w:tab w:val="left" w:pos="1134"/>
          <w:tab w:val="left" w:pos="1559"/>
          <w:tab w:val="left" w:pos="1984"/>
          <w:tab w:val="left" w:leader="dot" w:pos="7654"/>
          <w:tab w:val="right" w:pos="8929"/>
          <w:tab w:val="right" w:pos="9638"/>
        </w:tabs>
        <w:spacing w:before="120" w:after="120"/>
        <w:ind w:firstLine="567"/>
      </w:pPr>
      <w:r w:rsidRPr="00E22987">
        <w:tab/>
      </w:r>
      <w:r w:rsidRPr="00E22987">
        <w:tab/>
      </w:r>
      <w:r w:rsidRPr="00E22987">
        <w:tab/>
        <w:t>2.</w:t>
      </w:r>
      <w:r w:rsidRPr="00E22987">
        <w:rPr>
          <w:lang w:val="en-US"/>
        </w:rPr>
        <w:tab/>
        <w:t>Alignment of the English and French versions of 5.4.1.5.1</w:t>
      </w:r>
      <w:r w:rsidRPr="00E22987">
        <w:rPr>
          <w:lang w:val="en-US"/>
        </w:rPr>
        <w:tab/>
      </w:r>
      <w:r w:rsidR="00FE646B">
        <w:rPr>
          <w:lang w:val="en-US"/>
        </w:rPr>
        <w:tab/>
        <w:t>69</w:t>
      </w:r>
      <w:r w:rsidR="00FE646B">
        <w:rPr>
          <w:lang w:val="en-US"/>
        </w:rPr>
        <w:tab/>
        <w:t>17</w:t>
      </w:r>
    </w:p>
    <w:p w14:paraId="7E787E87" w14:textId="5B6C7AF2" w:rsidR="005C6D03" w:rsidRPr="00E22987" w:rsidRDefault="005C6D03" w:rsidP="005C6D03">
      <w:pPr>
        <w:tabs>
          <w:tab w:val="right" w:pos="850"/>
          <w:tab w:val="left" w:pos="1134"/>
          <w:tab w:val="left" w:pos="1559"/>
          <w:tab w:val="left" w:pos="1984"/>
          <w:tab w:val="left" w:leader="dot" w:pos="7654"/>
          <w:tab w:val="right" w:pos="8929"/>
          <w:tab w:val="right" w:pos="9638"/>
        </w:tabs>
        <w:spacing w:before="120" w:after="120"/>
        <w:ind w:left="1977" w:hanging="1410"/>
        <w:rPr>
          <w:lang w:val="en-US"/>
        </w:rPr>
      </w:pPr>
      <w:r w:rsidRPr="00E22987">
        <w:rPr>
          <w:lang w:val="en-US"/>
        </w:rPr>
        <w:tab/>
      </w:r>
      <w:r w:rsidRPr="00E22987">
        <w:rPr>
          <w:lang w:val="en-US"/>
        </w:rPr>
        <w:tab/>
      </w:r>
      <w:r w:rsidRPr="00E22987">
        <w:rPr>
          <w:lang w:val="en-US"/>
        </w:rPr>
        <w:tab/>
        <w:t>3.</w:t>
      </w:r>
      <w:r w:rsidRPr="00E22987">
        <w:rPr>
          <w:lang w:val="en-US"/>
        </w:rPr>
        <w:tab/>
        <w:t xml:space="preserve">Proposal to include special provision 653 of the ADR </w:t>
      </w:r>
      <w:r w:rsidRPr="00E22987">
        <w:rPr>
          <w:lang w:val="en-US"/>
        </w:rPr>
        <w:br/>
        <w:t xml:space="preserve">in the Model </w:t>
      </w:r>
      <w:r w:rsidRPr="00E22987">
        <w:t>Regulations</w:t>
      </w:r>
      <w:r w:rsidRPr="00E22987">
        <w:tab/>
      </w:r>
      <w:r w:rsidRPr="00E22987">
        <w:tab/>
      </w:r>
      <w:r w:rsidR="00FE646B">
        <w:t>70-72</w:t>
      </w:r>
      <w:r w:rsidR="00FE646B">
        <w:tab/>
        <w:t>17</w:t>
      </w:r>
    </w:p>
    <w:p w14:paraId="2ED0B5EF" w14:textId="02CB7568" w:rsidR="005C6D03" w:rsidRPr="00E22987" w:rsidRDefault="005C6D03" w:rsidP="005C6D03">
      <w:pPr>
        <w:tabs>
          <w:tab w:val="right" w:pos="850"/>
          <w:tab w:val="left" w:pos="1134"/>
          <w:tab w:val="left" w:pos="1559"/>
          <w:tab w:val="left" w:pos="1984"/>
          <w:tab w:val="left" w:leader="dot" w:pos="7654"/>
          <w:tab w:val="right" w:pos="8929"/>
          <w:tab w:val="right" w:pos="9638"/>
        </w:tabs>
        <w:spacing w:before="120" w:after="120"/>
        <w:ind w:left="1977" w:hanging="1410"/>
        <w:rPr>
          <w:lang w:val="en-US"/>
        </w:rPr>
      </w:pPr>
      <w:r w:rsidRPr="00E22987">
        <w:rPr>
          <w:lang w:val="en-US"/>
        </w:rPr>
        <w:tab/>
      </w:r>
      <w:r w:rsidRPr="00E22987">
        <w:rPr>
          <w:lang w:val="en-US"/>
        </w:rPr>
        <w:tab/>
      </w:r>
      <w:r w:rsidRPr="00E22987">
        <w:rPr>
          <w:lang w:val="en-US"/>
        </w:rPr>
        <w:tab/>
        <w:t>4.</w:t>
      </w:r>
      <w:r w:rsidRPr="00E22987">
        <w:rPr>
          <w:lang w:val="en-US"/>
        </w:rPr>
        <w:tab/>
        <w:t xml:space="preserve">Harmonization with the International Atomic Energy Agency regulation </w:t>
      </w:r>
      <w:r w:rsidRPr="00E22987">
        <w:rPr>
          <w:lang w:val="en-US"/>
        </w:rPr>
        <w:br/>
        <w:t xml:space="preserve">for the safe transport of radioactive material: arrangements for </w:t>
      </w:r>
      <w:r w:rsidRPr="00E22987">
        <w:rPr>
          <w:lang w:val="en-US"/>
        </w:rPr>
        <w:br/>
        <w:t>preparedness and response</w:t>
      </w:r>
      <w:r w:rsidRPr="00E22987">
        <w:rPr>
          <w:lang w:val="en-US"/>
        </w:rPr>
        <w:tab/>
      </w:r>
      <w:r w:rsidRPr="00E22987">
        <w:rPr>
          <w:lang w:val="en-US"/>
        </w:rPr>
        <w:tab/>
      </w:r>
      <w:r w:rsidR="00964AB8">
        <w:rPr>
          <w:lang w:val="en-US"/>
        </w:rPr>
        <w:t>73-74</w:t>
      </w:r>
      <w:r w:rsidR="00964AB8">
        <w:rPr>
          <w:lang w:val="en-US"/>
        </w:rPr>
        <w:tab/>
        <w:t>17</w:t>
      </w:r>
    </w:p>
    <w:p w14:paraId="0737953B" w14:textId="0A92D996" w:rsidR="005C6D03" w:rsidRPr="00E22987" w:rsidRDefault="005C6D03" w:rsidP="005C6D03">
      <w:pPr>
        <w:tabs>
          <w:tab w:val="right" w:pos="850"/>
          <w:tab w:val="left" w:pos="1134"/>
          <w:tab w:val="left" w:pos="1559"/>
          <w:tab w:val="left" w:pos="1984"/>
          <w:tab w:val="left" w:leader="dot" w:pos="7654"/>
          <w:tab w:val="right" w:pos="8929"/>
          <w:tab w:val="right" w:pos="9638"/>
        </w:tabs>
        <w:spacing w:before="120" w:after="120"/>
        <w:ind w:left="1977" w:hanging="1410"/>
        <w:rPr>
          <w:lang w:val="en-US"/>
        </w:rPr>
      </w:pPr>
      <w:r w:rsidRPr="00E22987">
        <w:rPr>
          <w:lang w:val="en-US"/>
        </w:rPr>
        <w:tab/>
      </w:r>
      <w:r w:rsidRPr="00E22987">
        <w:rPr>
          <w:lang w:val="en-US"/>
        </w:rPr>
        <w:tab/>
      </w:r>
      <w:r w:rsidRPr="00E22987">
        <w:rPr>
          <w:lang w:val="en-US"/>
        </w:rPr>
        <w:tab/>
        <w:t>5.</w:t>
      </w:r>
      <w:r w:rsidRPr="00E22987">
        <w:rPr>
          <w:lang w:val="en-US"/>
        </w:rPr>
        <w:tab/>
        <w:t xml:space="preserve">Multiple marking of packagings (including IBCs and large packagings) </w:t>
      </w:r>
      <w:r w:rsidRPr="00E22987">
        <w:rPr>
          <w:lang w:val="en-US"/>
        </w:rPr>
        <w:br/>
        <w:t>indicating conformity with more than one successfully tested design type</w:t>
      </w:r>
      <w:r w:rsidR="002C7CB5" w:rsidRPr="00E22987">
        <w:rPr>
          <w:lang w:val="en-US"/>
        </w:rPr>
        <w:tab/>
      </w:r>
      <w:r w:rsidR="00632BAA">
        <w:rPr>
          <w:lang w:val="en-US"/>
        </w:rPr>
        <w:t>75-76</w:t>
      </w:r>
      <w:r w:rsidR="00632BAA">
        <w:rPr>
          <w:lang w:val="en-US"/>
        </w:rPr>
        <w:tab/>
        <w:t>18</w:t>
      </w:r>
    </w:p>
    <w:p w14:paraId="119F2925" w14:textId="68E85A1D" w:rsidR="002C7CB5" w:rsidRPr="00E22987" w:rsidRDefault="002C7CB5" w:rsidP="002C7CB5">
      <w:pPr>
        <w:tabs>
          <w:tab w:val="right" w:pos="850"/>
          <w:tab w:val="left" w:pos="1134"/>
          <w:tab w:val="left" w:pos="1559"/>
          <w:tab w:val="left" w:pos="1984"/>
          <w:tab w:val="left" w:leader="dot" w:pos="7654"/>
          <w:tab w:val="right" w:pos="8929"/>
          <w:tab w:val="right" w:pos="9638"/>
        </w:tabs>
        <w:spacing w:before="120" w:after="120"/>
        <w:ind w:left="1977" w:hanging="1410"/>
        <w:rPr>
          <w:lang w:val="en-US"/>
        </w:rPr>
      </w:pPr>
      <w:r w:rsidRPr="00E22987">
        <w:rPr>
          <w:lang w:val="en-US"/>
        </w:rPr>
        <w:tab/>
      </w:r>
      <w:r w:rsidRPr="00E22987">
        <w:rPr>
          <w:lang w:val="en-US"/>
        </w:rPr>
        <w:tab/>
      </w:r>
      <w:r w:rsidRPr="00E22987">
        <w:rPr>
          <w:lang w:val="en-US"/>
        </w:rPr>
        <w:tab/>
      </w:r>
      <w:r w:rsidRPr="00E22987">
        <w:t>6.</w:t>
      </w:r>
      <w:r w:rsidRPr="00E22987">
        <w:tab/>
      </w:r>
      <w:r w:rsidRPr="00E22987">
        <w:rPr>
          <w:lang w:val="en-US"/>
        </w:rPr>
        <w:t>Toxicity through oral ingestion and/or dermal contact</w:t>
      </w:r>
      <w:r w:rsidRPr="00E22987">
        <w:rPr>
          <w:lang w:val="en-US"/>
        </w:rPr>
        <w:tab/>
      </w:r>
      <w:r w:rsidRPr="00E22987">
        <w:rPr>
          <w:lang w:val="en-US"/>
        </w:rPr>
        <w:tab/>
      </w:r>
      <w:r w:rsidR="00632BAA">
        <w:rPr>
          <w:lang w:val="en-US"/>
        </w:rPr>
        <w:t>77</w:t>
      </w:r>
      <w:r w:rsidR="00632BAA">
        <w:rPr>
          <w:lang w:val="en-US"/>
        </w:rPr>
        <w:tab/>
        <w:t>18</w:t>
      </w:r>
    </w:p>
    <w:p w14:paraId="76FDA4C1" w14:textId="03F9B9CE" w:rsidR="002C7CB5" w:rsidRPr="00E22987" w:rsidRDefault="002C7CB5" w:rsidP="002C7CB5">
      <w:pPr>
        <w:tabs>
          <w:tab w:val="right" w:pos="850"/>
          <w:tab w:val="left" w:pos="1134"/>
          <w:tab w:val="left" w:pos="1559"/>
          <w:tab w:val="left" w:pos="1984"/>
          <w:tab w:val="left" w:leader="dot" w:pos="7654"/>
          <w:tab w:val="right" w:pos="8929"/>
          <w:tab w:val="right" w:pos="9638"/>
        </w:tabs>
        <w:spacing w:before="120" w:after="120"/>
        <w:ind w:left="1977" w:hanging="1410"/>
      </w:pPr>
      <w:r w:rsidRPr="00E22987">
        <w:rPr>
          <w:lang w:val="en-US"/>
        </w:rPr>
        <w:tab/>
      </w:r>
      <w:r w:rsidRPr="00E22987">
        <w:tab/>
      </w:r>
      <w:r w:rsidRPr="00E22987">
        <w:tab/>
        <w:t>7.</w:t>
      </w:r>
      <w:r w:rsidRPr="00E22987">
        <w:tab/>
        <w:t xml:space="preserve">Provisions for data loggers and other equipment in use during transport, </w:t>
      </w:r>
      <w:r w:rsidRPr="00E22987">
        <w:br/>
        <w:t xml:space="preserve">containing electric energy storage and production systems and </w:t>
      </w:r>
      <w:r w:rsidRPr="00E22987">
        <w:br/>
        <w:t>scope of the exemption under 1.1.1.2</w:t>
      </w:r>
      <w:r w:rsidRPr="00E22987">
        <w:tab/>
      </w:r>
      <w:r w:rsidRPr="00E22987">
        <w:tab/>
      </w:r>
      <w:r w:rsidR="00632BAA">
        <w:t>78-83</w:t>
      </w:r>
      <w:r w:rsidR="00632BAA">
        <w:tab/>
        <w:t>18</w:t>
      </w:r>
    </w:p>
    <w:p w14:paraId="0AE2D62E" w14:textId="4B450949" w:rsidR="002C7CB5" w:rsidRPr="00E22987" w:rsidRDefault="002C7CB5" w:rsidP="002C7CB5">
      <w:pPr>
        <w:tabs>
          <w:tab w:val="right" w:pos="850"/>
          <w:tab w:val="left" w:pos="1134"/>
          <w:tab w:val="left" w:pos="1559"/>
          <w:tab w:val="left" w:pos="1984"/>
          <w:tab w:val="left" w:leader="dot" w:pos="7654"/>
          <w:tab w:val="right" w:pos="8929"/>
          <w:tab w:val="right" w:pos="9638"/>
        </w:tabs>
        <w:spacing w:before="120" w:after="120"/>
        <w:ind w:left="1977" w:hanging="1410"/>
      </w:pPr>
      <w:r w:rsidRPr="00E22987">
        <w:tab/>
      </w:r>
      <w:r w:rsidRPr="00E22987">
        <w:tab/>
      </w:r>
      <w:r w:rsidRPr="00E22987">
        <w:tab/>
        <w:t>8.</w:t>
      </w:r>
      <w:r w:rsidRPr="00E22987">
        <w:tab/>
        <w:t>Design pressure calculations</w:t>
      </w:r>
      <w:r w:rsidRPr="00E22987">
        <w:tab/>
      </w:r>
      <w:r w:rsidRPr="00E22987">
        <w:tab/>
      </w:r>
      <w:r w:rsidR="00632BAA">
        <w:t>84-86</w:t>
      </w:r>
      <w:r w:rsidR="00632BAA">
        <w:tab/>
        <w:t>19</w:t>
      </w:r>
    </w:p>
    <w:p w14:paraId="35A8EDDD" w14:textId="72DCB78B" w:rsidR="002C7CB5" w:rsidRPr="00E22987" w:rsidRDefault="002C7CB5" w:rsidP="002C7CB5">
      <w:pPr>
        <w:tabs>
          <w:tab w:val="right" w:pos="850"/>
          <w:tab w:val="left" w:pos="1134"/>
          <w:tab w:val="left" w:pos="1559"/>
          <w:tab w:val="left" w:pos="1984"/>
          <w:tab w:val="left" w:leader="dot" w:pos="7654"/>
          <w:tab w:val="right" w:pos="8929"/>
          <w:tab w:val="right" w:pos="9638"/>
        </w:tabs>
        <w:spacing w:before="120" w:after="120"/>
        <w:ind w:left="1977" w:hanging="1410"/>
      </w:pPr>
      <w:r w:rsidRPr="00E22987">
        <w:tab/>
      </w:r>
      <w:r w:rsidRPr="00E22987">
        <w:tab/>
      </w:r>
      <w:r w:rsidRPr="00E22987">
        <w:tab/>
        <w:t>9.</w:t>
      </w:r>
      <w:r w:rsidRPr="00E22987">
        <w:tab/>
        <w:t>Harmonization of the requirement “structurally serviceable”</w:t>
      </w:r>
      <w:r w:rsidRPr="00E22987">
        <w:tab/>
      </w:r>
      <w:r w:rsidRPr="00E22987">
        <w:tab/>
      </w:r>
      <w:r w:rsidR="00964AB8">
        <w:t>87-88</w:t>
      </w:r>
      <w:r w:rsidR="00964AB8">
        <w:tab/>
        <w:t>19</w:t>
      </w:r>
    </w:p>
    <w:p w14:paraId="7751C35A" w14:textId="2D267062" w:rsidR="002C7CB5" w:rsidRPr="00E22987" w:rsidRDefault="002C7CB5" w:rsidP="002C7CB5">
      <w:pPr>
        <w:tabs>
          <w:tab w:val="right" w:pos="850"/>
          <w:tab w:val="left" w:pos="1134"/>
          <w:tab w:val="left" w:pos="1559"/>
          <w:tab w:val="left" w:pos="1984"/>
          <w:tab w:val="left" w:leader="dot" w:pos="7654"/>
          <w:tab w:val="right" w:pos="8929"/>
          <w:tab w:val="right" w:pos="9638"/>
        </w:tabs>
        <w:spacing w:before="120" w:after="120"/>
        <w:ind w:left="1977" w:hanging="1410"/>
      </w:pPr>
      <w:r w:rsidRPr="00E22987">
        <w:tab/>
      </w:r>
      <w:r w:rsidRPr="00E22987">
        <w:tab/>
      </w:r>
      <w:r w:rsidRPr="00E22987">
        <w:tab/>
        <w:t>10.</w:t>
      </w:r>
      <w:r w:rsidRPr="00E22987">
        <w:tab/>
        <w:t>Chapter 6.7 and portable tank special provisions</w:t>
      </w:r>
      <w:r w:rsidRPr="00E22987">
        <w:tab/>
      </w:r>
      <w:r w:rsidRPr="00E22987">
        <w:tab/>
      </w:r>
      <w:r w:rsidR="00964AB8">
        <w:t>89</w:t>
      </w:r>
      <w:r w:rsidR="00964AB8">
        <w:tab/>
        <w:t>19</w:t>
      </w:r>
    </w:p>
    <w:p w14:paraId="4DF59C6A" w14:textId="55D6A539" w:rsidR="002C7CB5" w:rsidRPr="00E22987" w:rsidRDefault="002C7CB5" w:rsidP="002C7CB5">
      <w:pPr>
        <w:tabs>
          <w:tab w:val="right" w:pos="850"/>
          <w:tab w:val="left" w:pos="1134"/>
          <w:tab w:val="left" w:pos="1559"/>
          <w:tab w:val="left" w:pos="1984"/>
          <w:tab w:val="left" w:leader="dot" w:pos="7654"/>
          <w:tab w:val="right" w:pos="8929"/>
          <w:tab w:val="right" w:pos="9638"/>
        </w:tabs>
        <w:spacing w:before="120" w:after="120"/>
        <w:ind w:left="1977" w:hanging="1410"/>
      </w:pPr>
      <w:bookmarkStart w:id="0" w:name="_GoBack"/>
      <w:bookmarkEnd w:id="0"/>
      <w:r w:rsidRPr="00E22987">
        <w:lastRenderedPageBreak/>
        <w:tab/>
      </w:r>
      <w:r w:rsidRPr="00E22987">
        <w:tab/>
      </w:r>
      <w:r w:rsidRPr="00E22987">
        <w:tab/>
        <w:t>11.</w:t>
      </w:r>
      <w:r w:rsidRPr="00E22987">
        <w:tab/>
        <w:t xml:space="preserve">Portable tanks with expired inspection dates and portable tanks </w:t>
      </w:r>
      <w:r w:rsidRPr="00E22987">
        <w:br/>
        <w:t>switched from general cargo to dangerous goods content</w:t>
      </w:r>
      <w:r w:rsidRPr="00E22987">
        <w:tab/>
      </w:r>
      <w:r w:rsidRPr="00E22987">
        <w:tab/>
      </w:r>
      <w:r w:rsidR="00632BAA">
        <w:t>90</w:t>
      </w:r>
      <w:r w:rsidR="00632BAA">
        <w:tab/>
        <w:t>20</w:t>
      </w:r>
    </w:p>
    <w:p w14:paraId="73B22B26" w14:textId="05FE70DF" w:rsidR="005C6D03" w:rsidRPr="00E22987" w:rsidRDefault="002C7CB5" w:rsidP="002C7CB5">
      <w:pPr>
        <w:tabs>
          <w:tab w:val="right" w:pos="850"/>
          <w:tab w:val="left" w:pos="1134"/>
          <w:tab w:val="left" w:pos="1559"/>
          <w:tab w:val="left" w:pos="1984"/>
          <w:tab w:val="left" w:leader="dot" w:pos="7654"/>
          <w:tab w:val="right" w:pos="8929"/>
          <w:tab w:val="right" w:pos="9638"/>
        </w:tabs>
        <w:spacing w:before="120" w:after="120"/>
        <w:ind w:left="1977" w:hanging="1410"/>
      </w:pPr>
      <w:r w:rsidRPr="00E22987">
        <w:rPr>
          <w:lang w:val="en-US"/>
        </w:rPr>
        <w:tab/>
      </w:r>
      <w:r w:rsidRPr="00E22987">
        <w:rPr>
          <w:lang w:val="en-US"/>
        </w:rPr>
        <w:tab/>
      </w:r>
      <w:r w:rsidRPr="00E22987">
        <w:rPr>
          <w:lang w:val="en-US"/>
        </w:rPr>
        <w:tab/>
        <w:t>12.</w:t>
      </w:r>
      <w:r w:rsidRPr="00E22987">
        <w:rPr>
          <w:lang w:val="en-US"/>
        </w:rPr>
        <w:tab/>
        <w:t>Minimum wall thickness for metal IBCs</w:t>
      </w:r>
      <w:r w:rsidRPr="00E22987">
        <w:rPr>
          <w:lang w:val="en-US"/>
        </w:rPr>
        <w:tab/>
      </w:r>
      <w:r w:rsidR="00632BAA">
        <w:rPr>
          <w:lang w:val="en-US"/>
        </w:rPr>
        <w:tab/>
        <w:t>91-94</w:t>
      </w:r>
      <w:r w:rsidR="00632BAA">
        <w:rPr>
          <w:lang w:val="en-US"/>
        </w:rPr>
        <w:tab/>
        <w:t>20</w:t>
      </w:r>
    </w:p>
    <w:p w14:paraId="235BA494" w14:textId="7EDA4103" w:rsidR="0097535A" w:rsidRPr="00E22987" w:rsidRDefault="0097535A" w:rsidP="0007221F">
      <w:pPr>
        <w:tabs>
          <w:tab w:val="right" w:pos="850"/>
          <w:tab w:val="left" w:pos="1134"/>
          <w:tab w:val="left" w:pos="1559"/>
          <w:tab w:val="left" w:pos="1984"/>
          <w:tab w:val="left" w:leader="dot" w:pos="7654"/>
          <w:tab w:val="right" w:pos="8929"/>
          <w:tab w:val="right" w:pos="9638"/>
        </w:tabs>
        <w:spacing w:before="120" w:after="120"/>
      </w:pPr>
      <w:r w:rsidRPr="00E22987">
        <w:tab/>
      </w:r>
      <w:r w:rsidR="00466E4E" w:rsidRPr="00E22987">
        <w:t>I</w:t>
      </w:r>
      <w:r w:rsidRPr="00E22987">
        <w:t>V.</w:t>
      </w:r>
      <w:r w:rsidRPr="00E22987">
        <w:tab/>
      </w:r>
      <w:r w:rsidR="00466E4E" w:rsidRPr="00E22987">
        <w:t>Global harmonization of transport of dangerous goods</w:t>
      </w:r>
      <w:r w:rsidR="00466E4E" w:rsidRPr="00E22987">
        <w:br/>
      </w:r>
      <w:r w:rsidR="00466E4E" w:rsidRPr="00E22987">
        <w:tab/>
      </w:r>
      <w:r w:rsidR="00466E4E" w:rsidRPr="00E22987">
        <w:tab/>
        <w:t>regulations with the Model Regulations</w:t>
      </w:r>
      <w:r w:rsidR="00314C42" w:rsidRPr="00E22987">
        <w:t xml:space="preserve"> (agenda item </w:t>
      </w:r>
      <w:r w:rsidR="00525F28" w:rsidRPr="00E22987">
        <w:t>3</w:t>
      </w:r>
      <w:r w:rsidR="00314C42" w:rsidRPr="00E22987">
        <w:t>)</w:t>
      </w:r>
      <w:r w:rsidRPr="00E22987">
        <w:tab/>
      </w:r>
      <w:r w:rsidRPr="00E22987">
        <w:tab/>
      </w:r>
      <w:r w:rsidR="00964AB8">
        <w:t>95</w:t>
      </w:r>
      <w:r w:rsidR="00964AB8">
        <w:tab/>
        <w:t>20</w:t>
      </w:r>
    </w:p>
    <w:p w14:paraId="4EE258F3" w14:textId="235855B6" w:rsidR="002C7CB5" w:rsidRPr="00E22987" w:rsidRDefault="002C7CB5" w:rsidP="002C7CB5">
      <w:pPr>
        <w:tabs>
          <w:tab w:val="right" w:pos="850"/>
          <w:tab w:val="left" w:pos="1134"/>
          <w:tab w:val="left" w:pos="1559"/>
          <w:tab w:val="left" w:pos="1984"/>
          <w:tab w:val="left" w:leader="dot" w:pos="7654"/>
          <w:tab w:val="right" w:pos="8929"/>
          <w:tab w:val="right" w:pos="9638"/>
        </w:tabs>
        <w:spacing w:before="120" w:after="120"/>
        <w:ind w:left="1977" w:hanging="1410"/>
        <w:rPr>
          <w:lang w:val="en-US"/>
        </w:rPr>
      </w:pPr>
      <w:r w:rsidRPr="00E22987">
        <w:rPr>
          <w:lang w:val="en-US"/>
        </w:rPr>
        <w:tab/>
      </w:r>
      <w:r w:rsidRPr="00E22987">
        <w:rPr>
          <w:lang w:val="en-US"/>
        </w:rPr>
        <w:tab/>
        <w:t>Recommendations made by the ICAO Dangerous Goods Panel</w:t>
      </w:r>
      <w:r w:rsidRPr="00E22987">
        <w:rPr>
          <w:lang w:val="en-US"/>
        </w:rPr>
        <w:tab/>
      </w:r>
      <w:r w:rsidRPr="00E22987">
        <w:rPr>
          <w:lang w:val="en-US"/>
        </w:rPr>
        <w:tab/>
      </w:r>
      <w:r w:rsidR="00964AB8">
        <w:rPr>
          <w:lang w:val="en-US"/>
        </w:rPr>
        <w:t>95</w:t>
      </w:r>
      <w:r w:rsidR="00964AB8">
        <w:rPr>
          <w:lang w:val="en-US"/>
        </w:rPr>
        <w:tab/>
        <w:t>20</w:t>
      </w:r>
    </w:p>
    <w:p w14:paraId="1ECA2A19" w14:textId="70C50974" w:rsidR="007F11F0" w:rsidRPr="00E22987" w:rsidRDefault="007F11F0" w:rsidP="0007221F">
      <w:pPr>
        <w:tabs>
          <w:tab w:val="right" w:pos="850"/>
          <w:tab w:val="left" w:pos="1134"/>
          <w:tab w:val="left" w:pos="1559"/>
          <w:tab w:val="left" w:pos="1984"/>
          <w:tab w:val="left" w:leader="dot" w:pos="7654"/>
          <w:tab w:val="right" w:pos="8929"/>
          <w:tab w:val="right" w:pos="9638"/>
        </w:tabs>
        <w:spacing w:before="120" w:after="120"/>
      </w:pPr>
      <w:r w:rsidRPr="00E22987">
        <w:tab/>
      </w:r>
      <w:r w:rsidR="00466E4E" w:rsidRPr="00E22987">
        <w:t>V</w:t>
      </w:r>
      <w:r w:rsidRPr="00E22987">
        <w:t>.</w:t>
      </w:r>
      <w:r w:rsidRPr="00E22987">
        <w:tab/>
      </w:r>
      <w:r w:rsidR="00466E4E" w:rsidRPr="00E22987">
        <w:t>Guiding principles for the Model Regulations</w:t>
      </w:r>
      <w:r w:rsidRPr="00E22987">
        <w:t xml:space="preserve"> (agenda ite</w:t>
      </w:r>
      <w:r w:rsidR="00AB2106" w:rsidRPr="00E22987">
        <w:t>m 4)</w:t>
      </w:r>
      <w:r w:rsidR="00AB2106" w:rsidRPr="00E22987">
        <w:tab/>
      </w:r>
      <w:r w:rsidR="00AB2106" w:rsidRPr="00E22987">
        <w:tab/>
      </w:r>
      <w:r w:rsidR="00964AB8">
        <w:t>96</w:t>
      </w:r>
      <w:r w:rsidR="00964AB8">
        <w:tab/>
        <w:t>20</w:t>
      </w:r>
    </w:p>
    <w:p w14:paraId="6BCE8DDE" w14:textId="6DC9DEB5" w:rsidR="0097535A" w:rsidRPr="00E22987" w:rsidRDefault="0097535A" w:rsidP="0007221F">
      <w:pPr>
        <w:tabs>
          <w:tab w:val="right" w:pos="850"/>
          <w:tab w:val="left" w:pos="1134"/>
          <w:tab w:val="left" w:pos="1559"/>
          <w:tab w:val="left" w:pos="1984"/>
          <w:tab w:val="left" w:leader="dot" w:pos="7654"/>
          <w:tab w:val="right" w:pos="8929"/>
          <w:tab w:val="right" w:pos="9638"/>
        </w:tabs>
        <w:spacing w:before="120" w:after="120"/>
      </w:pPr>
      <w:r w:rsidRPr="00E22987">
        <w:tab/>
        <w:t>VI.</w:t>
      </w:r>
      <w:r w:rsidRPr="00E22987">
        <w:tab/>
      </w:r>
      <w:r w:rsidR="00466E4E" w:rsidRPr="00E22987">
        <w:t>Cooperation with the International Atomic Energy Agency</w:t>
      </w:r>
      <w:r w:rsidR="00314C42" w:rsidRPr="00E22987">
        <w:t xml:space="preserve"> (agenda item 5)</w:t>
      </w:r>
      <w:r w:rsidRPr="00E22987">
        <w:tab/>
      </w:r>
      <w:r w:rsidRPr="00E22987">
        <w:tab/>
      </w:r>
      <w:r w:rsidR="00632BAA">
        <w:t>97</w:t>
      </w:r>
      <w:r w:rsidR="00632BAA">
        <w:tab/>
        <w:t>21</w:t>
      </w:r>
    </w:p>
    <w:p w14:paraId="77FAAA61" w14:textId="6276CB77" w:rsidR="0097535A" w:rsidRPr="00E22987" w:rsidRDefault="0097535A" w:rsidP="0007221F">
      <w:pPr>
        <w:tabs>
          <w:tab w:val="right" w:pos="850"/>
          <w:tab w:val="left" w:pos="1134"/>
          <w:tab w:val="left" w:pos="1559"/>
          <w:tab w:val="left" w:pos="1984"/>
          <w:tab w:val="left" w:leader="dot" w:pos="7654"/>
          <w:tab w:val="right" w:pos="8929"/>
          <w:tab w:val="right" w:pos="9638"/>
        </w:tabs>
        <w:spacing w:before="120" w:after="120"/>
      </w:pPr>
      <w:r w:rsidRPr="00E22987">
        <w:tab/>
        <w:t>VII.</w:t>
      </w:r>
      <w:r w:rsidRPr="00E22987">
        <w:tab/>
      </w:r>
      <w:r w:rsidR="00466E4E" w:rsidRPr="00E22987">
        <w:t>New proposals for amendments to the Model Regulations on the</w:t>
      </w:r>
      <w:r w:rsidR="00466E4E" w:rsidRPr="00E22987">
        <w:br/>
      </w:r>
      <w:r w:rsidR="00466E4E" w:rsidRPr="00E22987">
        <w:tab/>
      </w:r>
      <w:r w:rsidR="00466E4E" w:rsidRPr="00E22987">
        <w:tab/>
        <w:t>Transport of Dangerous Goods</w:t>
      </w:r>
      <w:r w:rsidR="00314C42" w:rsidRPr="00E22987">
        <w:t xml:space="preserve"> (agenda item 6)</w:t>
      </w:r>
      <w:r w:rsidRPr="00E22987">
        <w:tab/>
      </w:r>
      <w:r w:rsidRPr="00E22987">
        <w:tab/>
      </w:r>
      <w:r w:rsidR="00632BAA">
        <w:t>98-124</w:t>
      </w:r>
      <w:r w:rsidR="00632BAA">
        <w:tab/>
        <w:t>21</w:t>
      </w:r>
    </w:p>
    <w:p w14:paraId="578A8D18" w14:textId="21182F37" w:rsidR="002C7CB5" w:rsidRPr="00E22987" w:rsidRDefault="002C7CB5" w:rsidP="002C7CB5">
      <w:pPr>
        <w:tabs>
          <w:tab w:val="right" w:pos="850"/>
          <w:tab w:val="left" w:pos="1134"/>
          <w:tab w:val="left" w:pos="1559"/>
          <w:tab w:val="left" w:pos="1984"/>
          <w:tab w:val="left" w:leader="dot" w:pos="7654"/>
          <w:tab w:val="right" w:pos="8929"/>
          <w:tab w:val="right" w:pos="9638"/>
        </w:tabs>
        <w:spacing w:before="120" w:after="120"/>
        <w:ind w:left="1977" w:hanging="1410"/>
        <w:rPr>
          <w:lang w:val="en-US"/>
        </w:rPr>
      </w:pPr>
      <w:r w:rsidRPr="00E22987">
        <w:rPr>
          <w:lang w:val="en-US"/>
        </w:rPr>
        <w:tab/>
      </w:r>
      <w:r w:rsidRPr="00E22987">
        <w:rPr>
          <w:lang w:val="en-US"/>
        </w:rPr>
        <w:tab/>
      </w:r>
      <w:r w:rsidR="00E22987" w:rsidRPr="00E22987">
        <w:rPr>
          <w:lang w:val="en-US"/>
        </w:rPr>
        <w:t>A</w:t>
      </w:r>
      <w:r w:rsidRPr="00E22987">
        <w:rPr>
          <w:lang w:val="en-US"/>
        </w:rPr>
        <w:t>.</w:t>
      </w:r>
      <w:r w:rsidRPr="00E22987">
        <w:rPr>
          <w:lang w:val="en-US"/>
        </w:rPr>
        <w:tab/>
        <w:t>Bundles of cylinders</w:t>
      </w:r>
      <w:r w:rsidRPr="00E22987">
        <w:rPr>
          <w:lang w:val="en-US"/>
        </w:rPr>
        <w:tab/>
      </w:r>
      <w:r w:rsidRPr="00E22987">
        <w:rPr>
          <w:lang w:val="en-US"/>
        </w:rPr>
        <w:tab/>
      </w:r>
      <w:r w:rsidR="00632BAA">
        <w:rPr>
          <w:lang w:val="en-US"/>
        </w:rPr>
        <w:t>98-99</w:t>
      </w:r>
      <w:r w:rsidR="00632BAA">
        <w:rPr>
          <w:lang w:val="en-US"/>
        </w:rPr>
        <w:tab/>
        <w:t>21</w:t>
      </w:r>
    </w:p>
    <w:p w14:paraId="66B8B87D" w14:textId="54FE5409" w:rsidR="002C7CB5" w:rsidRPr="00E22987" w:rsidRDefault="002C7CB5" w:rsidP="0007221F">
      <w:pPr>
        <w:tabs>
          <w:tab w:val="right" w:pos="850"/>
          <w:tab w:val="left" w:pos="1134"/>
          <w:tab w:val="left" w:pos="1559"/>
          <w:tab w:val="left" w:pos="1984"/>
          <w:tab w:val="left" w:leader="dot" w:pos="7654"/>
          <w:tab w:val="right" w:pos="8929"/>
          <w:tab w:val="right" w:pos="9638"/>
        </w:tabs>
        <w:spacing w:before="120" w:after="120"/>
      </w:pPr>
      <w:r w:rsidRPr="00E22987">
        <w:tab/>
      </w:r>
      <w:r w:rsidRPr="00E22987">
        <w:tab/>
      </w:r>
      <w:r w:rsidR="00E22987" w:rsidRPr="00E22987">
        <w:t>B</w:t>
      </w:r>
      <w:r w:rsidRPr="00E22987">
        <w:t>.</w:t>
      </w:r>
      <w:r w:rsidRPr="00E22987">
        <w:tab/>
        <w:t>Classification of UN 2383 Dipropylamine</w:t>
      </w:r>
      <w:r w:rsidRPr="00E22987">
        <w:tab/>
      </w:r>
      <w:r w:rsidRPr="00E22987">
        <w:tab/>
      </w:r>
      <w:r w:rsidR="00632BAA">
        <w:t>100-103</w:t>
      </w:r>
      <w:r w:rsidR="00632BAA">
        <w:tab/>
        <w:t>21</w:t>
      </w:r>
    </w:p>
    <w:p w14:paraId="37DD8990" w14:textId="65D4DFFB" w:rsidR="002C7CB5" w:rsidRPr="00E22987" w:rsidRDefault="002C7CB5" w:rsidP="0007221F">
      <w:pPr>
        <w:tabs>
          <w:tab w:val="right" w:pos="850"/>
          <w:tab w:val="left" w:pos="1134"/>
          <w:tab w:val="left" w:pos="1559"/>
          <w:tab w:val="left" w:pos="1984"/>
          <w:tab w:val="left" w:leader="dot" w:pos="7654"/>
          <w:tab w:val="right" w:pos="8929"/>
          <w:tab w:val="right" w:pos="9638"/>
        </w:tabs>
        <w:spacing w:before="120" w:after="120"/>
      </w:pPr>
      <w:r w:rsidRPr="00E22987">
        <w:tab/>
      </w:r>
      <w:r w:rsidRPr="00E22987">
        <w:tab/>
      </w:r>
      <w:r w:rsidR="00E22987" w:rsidRPr="00E22987">
        <w:t>C</w:t>
      </w:r>
      <w:r w:rsidRPr="00E22987">
        <w:t>.</w:t>
      </w:r>
      <w:r w:rsidRPr="00E22987">
        <w:tab/>
        <w:t>Articles containing dangerous goods in excepted quantities</w:t>
      </w:r>
      <w:r w:rsidRPr="00E22987">
        <w:tab/>
      </w:r>
      <w:r w:rsidRPr="00E22987">
        <w:tab/>
      </w:r>
      <w:r w:rsidR="00964AB8">
        <w:t>104-105</w:t>
      </w:r>
      <w:r w:rsidR="00964AB8">
        <w:tab/>
        <w:t>21</w:t>
      </w:r>
    </w:p>
    <w:p w14:paraId="6A5BAAFD" w14:textId="1563AA1B" w:rsidR="002C7CB5" w:rsidRPr="00E22987" w:rsidRDefault="002C7CB5" w:rsidP="002C7CB5">
      <w:pPr>
        <w:tabs>
          <w:tab w:val="right" w:pos="850"/>
          <w:tab w:val="left" w:pos="1134"/>
          <w:tab w:val="left" w:pos="1559"/>
          <w:tab w:val="left" w:pos="1984"/>
          <w:tab w:val="left" w:leader="dot" w:pos="7654"/>
          <w:tab w:val="right" w:pos="8929"/>
          <w:tab w:val="right" w:pos="9638"/>
        </w:tabs>
        <w:spacing w:before="120" w:after="120"/>
      </w:pPr>
      <w:r w:rsidRPr="00E22987">
        <w:tab/>
      </w:r>
      <w:r w:rsidRPr="00E22987">
        <w:tab/>
      </w:r>
      <w:r w:rsidR="00E22987" w:rsidRPr="00E22987">
        <w:t>D</w:t>
      </w:r>
      <w:r w:rsidRPr="00E22987">
        <w:t>.</w:t>
      </w:r>
      <w:r w:rsidRPr="00E22987">
        <w:tab/>
        <w:t xml:space="preserve">Corrections to P200 (3)(c), P301 (l) and (2) and special provision 172 (d) </w:t>
      </w:r>
      <w:r w:rsidRPr="00E22987">
        <w:tab/>
      </w:r>
      <w:r w:rsidR="00632BAA">
        <w:tab/>
        <w:t>106-107</w:t>
      </w:r>
      <w:r w:rsidR="00632BAA">
        <w:tab/>
        <w:t>22</w:t>
      </w:r>
    </w:p>
    <w:p w14:paraId="188D45B8" w14:textId="186AC468" w:rsidR="002C7CB5" w:rsidRPr="00E22987" w:rsidRDefault="002C7CB5" w:rsidP="002C7CB5">
      <w:pPr>
        <w:tabs>
          <w:tab w:val="right" w:pos="850"/>
          <w:tab w:val="left" w:pos="1134"/>
          <w:tab w:val="left" w:pos="1559"/>
          <w:tab w:val="left" w:pos="1984"/>
          <w:tab w:val="left" w:leader="dot" w:pos="7654"/>
          <w:tab w:val="right" w:pos="8929"/>
          <w:tab w:val="right" w:pos="9638"/>
        </w:tabs>
        <w:spacing w:before="120" w:after="120"/>
      </w:pPr>
      <w:r w:rsidRPr="00E22987">
        <w:tab/>
      </w:r>
      <w:r w:rsidRPr="00E22987">
        <w:tab/>
      </w:r>
      <w:r w:rsidR="00E22987" w:rsidRPr="00E22987">
        <w:t>E</w:t>
      </w:r>
      <w:r w:rsidRPr="00E22987">
        <w:t>.</w:t>
      </w:r>
      <w:r w:rsidRPr="00E22987">
        <w:tab/>
        <w:t>Applicability of LP906</w:t>
      </w:r>
      <w:r w:rsidRPr="00E22987">
        <w:tab/>
      </w:r>
      <w:r w:rsidR="00632BAA">
        <w:tab/>
        <w:t>108-111</w:t>
      </w:r>
      <w:r w:rsidR="00632BAA">
        <w:tab/>
        <w:t>22</w:t>
      </w:r>
    </w:p>
    <w:p w14:paraId="70683F92" w14:textId="0B3F03AE" w:rsidR="002C7CB5" w:rsidRPr="00E22987" w:rsidRDefault="002C7CB5" w:rsidP="0007221F">
      <w:pPr>
        <w:tabs>
          <w:tab w:val="right" w:pos="850"/>
          <w:tab w:val="left" w:pos="1134"/>
          <w:tab w:val="left" w:pos="1559"/>
          <w:tab w:val="left" w:pos="1984"/>
          <w:tab w:val="left" w:leader="dot" w:pos="7654"/>
          <w:tab w:val="right" w:pos="8929"/>
          <w:tab w:val="right" w:pos="9638"/>
        </w:tabs>
        <w:spacing w:before="120" w:after="120"/>
      </w:pPr>
      <w:r w:rsidRPr="00E22987">
        <w:tab/>
      </w:r>
      <w:r w:rsidRPr="00E22987">
        <w:tab/>
      </w:r>
      <w:r w:rsidR="00E22987" w:rsidRPr="00E22987">
        <w:t>F</w:t>
      </w:r>
      <w:r w:rsidRPr="00E22987">
        <w:t>.</w:t>
      </w:r>
      <w:r w:rsidRPr="00E22987">
        <w:tab/>
        <w:t>Transport of polymerizing substances as waste</w:t>
      </w:r>
      <w:r w:rsidRPr="00E22987">
        <w:tab/>
      </w:r>
      <w:r w:rsidR="00632BAA">
        <w:tab/>
        <w:t>112-113</w:t>
      </w:r>
      <w:r w:rsidR="00632BAA">
        <w:tab/>
        <w:t>23</w:t>
      </w:r>
    </w:p>
    <w:p w14:paraId="59DAE400" w14:textId="41150ADD" w:rsidR="002C7CB5" w:rsidRPr="00E22987" w:rsidRDefault="002C7CB5" w:rsidP="002C7CB5">
      <w:pPr>
        <w:tabs>
          <w:tab w:val="right" w:pos="850"/>
          <w:tab w:val="left" w:pos="1134"/>
          <w:tab w:val="left" w:pos="1559"/>
          <w:tab w:val="left" w:pos="1984"/>
          <w:tab w:val="left" w:leader="dot" w:pos="7654"/>
          <w:tab w:val="right" w:pos="8929"/>
          <w:tab w:val="right" w:pos="9638"/>
        </w:tabs>
        <w:spacing w:before="120" w:after="120"/>
      </w:pPr>
      <w:r w:rsidRPr="00E22987">
        <w:tab/>
      </w:r>
      <w:r w:rsidRPr="00E22987">
        <w:tab/>
      </w:r>
      <w:r w:rsidR="00E22987" w:rsidRPr="00E22987">
        <w:t>G</w:t>
      </w:r>
      <w:r w:rsidRPr="00E22987">
        <w:t>.</w:t>
      </w:r>
      <w:r w:rsidRPr="00E22987">
        <w:tab/>
        <w:t>Optical differentiation of labels for gases</w:t>
      </w:r>
      <w:r w:rsidRPr="00E22987">
        <w:tab/>
      </w:r>
      <w:r w:rsidRPr="00E22987">
        <w:tab/>
      </w:r>
      <w:r w:rsidR="00632BAA">
        <w:t>114-117</w:t>
      </w:r>
      <w:r w:rsidR="00632BAA">
        <w:tab/>
        <w:t>23</w:t>
      </w:r>
    </w:p>
    <w:p w14:paraId="6EC1307C" w14:textId="382E7F9D" w:rsidR="002C7CB5" w:rsidRPr="00E22987" w:rsidRDefault="002C7CB5" w:rsidP="002C7CB5">
      <w:pPr>
        <w:tabs>
          <w:tab w:val="right" w:pos="850"/>
          <w:tab w:val="left" w:pos="1134"/>
          <w:tab w:val="left" w:pos="1559"/>
          <w:tab w:val="left" w:pos="1984"/>
          <w:tab w:val="left" w:leader="dot" w:pos="7654"/>
          <w:tab w:val="right" w:pos="8929"/>
          <w:tab w:val="right" w:pos="9638"/>
        </w:tabs>
        <w:spacing w:before="120" w:after="120"/>
        <w:ind w:left="1559" w:hanging="1559"/>
      </w:pPr>
      <w:r w:rsidRPr="00E22987">
        <w:tab/>
      </w:r>
      <w:r w:rsidRPr="00E22987">
        <w:tab/>
      </w:r>
      <w:r w:rsidR="00E22987" w:rsidRPr="00E22987">
        <w:t>H</w:t>
      </w:r>
      <w:r w:rsidRPr="00E22987">
        <w:t>.</w:t>
      </w:r>
      <w:r w:rsidRPr="00E22987">
        <w:tab/>
        <w:t xml:space="preserve">Differences between the English and French versions in 2.8.3.3 (c) (ii) </w:t>
      </w:r>
      <w:r w:rsidRPr="00E22987">
        <w:br/>
        <w:t xml:space="preserve">and 6.7.3.3.5 </w:t>
      </w:r>
      <w:r w:rsidRPr="00E22987">
        <w:tab/>
      </w:r>
      <w:r w:rsidR="00964AB8">
        <w:tab/>
        <w:t>118-120</w:t>
      </w:r>
      <w:r w:rsidR="00964AB8">
        <w:tab/>
        <w:t>23</w:t>
      </w:r>
    </w:p>
    <w:p w14:paraId="42FC1725" w14:textId="5FE8C4F0" w:rsidR="002C7CB5" w:rsidRPr="00E22987" w:rsidRDefault="002C7CB5" w:rsidP="0007221F">
      <w:pPr>
        <w:tabs>
          <w:tab w:val="right" w:pos="850"/>
          <w:tab w:val="left" w:pos="1134"/>
          <w:tab w:val="left" w:pos="1559"/>
          <w:tab w:val="left" w:pos="1984"/>
          <w:tab w:val="left" w:leader="dot" w:pos="7654"/>
          <w:tab w:val="right" w:pos="8929"/>
          <w:tab w:val="right" w:pos="9638"/>
        </w:tabs>
        <w:spacing w:before="120" w:after="120"/>
      </w:pPr>
      <w:r w:rsidRPr="00E22987">
        <w:tab/>
      </w:r>
      <w:r w:rsidRPr="00E22987">
        <w:tab/>
      </w:r>
      <w:r w:rsidR="00E22987" w:rsidRPr="00E22987">
        <w:t>I</w:t>
      </w:r>
      <w:r w:rsidRPr="00E22987">
        <w:t>.</w:t>
      </w:r>
      <w:r w:rsidRPr="00E22987">
        <w:tab/>
        <w:t>Amendment to 38.3.3 (g) of the Manual of Tests and Criteria</w:t>
      </w:r>
      <w:r w:rsidRPr="00E22987">
        <w:tab/>
      </w:r>
      <w:r w:rsidR="00632BAA">
        <w:tab/>
        <w:t>121-122</w:t>
      </w:r>
      <w:r w:rsidR="00632BAA">
        <w:tab/>
        <w:t>24</w:t>
      </w:r>
    </w:p>
    <w:p w14:paraId="5CB183AF" w14:textId="1F3F7616" w:rsidR="002C7CB5" w:rsidRPr="00E22987" w:rsidRDefault="002C7CB5" w:rsidP="002C7CB5">
      <w:pPr>
        <w:tabs>
          <w:tab w:val="right" w:pos="850"/>
          <w:tab w:val="left" w:pos="1134"/>
          <w:tab w:val="left" w:pos="1559"/>
          <w:tab w:val="left" w:pos="1984"/>
          <w:tab w:val="left" w:leader="dot" w:pos="7654"/>
          <w:tab w:val="right" w:pos="8929"/>
          <w:tab w:val="right" w:pos="9638"/>
        </w:tabs>
        <w:spacing w:before="120" w:after="120"/>
      </w:pPr>
      <w:r w:rsidRPr="00E22987">
        <w:tab/>
      </w:r>
      <w:r w:rsidRPr="00E22987">
        <w:tab/>
      </w:r>
      <w:r w:rsidR="00E22987" w:rsidRPr="00E22987">
        <w:t>J</w:t>
      </w:r>
      <w:r w:rsidRPr="00E22987">
        <w:t xml:space="preserve">. </w:t>
      </w:r>
      <w:r w:rsidRPr="00E22987">
        <w:tab/>
        <w:t>Corrections and amendments to the Model Regulations</w:t>
      </w:r>
      <w:r w:rsidRPr="00E22987">
        <w:tab/>
      </w:r>
      <w:r w:rsidR="00632BAA">
        <w:tab/>
        <w:t>123-124</w:t>
      </w:r>
      <w:r w:rsidR="00632BAA">
        <w:tab/>
        <w:t>24</w:t>
      </w:r>
    </w:p>
    <w:p w14:paraId="590C5A24" w14:textId="337AE114" w:rsidR="00094B4E" w:rsidRPr="00E22987" w:rsidRDefault="00094B4E" w:rsidP="0007221F">
      <w:pPr>
        <w:tabs>
          <w:tab w:val="right" w:pos="850"/>
          <w:tab w:val="left" w:pos="1134"/>
          <w:tab w:val="left" w:pos="1559"/>
          <w:tab w:val="left" w:pos="1984"/>
          <w:tab w:val="left" w:leader="dot" w:pos="7654"/>
          <w:tab w:val="right" w:pos="8929"/>
          <w:tab w:val="right" w:pos="9638"/>
        </w:tabs>
        <w:spacing w:before="120" w:after="120"/>
      </w:pPr>
      <w:r w:rsidRPr="00E22987">
        <w:tab/>
      </w:r>
      <w:r w:rsidR="00466E4E" w:rsidRPr="00E22987">
        <w:t>VIII</w:t>
      </w:r>
      <w:r w:rsidRPr="00E22987">
        <w:t>.</w:t>
      </w:r>
      <w:r w:rsidRPr="00E22987">
        <w:tab/>
      </w:r>
      <w:r w:rsidR="00466E4E" w:rsidRPr="00E22987">
        <w:t>Issues relating to the Globally Harmonized System of Classification</w:t>
      </w:r>
      <w:r w:rsidR="00466E4E" w:rsidRPr="00E22987">
        <w:br/>
      </w:r>
      <w:r w:rsidR="00466E4E" w:rsidRPr="00E22987">
        <w:tab/>
      </w:r>
      <w:r w:rsidR="00466E4E" w:rsidRPr="00E22987">
        <w:tab/>
        <w:t>and Labelling of Chemicals</w:t>
      </w:r>
      <w:r w:rsidR="008922F6" w:rsidRPr="00E22987">
        <w:t xml:space="preserve"> (agenda item 7)</w:t>
      </w:r>
      <w:r w:rsidR="008922F6" w:rsidRPr="00E22987">
        <w:tab/>
      </w:r>
      <w:r w:rsidR="008922F6" w:rsidRPr="00E22987">
        <w:tab/>
      </w:r>
      <w:r w:rsidR="00964AB8">
        <w:t>125-137</w:t>
      </w:r>
      <w:r w:rsidR="00964AB8">
        <w:tab/>
        <w:t>24</w:t>
      </w:r>
    </w:p>
    <w:p w14:paraId="3FBDC064" w14:textId="7CB7EF0B" w:rsidR="00094B4E" w:rsidRPr="00E22987" w:rsidRDefault="00E22987" w:rsidP="00E22987">
      <w:pPr>
        <w:tabs>
          <w:tab w:val="right" w:pos="850"/>
          <w:tab w:val="left" w:pos="1134"/>
          <w:tab w:val="left" w:pos="1559"/>
          <w:tab w:val="left" w:pos="1984"/>
          <w:tab w:val="left" w:leader="dot" w:pos="7654"/>
          <w:tab w:val="right" w:pos="8929"/>
          <w:tab w:val="right" w:pos="9638"/>
        </w:tabs>
        <w:spacing w:before="120" w:after="120"/>
        <w:ind w:left="1977" w:hanging="1410"/>
        <w:rPr>
          <w:lang w:val="en-US"/>
        </w:rPr>
      </w:pPr>
      <w:r>
        <w:rPr>
          <w:lang w:val="en-US"/>
        </w:rPr>
        <w:tab/>
      </w:r>
      <w:r>
        <w:rPr>
          <w:lang w:val="en-US"/>
        </w:rPr>
        <w:tab/>
        <w:t>A.</w:t>
      </w:r>
      <w:r>
        <w:rPr>
          <w:lang w:val="en-US"/>
        </w:rPr>
        <w:tab/>
      </w:r>
      <w:r w:rsidR="00466E4E" w:rsidRPr="00E22987">
        <w:rPr>
          <w:lang w:val="en-US"/>
        </w:rPr>
        <w:t>Criteria for water-reactivity</w:t>
      </w:r>
      <w:r w:rsidR="008922F6" w:rsidRPr="00E22987">
        <w:rPr>
          <w:lang w:val="en-US"/>
        </w:rPr>
        <w:tab/>
      </w:r>
      <w:r w:rsidR="008922F6" w:rsidRPr="00E22987">
        <w:rPr>
          <w:lang w:val="en-US"/>
        </w:rPr>
        <w:tab/>
      </w:r>
      <w:r w:rsidR="00964AB8">
        <w:rPr>
          <w:lang w:val="en-US"/>
        </w:rPr>
        <w:t>125</w:t>
      </w:r>
      <w:r w:rsidR="00964AB8">
        <w:rPr>
          <w:lang w:val="en-US"/>
        </w:rPr>
        <w:tab/>
        <w:t>24</w:t>
      </w:r>
    </w:p>
    <w:p w14:paraId="7279E731" w14:textId="531A2517" w:rsidR="00466E4E" w:rsidRPr="00E22987" w:rsidRDefault="00E22987" w:rsidP="00E22987">
      <w:pPr>
        <w:tabs>
          <w:tab w:val="right" w:pos="850"/>
          <w:tab w:val="left" w:pos="1134"/>
          <w:tab w:val="left" w:pos="1559"/>
          <w:tab w:val="left" w:pos="1984"/>
          <w:tab w:val="left" w:leader="dot" w:pos="7654"/>
          <w:tab w:val="right" w:pos="8929"/>
          <w:tab w:val="right" w:pos="9638"/>
        </w:tabs>
        <w:spacing w:before="120" w:after="120"/>
        <w:ind w:left="1977" w:hanging="1410"/>
        <w:rPr>
          <w:lang w:val="en-US"/>
        </w:rPr>
      </w:pPr>
      <w:r>
        <w:rPr>
          <w:lang w:val="en-US"/>
        </w:rPr>
        <w:tab/>
      </w:r>
      <w:r>
        <w:rPr>
          <w:lang w:val="en-US"/>
        </w:rPr>
        <w:tab/>
        <w:t>B.</w:t>
      </w:r>
      <w:r>
        <w:rPr>
          <w:lang w:val="en-US"/>
        </w:rPr>
        <w:tab/>
      </w:r>
      <w:r w:rsidR="00466E4E" w:rsidRPr="00E22987">
        <w:rPr>
          <w:lang w:val="en-US"/>
        </w:rPr>
        <w:t>Testing of oxidizing substances</w:t>
      </w:r>
      <w:r w:rsidR="00466E4E" w:rsidRPr="00E22987">
        <w:rPr>
          <w:lang w:val="en-US"/>
        </w:rPr>
        <w:tab/>
      </w:r>
      <w:r w:rsidR="00466E4E" w:rsidRPr="00E22987">
        <w:rPr>
          <w:lang w:val="en-US"/>
        </w:rPr>
        <w:tab/>
      </w:r>
      <w:r w:rsidR="00632BAA">
        <w:rPr>
          <w:lang w:val="en-US"/>
        </w:rPr>
        <w:t>126-128</w:t>
      </w:r>
      <w:r w:rsidR="00632BAA">
        <w:rPr>
          <w:lang w:val="en-US"/>
        </w:rPr>
        <w:tab/>
        <w:t>25</w:t>
      </w:r>
    </w:p>
    <w:p w14:paraId="3AA13CDE" w14:textId="3F361F04" w:rsidR="00466E4E" w:rsidRPr="00E22987" w:rsidRDefault="00E22987" w:rsidP="00E22987">
      <w:pPr>
        <w:tabs>
          <w:tab w:val="right" w:pos="850"/>
          <w:tab w:val="left" w:pos="1134"/>
          <w:tab w:val="left" w:pos="1559"/>
          <w:tab w:val="left" w:pos="1984"/>
          <w:tab w:val="left" w:leader="dot" w:pos="7654"/>
          <w:tab w:val="right" w:pos="8929"/>
          <w:tab w:val="right" w:pos="9638"/>
        </w:tabs>
        <w:spacing w:before="120" w:after="120"/>
        <w:ind w:left="1977" w:hanging="1410"/>
        <w:rPr>
          <w:lang w:val="en-US"/>
        </w:rPr>
      </w:pPr>
      <w:r>
        <w:rPr>
          <w:lang w:val="en-US"/>
        </w:rPr>
        <w:tab/>
      </w:r>
      <w:r>
        <w:rPr>
          <w:lang w:val="en-US"/>
        </w:rPr>
        <w:tab/>
        <w:t>C.</w:t>
      </w:r>
      <w:r>
        <w:rPr>
          <w:lang w:val="en-US"/>
        </w:rPr>
        <w:tab/>
      </w:r>
      <w:r w:rsidR="00466E4E" w:rsidRPr="00E22987">
        <w:rPr>
          <w:lang w:val="en-US"/>
        </w:rPr>
        <w:t>Updating of references to OECD Guidelines</w:t>
      </w:r>
      <w:r w:rsidR="00466E4E" w:rsidRPr="00E22987">
        <w:rPr>
          <w:lang w:val="en-US"/>
        </w:rPr>
        <w:tab/>
      </w:r>
      <w:r w:rsidR="00466E4E" w:rsidRPr="00E22987">
        <w:rPr>
          <w:lang w:val="en-US"/>
        </w:rPr>
        <w:tab/>
      </w:r>
      <w:r w:rsidR="00632BAA">
        <w:rPr>
          <w:lang w:val="en-US"/>
        </w:rPr>
        <w:t>129</w:t>
      </w:r>
      <w:r w:rsidR="00632BAA">
        <w:rPr>
          <w:lang w:val="en-US"/>
        </w:rPr>
        <w:tab/>
        <w:t>25</w:t>
      </w:r>
    </w:p>
    <w:p w14:paraId="2B05BCF1" w14:textId="7D80EB13" w:rsidR="00466E4E" w:rsidRPr="00E22987" w:rsidRDefault="00E22987" w:rsidP="00E22987">
      <w:pPr>
        <w:tabs>
          <w:tab w:val="right" w:pos="850"/>
          <w:tab w:val="left" w:pos="1134"/>
          <w:tab w:val="left" w:pos="1559"/>
          <w:tab w:val="left" w:pos="1984"/>
          <w:tab w:val="left" w:leader="dot" w:pos="7654"/>
          <w:tab w:val="right" w:pos="8929"/>
          <w:tab w:val="right" w:pos="9638"/>
        </w:tabs>
        <w:spacing w:before="120" w:after="120"/>
        <w:ind w:left="1977" w:hanging="1410"/>
        <w:rPr>
          <w:lang w:val="en-US"/>
        </w:rPr>
      </w:pPr>
      <w:r>
        <w:rPr>
          <w:lang w:val="en-US"/>
        </w:rPr>
        <w:tab/>
      </w:r>
      <w:r>
        <w:rPr>
          <w:lang w:val="en-US"/>
        </w:rPr>
        <w:tab/>
        <w:t>D.</w:t>
      </w:r>
      <w:r>
        <w:rPr>
          <w:lang w:val="en-US"/>
        </w:rPr>
        <w:tab/>
      </w:r>
      <w:r w:rsidR="00466E4E" w:rsidRPr="00E22987">
        <w:rPr>
          <w:lang w:val="en-US"/>
        </w:rPr>
        <w:t>Use of the Manual of tests and Criteria in the context of the GHS</w:t>
      </w:r>
      <w:r w:rsidR="00466E4E" w:rsidRPr="00E22987">
        <w:rPr>
          <w:lang w:val="en-US"/>
        </w:rPr>
        <w:tab/>
      </w:r>
      <w:r w:rsidR="00466E4E" w:rsidRPr="00E22987">
        <w:rPr>
          <w:lang w:val="en-US"/>
        </w:rPr>
        <w:tab/>
      </w:r>
      <w:r w:rsidR="00632BAA">
        <w:rPr>
          <w:lang w:val="en-US"/>
        </w:rPr>
        <w:t>130</w:t>
      </w:r>
      <w:r w:rsidR="00632BAA">
        <w:rPr>
          <w:lang w:val="en-US"/>
        </w:rPr>
        <w:tab/>
        <w:t>25</w:t>
      </w:r>
    </w:p>
    <w:p w14:paraId="505AD1AF" w14:textId="327AFB8B" w:rsidR="00466E4E" w:rsidRPr="00E22987" w:rsidRDefault="00E22987" w:rsidP="00E22987">
      <w:pPr>
        <w:tabs>
          <w:tab w:val="right" w:pos="850"/>
          <w:tab w:val="left" w:pos="1134"/>
          <w:tab w:val="left" w:pos="1559"/>
          <w:tab w:val="left" w:pos="1984"/>
          <w:tab w:val="left" w:leader="dot" w:pos="7654"/>
          <w:tab w:val="right" w:pos="8929"/>
          <w:tab w:val="right" w:pos="9638"/>
        </w:tabs>
        <w:spacing w:before="120" w:after="120"/>
        <w:ind w:left="1977" w:hanging="1410"/>
        <w:rPr>
          <w:lang w:val="en-US"/>
        </w:rPr>
      </w:pPr>
      <w:r>
        <w:rPr>
          <w:lang w:val="en-US"/>
        </w:rPr>
        <w:tab/>
      </w:r>
      <w:r>
        <w:rPr>
          <w:lang w:val="en-US"/>
        </w:rPr>
        <w:tab/>
        <w:t xml:space="preserve">E. </w:t>
      </w:r>
      <w:r>
        <w:rPr>
          <w:lang w:val="en-US"/>
        </w:rPr>
        <w:tab/>
      </w:r>
      <w:r w:rsidR="00466E4E" w:rsidRPr="00E22987">
        <w:rPr>
          <w:lang w:val="en-US"/>
        </w:rPr>
        <w:t>Miscellaneous</w:t>
      </w:r>
      <w:r w:rsidR="00466E4E" w:rsidRPr="00E22987">
        <w:rPr>
          <w:lang w:val="en-US"/>
        </w:rPr>
        <w:tab/>
      </w:r>
      <w:r w:rsidR="00466E4E" w:rsidRPr="00E22987">
        <w:rPr>
          <w:lang w:val="en-US"/>
        </w:rPr>
        <w:tab/>
      </w:r>
      <w:r w:rsidR="00632BAA">
        <w:rPr>
          <w:lang w:val="en-US"/>
        </w:rPr>
        <w:t>131-137</w:t>
      </w:r>
      <w:r w:rsidR="00632BAA">
        <w:rPr>
          <w:lang w:val="en-US"/>
        </w:rPr>
        <w:tab/>
        <w:t>25</w:t>
      </w:r>
    </w:p>
    <w:p w14:paraId="7989FE78" w14:textId="6A540B52" w:rsidR="002C7CB5" w:rsidRPr="00E22987" w:rsidRDefault="002C7CB5" w:rsidP="002C7CB5">
      <w:pPr>
        <w:tabs>
          <w:tab w:val="right" w:pos="850"/>
          <w:tab w:val="left" w:pos="1134"/>
          <w:tab w:val="left" w:pos="1559"/>
          <w:tab w:val="left" w:pos="1984"/>
          <w:tab w:val="left" w:leader="dot" w:pos="7654"/>
          <w:tab w:val="right" w:pos="8929"/>
          <w:tab w:val="right" w:pos="9638"/>
        </w:tabs>
        <w:spacing w:before="120" w:after="120"/>
        <w:ind w:left="1980" w:hanging="1980"/>
      </w:pPr>
      <w:r w:rsidRPr="00E22987">
        <w:tab/>
      </w:r>
      <w:r w:rsidRPr="00E22987">
        <w:tab/>
      </w:r>
      <w:r w:rsidRPr="00E22987">
        <w:tab/>
        <w:t>1.</w:t>
      </w:r>
      <w:r w:rsidRPr="00E22987">
        <w:tab/>
        <w:t xml:space="preserve">Classification of chemicals under pressure (Chapter 2.3 of the GHS </w:t>
      </w:r>
      <w:r w:rsidRPr="00E22987">
        <w:br/>
        <w:t xml:space="preserve">and special provision 362 of the Model Regulations) and </w:t>
      </w:r>
      <w:r w:rsidRPr="00E22987">
        <w:br/>
        <w:t>additional consequential amendments to the GHS</w:t>
      </w:r>
      <w:r w:rsidRPr="00E22987">
        <w:tab/>
      </w:r>
      <w:r w:rsidR="00632BAA">
        <w:tab/>
        <w:t>131-134</w:t>
      </w:r>
      <w:r w:rsidR="00632BAA">
        <w:tab/>
        <w:t>25</w:t>
      </w:r>
    </w:p>
    <w:p w14:paraId="7B1FA488" w14:textId="3853B4F1" w:rsidR="002C7CB5" w:rsidRPr="00E22987" w:rsidRDefault="002C7CB5" w:rsidP="002C7CB5">
      <w:pPr>
        <w:tabs>
          <w:tab w:val="right" w:pos="850"/>
          <w:tab w:val="left" w:pos="1134"/>
          <w:tab w:val="left" w:pos="1559"/>
          <w:tab w:val="left" w:pos="1984"/>
          <w:tab w:val="left" w:leader="dot" w:pos="7654"/>
          <w:tab w:val="right" w:pos="8929"/>
          <w:tab w:val="right" w:pos="9638"/>
        </w:tabs>
        <w:spacing w:before="120" w:after="120"/>
        <w:ind w:left="1980" w:hanging="1980"/>
      </w:pPr>
      <w:r w:rsidRPr="00E22987">
        <w:tab/>
      </w:r>
      <w:r w:rsidRPr="00E22987">
        <w:tab/>
      </w:r>
      <w:r w:rsidRPr="00E22987">
        <w:tab/>
        <w:t>2.</w:t>
      </w:r>
      <w:r w:rsidRPr="00E22987">
        <w:tab/>
        <w:t>Terms of reference for the work on combinations of physical hazards</w:t>
      </w:r>
      <w:r w:rsidR="00E22987" w:rsidRPr="00E22987">
        <w:tab/>
      </w:r>
      <w:r w:rsidR="00E22987" w:rsidRPr="00E22987">
        <w:tab/>
      </w:r>
      <w:r w:rsidR="00632BAA">
        <w:t>135</w:t>
      </w:r>
      <w:r w:rsidR="00632BAA">
        <w:tab/>
        <w:t>26</w:t>
      </w:r>
    </w:p>
    <w:p w14:paraId="798B4A76" w14:textId="35E33E7A" w:rsidR="00E22987" w:rsidRPr="00E22987" w:rsidRDefault="00E22987" w:rsidP="00E22987">
      <w:pPr>
        <w:tabs>
          <w:tab w:val="right" w:pos="850"/>
          <w:tab w:val="left" w:pos="1134"/>
          <w:tab w:val="left" w:pos="1559"/>
          <w:tab w:val="left" w:pos="1984"/>
          <w:tab w:val="left" w:leader="dot" w:pos="7654"/>
          <w:tab w:val="right" w:pos="8929"/>
          <w:tab w:val="right" w:pos="9638"/>
        </w:tabs>
        <w:spacing w:before="120" w:after="120"/>
        <w:ind w:left="1980" w:hanging="1980"/>
        <w:rPr>
          <w:lang w:val="en-US"/>
        </w:rPr>
      </w:pPr>
      <w:r w:rsidRPr="00E22987">
        <w:rPr>
          <w:lang w:val="en-US"/>
        </w:rPr>
        <w:tab/>
      </w:r>
      <w:r w:rsidRPr="00E22987">
        <w:rPr>
          <w:lang w:val="en-US"/>
        </w:rPr>
        <w:tab/>
      </w:r>
      <w:r w:rsidRPr="00E22987">
        <w:rPr>
          <w:lang w:val="en-US"/>
        </w:rPr>
        <w:tab/>
        <w:t>3.</w:t>
      </w:r>
      <w:r w:rsidRPr="00E22987">
        <w:rPr>
          <w:lang w:val="en-US"/>
        </w:rPr>
        <w:tab/>
        <w:t xml:space="preserve">Amendment to the classification of flammable liquids </w:t>
      </w:r>
      <w:r w:rsidRPr="00E22987">
        <w:rPr>
          <w:lang w:val="en-US"/>
        </w:rPr>
        <w:br/>
        <w:t>in Chapter 2.6 of the GHS</w:t>
      </w:r>
      <w:r w:rsidRPr="00E22987">
        <w:rPr>
          <w:lang w:val="en-US"/>
        </w:rPr>
        <w:tab/>
      </w:r>
      <w:r w:rsidRPr="00E22987">
        <w:rPr>
          <w:lang w:val="en-US"/>
        </w:rPr>
        <w:tab/>
      </w:r>
      <w:r w:rsidR="00964AB8">
        <w:rPr>
          <w:lang w:val="en-US"/>
        </w:rPr>
        <w:t>136</w:t>
      </w:r>
      <w:r w:rsidR="00632BAA">
        <w:rPr>
          <w:lang w:val="en-US"/>
        </w:rPr>
        <w:t>-137</w:t>
      </w:r>
      <w:r w:rsidR="00632BAA">
        <w:rPr>
          <w:lang w:val="en-US"/>
        </w:rPr>
        <w:tab/>
        <w:t>26</w:t>
      </w:r>
    </w:p>
    <w:p w14:paraId="52854B32" w14:textId="67FA385B" w:rsidR="00771216" w:rsidRPr="00E22987" w:rsidRDefault="00771216" w:rsidP="0007221F">
      <w:pPr>
        <w:tabs>
          <w:tab w:val="right" w:pos="850"/>
          <w:tab w:val="left" w:pos="1134"/>
          <w:tab w:val="left" w:pos="1559"/>
          <w:tab w:val="left" w:pos="1984"/>
          <w:tab w:val="left" w:leader="dot" w:pos="7654"/>
          <w:tab w:val="right" w:pos="8929"/>
          <w:tab w:val="right" w:pos="9638"/>
        </w:tabs>
        <w:spacing w:before="120" w:after="120"/>
      </w:pPr>
      <w:r w:rsidRPr="00E22987">
        <w:tab/>
      </w:r>
      <w:r w:rsidR="00466E4E" w:rsidRPr="00E22987">
        <w:t>I</w:t>
      </w:r>
      <w:r w:rsidRPr="00E22987">
        <w:t>X.</w:t>
      </w:r>
      <w:r w:rsidRPr="00E22987">
        <w:tab/>
      </w:r>
      <w:r w:rsidR="00466E4E" w:rsidRPr="00E22987">
        <w:t>Programme or work for the biennium 2019-2020</w:t>
      </w:r>
      <w:r w:rsidRPr="00E22987">
        <w:t xml:space="preserve"> (agenda item 8)</w:t>
      </w:r>
      <w:r w:rsidRPr="00E22987">
        <w:tab/>
      </w:r>
      <w:r w:rsidRPr="00E22987">
        <w:tab/>
      </w:r>
      <w:r w:rsidR="00632BAA">
        <w:t>138-141</w:t>
      </w:r>
      <w:r w:rsidR="00632BAA">
        <w:tab/>
        <w:t>26</w:t>
      </w:r>
    </w:p>
    <w:p w14:paraId="03C2D225" w14:textId="6F2ECDE6" w:rsidR="00E22987" w:rsidRPr="00E22987" w:rsidRDefault="00E22987" w:rsidP="00E22987">
      <w:pPr>
        <w:tabs>
          <w:tab w:val="right" w:pos="850"/>
          <w:tab w:val="left" w:pos="1134"/>
          <w:tab w:val="left" w:pos="1559"/>
          <w:tab w:val="left" w:pos="1984"/>
          <w:tab w:val="left" w:leader="dot" w:pos="7654"/>
          <w:tab w:val="right" w:pos="8929"/>
          <w:tab w:val="right" w:pos="9638"/>
        </w:tabs>
        <w:spacing w:before="120" w:after="120"/>
        <w:rPr>
          <w:rFonts w:asciiTheme="majorBidi" w:hAnsiTheme="majorBidi" w:cstheme="majorBidi"/>
        </w:rPr>
      </w:pPr>
      <w:r w:rsidRPr="00E22987">
        <w:rPr>
          <w:rFonts w:asciiTheme="majorBidi" w:hAnsiTheme="majorBidi" w:cstheme="majorBidi"/>
        </w:rPr>
        <w:tab/>
      </w:r>
      <w:r w:rsidRPr="00E22987">
        <w:rPr>
          <w:rFonts w:asciiTheme="majorBidi" w:hAnsiTheme="majorBidi" w:cstheme="majorBidi"/>
        </w:rPr>
        <w:tab/>
        <w:t>A.</w:t>
      </w:r>
      <w:r w:rsidRPr="00E22987">
        <w:rPr>
          <w:rFonts w:asciiTheme="majorBidi" w:hAnsiTheme="majorBidi" w:cstheme="majorBidi"/>
        </w:rPr>
        <w:tab/>
        <w:t xml:space="preserve">Revision of names of chemical substances </w:t>
      </w:r>
      <w:r w:rsidRPr="00E22987">
        <w:rPr>
          <w:rFonts w:asciiTheme="majorBidi" w:hAnsiTheme="majorBidi" w:cstheme="majorBidi"/>
        </w:rPr>
        <w:tab/>
      </w:r>
      <w:r w:rsidRPr="00E22987">
        <w:rPr>
          <w:rFonts w:asciiTheme="majorBidi" w:hAnsiTheme="majorBidi" w:cstheme="majorBidi"/>
        </w:rPr>
        <w:tab/>
      </w:r>
      <w:r w:rsidR="00632BAA">
        <w:rPr>
          <w:rFonts w:asciiTheme="majorBidi" w:hAnsiTheme="majorBidi" w:cstheme="majorBidi"/>
        </w:rPr>
        <w:t>138</w:t>
      </w:r>
      <w:r w:rsidR="00632BAA">
        <w:rPr>
          <w:rFonts w:asciiTheme="majorBidi" w:hAnsiTheme="majorBidi" w:cstheme="majorBidi"/>
        </w:rPr>
        <w:tab/>
        <w:t>26</w:t>
      </w:r>
    </w:p>
    <w:p w14:paraId="5A081963" w14:textId="51665E68" w:rsidR="00E22987" w:rsidRPr="00E22987" w:rsidRDefault="00E22987" w:rsidP="00E22987">
      <w:pPr>
        <w:tabs>
          <w:tab w:val="right" w:pos="850"/>
          <w:tab w:val="left" w:pos="1134"/>
          <w:tab w:val="left" w:pos="1559"/>
          <w:tab w:val="left" w:pos="1984"/>
          <w:tab w:val="left" w:leader="dot" w:pos="7654"/>
          <w:tab w:val="right" w:pos="8929"/>
          <w:tab w:val="right" w:pos="9638"/>
        </w:tabs>
        <w:spacing w:before="120" w:after="120"/>
        <w:ind w:left="1559" w:hanging="1559"/>
      </w:pPr>
      <w:r w:rsidRPr="00E22987">
        <w:tab/>
      </w:r>
      <w:r w:rsidRPr="00E22987">
        <w:tab/>
        <w:t>B.</w:t>
      </w:r>
      <w:r w:rsidRPr="00E22987">
        <w:tab/>
        <w:t xml:space="preserve">Tests for oxidizing liquids (UN Test O.2) and oxidizing solids </w:t>
      </w:r>
      <w:r w:rsidRPr="00E22987">
        <w:br/>
        <w:t>(UN Tests O.1 and O.3) </w:t>
      </w:r>
      <w:r w:rsidRPr="00E22987">
        <w:tab/>
      </w:r>
      <w:r w:rsidRPr="00E22987">
        <w:tab/>
      </w:r>
      <w:r w:rsidR="00632BAA">
        <w:t>139</w:t>
      </w:r>
      <w:r w:rsidR="00632BAA">
        <w:tab/>
        <w:t>27</w:t>
      </w:r>
    </w:p>
    <w:p w14:paraId="0D15ABAD" w14:textId="27C45835" w:rsidR="00E22987" w:rsidRPr="00E22987" w:rsidRDefault="00E22987" w:rsidP="00E22987">
      <w:pPr>
        <w:tabs>
          <w:tab w:val="right" w:pos="850"/>
          <w:tab w:val="left" w:pos="1134"/>
          <w:tab w:val="left" w:pos="1559"/>
          <w:tab w:val="left" w:pos="1984"/>
          <w:tab w:val="left" w:leader="dot" w:pos="7654"/>
          <w:tab w:val="right" w:pos="8929"/>
          <w:tab w:val="right" w:pos="9638"/>
        </w:tabs>
        <w:spacing w:before="120" w:after="120"/>
        <w:ind w:left="1559" w:hanging="1559"/>
      </w:pPr>
      <w:r w:rsidRPr="00E22987">
        <w:tab/>
      </w:r>
      <w:r w:rsidRPr="00E22987">
        <w:tab/>
        <w:t xml:space="preserve">C. </w:t>
      </w:r>
      <w:r w:rsidRPr="00E22987">
        <w:tab/>
        <w:t>Working Group on Explosives</w:t>
      </w:r>
      <w:r w:rsidRPr="00E22987">
        <w:tab/>
      </w:r>
      <w:r w:rsidRPr="00E22987">
        <w:tab/>
      </w:r>
      <w:r w:rsidR="00632BAA">
        <w:t>140</w:t>
      </w:r>
      <w:r w:rsidR="00632BAA">
        <w:tab/>
        <w:t>27</w:t>
      </w:r>
    </w:p>
    <w:p w14:paraId="599AEF73" w14:textId="58FB6E16" w:rsidR="00E22987" w:rsidRPr="00E22987" w:rsidRDefault="00E22987" w:rsidP="00E22987">
      <w:pPr>
        <w:tabs>
          <w:tab w:val="right" w:pos="850"/>
          <w:tab w:val="left" w:pos="1134"/>
          <w:tab w:val="left" w:pos="1559"/>
          <w:tab w:val="left" w:pos="1984"/>
          <w:tab w:val="left" w:leader="dot" w:pos="7654"/>
          <w:tab w:val="right" w:pos="8929"/>
          <w:tab w:val="right" w:pos="9638"/>
        </w:tabs>
        <w:spacing w:before="120" w:after="120"/>
        <w:ind w:left="1559" w:hanging="1559"/>
      </w:pPr>
      <w:r w:rsidRPr="00E22987">
        <w:lastRenderedPageBreak/>
        <w:tab/>
      </w:r>
      <w:r w:rsidRPr="00E22987">
        <w:tab/>
        <w:t xml:space="preserve">D. </w:t>
      </w:r>
      <w:r w:rsidRPr="00E22987">
        <w:tab/>
        <w:t>Consolidated programme of work for 2019-2020</w:t>
      </w:r>
      <w:r w:rsidRPr="00E22987">
        <w:tab/>
      </w:r>
      <w:r w:rsidRPr="00E22987">
        <w:tab/>
      </w:r>
      <w:r w:rsidR="00632BAA">
        <w:t>141</w:t>
      </w:r>
      <w:r w:rsidR="00632BAA">
        <w:tab/>
        <w:t>27</w:t>
      </w:r>
    </w:p>
    <w:p w14:paraId="2ABB86AA" w14:textId="0F3303F5" w:rsidR="00466E4E" w:rsidRPr="00E22987" w:rsidRDefault="00466E4E" w:rsidP="0007221F">
      <w:pPr>
        <w:tabs>
          <w:tab w:val="right" w:pos="850"/>
          <w:tab w:val="left" w:pos="1134"/>
          <w:tab w:val="left" w:pos="1559"/>
          <w:tab w:val="left" w:pos="1984"/>
          <w:tab w:val="left" w:leader="dot" w:pos="7654"/>
          <w:tab w:val="right" w:pos="8929"/>
          <w:tab w:val="right" w:pos="9638"/>
        </w:tabs>
        <w:spacing w:before="120" w:after="120"/>
      </w:pPr>
      <w:r w:rsidRPr="00E22987">
        <w:tab/>
      </w:r>
      <w:r w:rsidR="00E43133" w:rsidRPr="00E22987">
        <w:t>X.</w:t>
      </w:r>
      <w:r w:rsidR="00E43133" w:rsidRPr="00E22987">
        <w:tab/>
        <w:t>Draft resolution 2019/… of the Economic and Social Council (agenda item 9)</w:t>
      </w:r>
      <w:r w:rsidR="00E43133" w:rsidRPr="00E22987">
        <w:tab/>
      </w:r>
      <w:r w:rsidR="00E43133" w:rsidRPr="00E22987">
        <w:tab/>
      </w:r>
      <w:r w:rsidR="00632BAA">
        <w:t>142</w:t>
      </w:r>
      <w:r w:rsidR="00632BAA">
        <w:tab/>
        <w:t>28</w:t>
      </w:r>
    </w:p>
    <w:p w14:paraId="1F2AB7AC" w14:textId="66345B8B" w:rsidR="00466E4E" w:rsidRPr="00E22987" w:rsidRDefault="00E43133" w:rsidP="0007221F">
      <w:pPr>
        <w:tabs>
          <w:tab w:val="right" w:pos="850"/>
          <w:tab w:val="left" w:pos="1134"/>
          <w:tab w:val="left" w:pos="1559"/>
          <w:tab w:val="left" w:pos="1984"/>
          <w:tab w:val="left" w:leader="dot" w:pos="7654"/>
          <w:tab w:val="right" w:pos="8929"/>
          <w:tab w:val="right" w:pos="9638"/>
        </w:tabs>
        <w:spacing w:before="120" w:after="120"/>
      </w:pPr>
      <w:r w:rsidRPr="00E22987">
        <w:tab/>
        <w:t>XI.</w:t>
      </w:r>
      <w:r w:rsidRPr="00E22987">
        <w:tab/>
        <w:t>Election of officers for the biennium 2019-2020</w:t>
      </w:r>
      <w:r w:rsidRPr="00E22987">
        <w:tab/>
      </w:r>
      <w:r w:rsidRPr="00E22987">
        <w:tab/>
      </w:r>
      <w:r w:rsidR="00632BAA">
        <w:t>143</w:t>
      </w:r>
      <w:r w:rsidR="00632BAA">
        <w:tab/>
        <w:t>28</w:t>
      </w:r>
    </w:p>
    <w:p w14:paraId="120234F9" w14:textId="31E544D3" w:rsidR="00E43133" w:rsidRPr="00E22987" w:rsidRDefault="00E43133" w:rsidP="0007221F">
      <w:pPr>
        <w:tabs>
          <w:tab w:val="right" w:pos="850"/>
          <w:tab w:val="left" w:pos="1134"/>
          <w:tab w:val="left" w:pos="1559"/>
          <w:tab w:val="left" w:pos="1984"/>
          <w:tab w:val="left" w:leader="dot" w:pos="7654"/>
          <w:tab w:val="right" w:pos="8929"/>
          <w:tab w:val="right" w:pos="9638"/>
        </w:tabs>
        <w:spacing w:before="120" w:after="120"/>
      </w:pPr>
      <w:r w:rsidRPr="00E22987">
        <w:tab/>
        <w:t>XII.</w:t>
      </w:r>
      <w:r w:rsidRPr="00E22987">
        <w:tab/>
        <w:t>Other business</w:t>
      </w:r>
      <w:r w:rsidRPr="00E22987">
        <w:tab/>
      </w:r>
      <w:r w:rsidRPr="00E22987">
        <w:tab/>
      </w:r>
      <w:r w:rsidR="00632BAA">
        <w:t>144-145</w:t>
      </w:r>
      <w:r w:rsidR="00632BAA">
        <w:tab/>
        <w:t>28</w:t>
      </w:r>
    </w:p>
    <w:p w14:paraId="7E4F6D43" w14:textId="4F6A5F13" w:rsidR="00E43133" w:rsidRDefault="00E43133" w:rsidP="0007221F">
      <w:pPr>
        <w:tabs>
          <w:tab w:val="right" w:pos="850"/>
          <w:tab w:val="left" w:pos="1134"/>
          <w:tab w:val="left" w:pos="1559"/>
          <w:tab w:val="left" w:pos="1984"/>
          <w:tab w:val="left" w:leader="dot" w:pos="7654"/>
          <w:tab w:val="right" w:pos="8929"/>
          <w:tab w:val="right" w:pos="9638"/>
        </w:tabs>
        <w:spacing w:before="120" w:after="120"/>
      </w:pPr>
      <w:r w:rsidRPr="00E22987">
        <w:tab/>
        <w:t>XIII.</w:t>
      </w:r>
      <w:r w:rsidRPr="00E22987">
        <w:tab/>
        <w:t>Adoption of the report</w:t>
      </w:r>
      <w:r>
        <w:tab/>
      </w:r>
      <w:r>
        <w:tab/>
      </w:r>
      <w:r w:rsidR="00964AB8">
        <w:t>146</w:t>
      </w:r>
      <w:r w:rsidR="00964AB8">
        <w:tab/>
        <w:t>28</w:t>
      </w:r>
    </w:p>
    <w:p w14:paraId="3D2D2058" w14:textId="073EA52A" w:rsidR="00466E4E" w:rsidRDefault="00466E4E" w:rsidP="0007221F">
      <w:pPr>
        <w:tabs>
          <w:tab w:val="right" w:pos="850"/>
          <w:tab w:val="left" w:pos="1134"/>
          <w:tab w:val="left" w:pos="1559"/>
          <w:tab w:val="left" w:pos="1984"/>
          <w:tab w:val="left" w:leader="dot" w:pos="7654"/>
          <w:tab w:val="right" w:pos="8929"/>
          <w:tab w:val="right" w:pos="9638"/>
        </w:tabs>
        <w:spacing w:before="120" w:after="120"/>
      </w:pPr>
    </w:p>
    <w:p w14:paraId="0983127E" w14:textId="77777777" w:rsidR="00314C42" w:rsidRDefault="00314C42" w:rsidP="0007221F">
      <w:pPr>
        <w:tabs>
          <w:tab w:val="right" w:pos="850"/>
          <w:tab w:val="left" w:pos="1134"/>
          <w:tab w:val="left" w:pos="1559"/>
          <w:tab w:val="left" w:pos="1984"/>
          <w:tab w:val="left" w:leader="dot" w:pos="7654"/>
          <w:tab w:val="right" w:pos="8929"/>
          <w:tab w:val="right" w:pos="9638"/>
        </w:tabs>
        <w:spacing w:before="120" w:after="120"/>
      </w:pPr>
      <w:r>
        <w:t>Annexes</w:t>
      </w:r>
    </w:p>
    <w:p w14:paraId="09F7947B" w14:textId="34DEECF6" w:rsidR="00D7747F" w:rsidRPr="008D42A9" w:rsidRDefault="00BC5968" w:rsidP="00964AB8">
      <w:pPr>
        <w:tabs>
          <w:tab w:val="right" w:pos="850"/>
          <w:tab w:val="left" w:pos="1134"/>
          <w:tab w:val="left" w:pos="1559"/>
          <w:tab w:val="left" w:pos="1984"/>
          <w:tab w:val="left" w:leader="dot" w:pos="8931"/>
          <w:tab w:val="right" w:pos="9639"/>
        </w:tabs>
        <w:spacing w:before="120" w:after="120"/>
        <w:ind w:left="1134" w:hanging="1134"/>
      </w:pPr>
      <w:r>
        <w:tab/>
      </w:r>
      <w:r w:rsidR="00D7747F" w:rsidRPr="008D42A9">
        <w:t>I.</w:t>
      </w:r>
      <w:r w:rsidR="00D7747F" w:rsidRPr="008D42A9">
        <w:tab/>
        <w:t xml:space="preserve">Draft amendments to the twentieth revised edition of the Recommendations </w:t>
      </w:r>
      <w:r w:rsidR="00D7747F" w:rsidRPr="008D42A9">
        <w:br/>
        <w:t xml:space="preserve">on the Transport of Dangerous Goods, Model Regulations </w:t>
      </w:r>
      <w:r w:rsidR="00D7747F" w:rsidRPr="008D42A9">
        <w:br/>
        <w:t>(ST/SG/AC.10/1/Rev.20)</w:t>
      </w:r>
      <w:r w:rsidR="00D7747F" w:rsidRPr="008D42A9">
        <w:rPr>
          <w:rStyle w:val="FootnoteReference"/>
        </w:rPr>
        <w:footnoteReference w:customMarkFollows="1" w:id="2"/>
        <w:sym w:font="Symbol" w:char="F02A"/>
      </w:r>
      <w:r w:rsidR="00D7747F" w:rsidRPr="008D42A9">
        <w:tab/>
      </w:r>
      <w:r w:rsidR="00D7747F">
        <w:tab/>
      </w:r>
      <w:r w:rsidR="00964AB8">
        <w:t>29</w:t>
      </w:r>
    </w:p>
    <w:p w14:paraId="7A07D932" w14:textId="4EB67777" w:rsidR="00D7747F" w:rsidRPr="008D42A9" w:rsidRDefault="00D7747F" w:rsidP="00D7747F">
      <w:pPr>
        <w:tabs>
          <w:tab w:val="right" w:pos="850"/>
          <w:tab w:val="left" w:pos="1134"/>
          <w:tab w:val="left" w:pos="1984"/>
          <w:tab w:val="left" w:leader="dot" w:pos="8931"/>
          <w:tab w:val="right" w:pos="9638"/>
        </w:tabs>
        <w:spacing w:after="120"/>
        <w:ind w:left="1134" w:hanging="1134"/>
      </w:pPr>
      <w:r w:rsidRPr="008D42A9">
        <w:tab/>
        <w:t>II.</w:t>
      </w:r>
      <w:r w:rsidRPr="008D42A9">
        <w:tab/>
        <w:t xml:space="preserve">Draft amendments to the sixth revised edition of the Recommendations </w:t>
      </w:r>
      <w:r w:rsidRPr="008D42A9">
        <w:br/>
        <w:t xml:space="preserve">on the Transport of Dangerous Goods, Manual of Tests and Criteria </w:t>
      </w:r>
      <w:r w:rsidRPr="008D42A9">
        <w:br/>
        <w:t>(ST/SG/AC.10/11/Rev.6 and Amend.1)</w:t>
      </w:r>
      <w:r w:rsidRPr="008D42A9">
        <w:rPr>
          <w:vertAlign w:val="superscript"/>
        </w:rPr>
        <w:t>*</w:t>
      </w:r>
      <w:r w:rsidRPr="008D42A9">
        <w:tab/>
      </w:r>
      <w:r w:rsidR="00964AB8">
        <w:tab/>
        <w:t>29</w:t>
      </w:r>
    </w:p>
    <w:p w14:paraId="1A243AF1" w14:textId="3DE838BC" w:rsidR="00D7747F" w:rsidRPr="008D42A9" w:rsidRDefault="00D7747F" w:rsidP="00D7747F">
      <w:pPr>
        <w:tabs>
          <w:tab w:val="right" w:pos="850"/>
          <w:tab w:val="left" w:pos="1134"/>
          <w:tab w:val="left" w:pos="1984"/>
          <w:tab w:val="left" w:leader="dot" w:pos="8931"/>
          <w:tab w:val="right" w:pos="9638"/>
        </w:tabs>
        <w:spacing w:after="120"/>
        <w:ind w:left="1134" w:hanging="1134"/>
      </w:pPr>
      <w:r w:rsidRPr="008D42A9">
        <w:tab/>
        <w:t>III.</w:t>
      </w:r>
      <w:r w:rsidRPr="008D42A9">
        <w:tab/>
        <w:t xml:space="preserve">Corrections to the twentieth revised edition of the Recommendations </w:t>
      </w:r>
      <w:r w:rsidRPr="008D42A9">
        <w:br/>
        <w:t xml:space="preserve">on the Transport of Dangerous Goods, Model Regulations </w:t>
      </w:r>
      <w:r w:rsidRPr="008D42A9">
        <w:br/>
        <w:t>(ST/SG/AC.10/1/Rev.20)</w:t>
      </w:r>
      <w:r w:rsidRPr="004B2401">
        <w:rPr>
          <w:rStyle w:val="FootnoteReference"/>
        </w:rPr>
        <w:t xml:space="preserve"> </w:t>
      </w:r>
      <w:r w:rsidRPr="008D42A9">
        <w:rPr>
          <w:vertAlign w:val="superscript"/>
        </w:rPr>
        <w:t>*</w:t>
      </w:r>
      <w:r w:rsidRPr="008D42A9">
        <w:tab/>
      </w:r>
      <w:r w:rsidR="00964AB8">
        <w:tab/>
        <w:t>29</w:t>
      </w:r>
    </w:p>
    <w:p w14:paraId="04691E6E" w14:textId="618A1940" w:rsidR="00314C42" w:rsidRDefault="00314C42" w:rsidP="00D7747F">
      <w:pPr>
        <w:tabs>
          <w:tab w:val="right" w:pos="850"/>
          <w:tab w:val="left" w:pos="1134"/>
          <w:tab w:val="left" w:pos="1559"/>
          <w:tab w:val="left" w:pos="1984"/>
          <w:tab w:val="left" w:leader="dot" w:pos="7654"/>
          <w:tab w:val="right" w:pos="8929"/>
        </w:tabs>
        <w:spacing w:before="120" w:after="120"/>
        <w:ind w:left="1134" w:hanging="1134"/>
      </w:pPr>
    </w:p>
    <w:p w14:paraId="2A1D659F" w14:textId="77777777" w:rsidR="0097535A" w:rsidRDefault="0097535A">
      <w:pPr>
        <w:suppressAutoHyphens w:val="0"/>
        <w:spacing w:line="240" w:lineRule="auto"/>
      </w:pPr>
    </w:p>
    <w:p w14:paraId="44D050E4" w14:textId="46EBB66E" w:rsidR="005002B8" w:rsidRDefault="005002B8">
      <w:pPr>
        <w:suppressAutoHyphens w:val="0"/>
        <w:spacing w:line="240" w:lineRule="auto"/>
      </w:pPr>
      <w:r>
        <w:br w:type="page"/>
      </w:r>
    </w:p>
    <w:p w14:paraId="3C296CDE" w14:textId="5A2CF57D" w:rsidR="008001FA" w:rsidRPr="00634742" w:rsidRDefault="008001FA" w:rsidP="008001FA">
      <w:pPr>
        <w:pStyle w:val="HChG"/>
      </w:pPr>
      <w:r w:rsidRPr="00634742">
        <w:lastRenderedPageBreak/>
        <w:tab/>
        <w:t>I.</w:t>
      </w:r>
      <w:r w:rsidRPr="00634742">
        <w:tab/>
        <w:t>Attendance</w:t>
      </w:r>
    </w:p>
    <w:p w14:paraId="1C425DC9" w14:textId="77777777" w:rsidR="008001FA" w:rsidRPr="00634742" w:rsidRDefault="008001FA" w:rsidP="008001FA">
      <w:pPr>
        <w:pStyle w:val="SingleTxtG"/>
      </w:pPr>
      <w:r w:rsidRPr="00634742">
        <w:t>1.</w:t>
      </w:r>
      <w:r w:rsidRPr="00634742">
        <w:tab/>
        <w:t>The Sub-Committee of Experts on the Transport of Dangerous Goods held its fifty-</w:t>
      </w:r>
      <w:r>
        <w:t>fourth session from 26 November to 4 December 2018</w:t>
      </w:r>
      <w:r w:rsidRPr="00634742">
        <w:t>, with Mr. D. Pfund (United States of America) as Chair and Mr. C. Pfauvadel (France) as Vice-Chair.</w:t>
      </w:r>
    </w:p>
    <w:p w14:paraId="3914B964" w14:textId="0F5E7176" w:rsidR="008001FA" w:rsidRPr="00634742" w:rsidRDefault="008001FA" w:rsidP="008001FA">
      <w:pPr>
        <w:pStyle w:val="SingleTxtG"/>
      </w:pPr>
      <w:r w:rsidRPr="00277849">
        <w:t>2.</w:t>
      </w:r>
      <w:r w:rsidRPr="00277849">
        <w:tab/>
        <w:t>Experts from the following countries took part in the sessio</w:t>
      </w:r>
      <w:r w:rsidR="00C91C29">
        <w:t xml:space="preserve">n: Australia, Austria, Belgium, </w:t>
      </w:r>
      <w:r w:rsidRPr="00277849">
        <w:t>Canada, China, Finland, France, Germany, Japan, Morocco, the Netherlands, Republic of Korea, Russian Federation, Spain, Sweden, Switzerland, United Kingdom and United States of America.</w:t>
      </w:r>
    </w:p>
    <w:p w14:paraId="6B191535" w14:textId="1E5BFFFC" w:rsidR="008001FA" w:rsidRPr="00634742" w:rsidRDefault="008001FA" w:rsidP="008001FA">
      <w:pPr>
        <w:pStyle w:val="SingleTxtG"/>
      </w:pPr>
      <w:r w:rsidRPr="00634742">
        <w:t>3.</w:t>
      </w:r>
      <w:r w:rsidRPr="00634742">
        <w:tab/>
        <w:t xml:space="preserve">Under rule 72 of the rules of procedure of the Economic and Social Council, observers from </w:t>
      </w:r>
      <w:r>
        <w:t xml:space="preserve">Ireland, </w:t>
      </w:r>
      <w:r w:rsidRPr="00634742">
        <w:t xml:space="preserve">Slovakia </w:t>
      </w:r>
      <w:r>
        <w:t xml:space="preserve">and Turkey </w:t>
      </w:r>
      <w:r w:rsidRPr="00634742">
        <w:t>also took part.</w:t>
      </w:r>
    </w:p>
    <w:p w14:paraId="3C4F70F7" w14:textId="77777777" w:rsidR="008001FA" w:rsidRPr="00634742" w:rsidRDefault="008001FA" w:rsidP="008001FA">
      <w:pPr>
        <w:pStyle w:val="SingleTxtG"/>
      </w:pPr>
      <w:r w:rsidRPr="00634742">
        <w:t>4.</w:t>
      </w:r>
      <w:r w:rsidRPr="00634742">
        <w:tab/>
        <w:t>Representatives of the European Union and the Intergovernmental Organization for International Carriage by Rail (OTIF) also attended.</w:t>
      </w:r>
    </w:p>
    <w:p w14:paraId="4EAD7DFC" w14:textId="4147E332" w:rsidR="008001FA" w:rsidRDefault="008001FA" w:rsidP="008001FA">
      <w:pPr>
        <w:pStyle w:val="SingleTxtG"/>
      </w:pPr>
      <w:r w:rsidRPr="00634742">
        <w:t>5.</w:t>
      </w:r>
      <w:r w:rsidRPr="00634742">
        <w:tab/>
        <w:t xml:space="preserve">Representatives of the Food and Agriculture Organization (FAO), </w:t>
      </w:r>
      <w:r w:rsidR="00072AFD">
        <w:t xml:space="preserve">the International Atomic Energy Agency (IAEA), </w:t>
      </w:r>
      <w:r w:rsidRPr="00634742">
        <w:t>the International Civi</w:t>
      </w:r>
      <w:r>
        <w:t>l Aviation Organization (ICAO),</w:t>
      </w:r>
      <w:r w:rsidRPr="00634742">
        <w:t xml:space="preserve"> the International Maritime Organization (IMO) </w:t>
      </w:r>
      <w:r>
        <w:t xml:space="preserve">and </w:t>
      </w:r>
      <w:r w:rsidRPr="00634742">
        <w:t>the World</w:t>
      </w:r>
      <w:r>
        <w:t xml:space="preserve"> </w:t>
      </w:r>
      <w:r w:rsidRPr="00634742">
        <w:t>Health Organization (WHO) were also present.</w:t>
      </w:r>
    </w:p>
    <w:p w14:paraId="70C7069C" w14:textId="35B2D4B5" w:rsidR="008001FA" w:rsidRPr="00634742" w:rsidRDefault="008001FA" w:rsidP="008001FA">
      <w:pPr>
        <w:pStyle w:val="SingleTxtG"/>
      </w:pPr>
      <w:r w:rsidRPr="00277849">
        <w:t>6.</w:t>
      </w:r>
      <w:r w:rsidRPr="00277849">
        <w:tab/>
        <w:t xml:space="preserve">Representatives of the following non-governmental organizations took part in the discussion on items of concern to those organizations: </w:t>
      </w:r>
      <w:r w:rsidR="0031479D">
        <w:t>Association o</w:t>
      </w:r>
      <w:r w:rsidR="0031479D" w:rsidRPr="0031479D">
        <w:t>f European Manufacturer of Sporting Ammunition (AFEMS)</w:t>
      </w:r>
      <w:r w:rsidR="0031479D">
        <w:t xml:space="preserve">; </w:t>
      </w:r>
      <w:r w:rsidRPr="00C91C29">
        <w:t>Australian Explosives Industry Safety Group (AEISG); Compressed Gas Association (CGA); Council on Safe Transportation of Hazardous Articles (COSTHA); Dangerous Goods Advisory Council (DGAC); Dangerous Goods Trainers Association (DGTA); European Association for Advanced Rechargeable Batteries (RECHARGE); European Association of Automotive Suppliers (CLEPA); European Chemical Industry Council (CEFIC); European Industrial Gases Association (EIGA); Federation of European Aerosol Associations (FEA); Institute of Makers of Explosives (IME); International Air Transport Association (IATA); International Association for Soaps, Detergents and Maintenance Products (AISE); International Association of Fire and Rescue Services (CTIF); International Confederation of Container Reconditioners (ICCR); International Confederation of Drums Manufacturers (ICDM); International Confederation of Intermediate Bulk Container Associations (ICIBCA); International Confederation of Plastics Packaging Manufacturers (ICPP); International Dangerous Goods and Containers Association (IDGCA); International Fibre Drum Institute (IFDI); International Paint and Printing Ink Council (IPPIC); International Petroleum Industry Environmental Conservation Association (IPIECA); International Tank Container Organisation (ITCO); KiloFarad International (KFI); Medical Device Battery Transport Council (MDBTC); Metal Packaging Europe (MPE); Rechargeable Battery Association (PRBA); Responsible Packaging Management Association of Southern Africa (RPMASA);  Sporting Arms and Ammunition Manufacturers’ Institute (SAAMI), Stainless Steel Container Association (SSCA) and World LPG Association (WLPGA).</w:t>
      </w:r>
    </w:p>
    <w:p w14:paraId="4357C438" w14:textId="77777777" w:rsidR="0031479D" w:rsidRDefault="0031479D">
      <w:pPr>
        <w:suppressAutoHyphens w:val="0"/>
        <w:spacing w:line="240" w:lineRule="auto"/>
        <w:rPr>
          <w:b/>
          <w:sz w:val="28"/>
        </w:rPr>
      </w:pPr>
      <w:r>
        <w:br w:type="page"/>
      </w:r>
    </w:p>
    <w:p w14:paraId="1E557540" w14:textId="2896FC3F" w:rsidR="008001FA" w:rsidRDefault="008001FA" w:rsidP="008001FA">
      <w:pPr>
        <w:pStyle w:val="HChG"/>
      </w:pPr>
      <w:r>
        <w:lastRenderedPageBreak/>
        <w:tab/>
        <w:t>II.</w:t>
      </w:r>
      <w:r>
        <w:tab/>
        <w:t>Adoption of the agenda (agenda item 1)</w:t>
      </w:r>
    </w:p>
    <w:p w14:paraId="4F7FE55A" w14:textId="77777777" w:rsidR="008001FA" w:rsidRPr="00634742" w:rsidRDefault="008001FA" w:rsidP="008001FA">
      <w:pPr>
        <w:pStyle w:val="SingleTxtG"/>
        <w:tabs>
          <w:tab w:val="left" w:pos="3119"/>
        </w:tabs>
        <w:jc w:val="left"/>
      </w:pPr>
      <w:r w:rsidRPr="00EF030F">
        <w:rPr>
          <w:i/>
          <w:iCs/>
        </w:rPr>
        <w:t>Documents:</w:t>
      </w:r>
      <w:r w:rsidRPr="00634742">
        <w:tab/>
        <w:t>ST/SG/AC.10/C.3/</w:t>
      </w:r>
      <w:r>
        <w:t>107</w:t>
      </w:r>
      <w:r w:rsidRPr="00634742">
        <w:t xml:space="preserve"> (Provisional agenda)</w:t>
      </w:r>
      <w:r w:rsidRPr="00634742">
        <w:br/>
      </w:r>
      <w:r>
        <w:tab/>
      </w:r>
      <w:r w:rsidRPr="00634742">
        <w:t>ST/SG/AC.10/C.3/</w:t>
      </w:r>
      <w:r>
        <w:t>107/Add.1 (List of documents and annotations)</w:t>
      </w:r>
    </w:p>
    <w:p w14:paraId="788E8402" w14:textId="77777777" w:rsidR="008001FA" w:rsidRDefault="008001FA" w:rsidP="008001FA">
      <w:pPr>
        <w:pStyle w:val="SingleTxtG"/>
        <w:ind w:left="3119" w:hanging="1985"/>
        <w:jc w:val="left"/>
      </w:pPr>
      <w:r w:rsidRPr="005D2690">
        <w:rPr>
          <w:i/>
          <w:iCs/>
        </w:rPr>
        <w:t>Informal documents:</w:t>
      </w:r>
      <w:r w:rsidRPr="00634742">
        <w:tab/>
        <w:t>INF.1 and INF.2 (List of documents)</w:t>
      </w:r>
      <w:r w:rsidRPr="00634742">
        <w:br/>
      </w:r>
      <w:r>
        <w:t>INF.17 (Provisional timetable)</w:t>
      </w:r>
      <w:r>
        <w:br/>
        <w:t>INF.27 (Reception by NGOs)</w:t>
      </w:r>
    </w:p>
    <w:p w14:paraId="0E6B4A86" w14:textId="12C0A0D7" w:rsidR="008001FA" w:rsidRPr="00BF21EA" w:rsidRDefault="008001FA" w:rsidP="008001FA">
      <w:pPr>
        <w:pStyle w:val="SingleTxtG"/>
        <w:tabs>
          <w:tab w:val="left" w:pos="1701"/>
        </w:tabs>
      </w:pPr>
      <w:r w:rsidRPr="00BF21EA">
        <w:t>7.</w:t>
      </w:r>
      <w:r w:rsidRPr="00BF21EA">
        <w:tab/>
        <w:t>The Sub-Committee adopted the provisional agenda prepared by the secretariat after amending it to take account of informal documents INF.1 and INF</w:t>
      </w:r>
      <w:r w:rsidR="00380F6F">
        <w:t>.55</w:t>
      </w:r>
      <w:r w:rsidRPr="00BF21EA">
        <w:t>.</w:t>
      </w:r>
    </w:p>
    <w:p w14:paraId="4516ABA7" w14:textId="3BCA8F36" w:rsidR="008001FA" w:rsidRDefault="008001FA" w:rsidP="008001FA">
      <w:pPr>
        <w:pStyle w:val="HChG"/>
      </w:pPr>
      <w:r w:rsidRPr="00634742">
        <w:tab/>
        <w:t>I</w:t>
      </w:r>
      <w:r>
        <w:t>II</w:t>
      </w:r>
      <w:r w:rsidRPr="00634742">
        <w:t>.</w:t>
      </w:r>
      <w:r w:rsidRPr="00634742">
        <w:tab/>
      </w:r>
      <w:r>
        <w:t>Recommendations made by the Sub-Committee on its fifty-first, fifty-second and fifty-third sessions and pending issues</w:t>
      </w:r>
      <w:r w:rsidRPr="00634742">
        <w:t xml:space="preserve"> (agenda item 2)</w:t>
      </w:r>
    </w:p>
    <w:p w14:paraId="300A2AD1" w14:textId="77777777" w:rsidR="000B031F" w:rsidRDefault="000B031F" w:rsidP="000B031F">
      <w:pPr>
        <w:pStyle w:val="H1G"/>
      </w:pPr>
      <w:r>
        <w:tab/>
        <w:t>A.</w:t>
      </w:r>
      <w:r>
        <w:tab/>
        <w:t>Review of draft amendments already adopted during the biennium</w:t>
      </w:r>
    </w:p>
    <w:p w14:paraId="11195A10" w14:textId="292EDB6C" w:rsidR="000B031F" w:rsidRDefault="000B031F" w:rsidP="008C5256">
      <w:pPr>
        <w:spacing w:line="240" w:lineRule="auto"/>
        <w:ind w:left="3119" w:hanging="1979"/>
        <w:rPr>
          <w:lang w:val="en-US"/>
        </w:rPr>
      </w:pPr>
      <w:r>
        <w:rPr>
          <w:i/>
          <w:iCs/>
        </w:rPr>
        <w:t>Documents:</w:t>
      </w:r>
      <w:r w:rsidR="008C5256">
        <w:tab/>
      </w:r>
      <w:r>
        <w:rPr>
          <w:lang w:val="en-US"/>
        </w:rPr>
        <w:t xml:space="preserve">ST/SG/AC.10/C.3/2018/65 (Secretariat) </w:t>
      </w:r>
    </w:p>
    <w:p w14:paraId="14A0CBE4" w14:textId="7B31BFA6" w:rsidR="000B031F" w:rsidRDefault="008C5256" w:rsidP="008C5256">
      <w:pPr>
        <w:tabs>
          <w:tab w:val="left" w:pos="3119"/>
        </w:tabs>
        <w:rPr>
          <w:lang w:val="en-US"/>
        </w:rPr>
      </w:pPr>
      <w:r>
        <w:rPr>
          <w:lang w:val="en-US"/>
        </w:rPr>
        <w:tab/>
      </w:r>
      <w:r w:rsidR="000B031F">
        <w:rPr>
          <w:lang w:val="en-US"/>
        </w:rPr>
        <w:t>ST/SG/AC.10/C.3/2018/86 (United States of America)</w:t>
      </w:r>
    </w:p>
    <w:p w14:paraId="77BAA684" w14:textId="33D823A0" w:rsidR="000B031F" w:rsidRDefault="000B031F" w:rsidP="008C5256">
      <w:pPr>
        <w:tabs>
          <w:tab w:val="left" w:pos="3119"/>
        </w:tabs>
        <w:spacing w:line="240" w:lineRule="auto"/>
        <w:ind w:left="2880" w:hanging="1740"/>
        <w:rPr>
          <w:lang w:val="en-US"/>
        </w:rPr>
      </w:pPr>
      <w:r>
        <w:tab/>
      </w:r>
      <w:r>
        <w:tab/>
      </w:r>
      <w:r>
        <w:rPr>
          <w:lang w:val="en-US"/>
        </w:rPr>
        <w:t>ST/SG/AC.10/C.3/2018/90 (Secretariat)</w:t>
      </w:r>
    </w:p>
    <w:p w14:paraId="7C8385BD" w14:textId="626C08BA" w:rsidR="000B031F" w:rsidRDefault="000B031F" w:rsidP="008C5256">
      <w:pPr>
        <w:tabs>
          <w:tab w:val="left" w:pos="3119"/>
        </w:tabs>
        <w:spacing w:before="240"/>
        <w:ind w:left="1134"/>
      </w:pPr>
      <w:r>
        <w:rPr>
          <w:i/>
          <w:iCs/>
        </w:rPr>
        <w:t>Informal document:</w:t>
      </w:r>
      <w:r w:rsidR="008C5256">
        <w:tab/>
      </w:r>
      <w:r>
        <w:t xml:space="preserve">INF.14 (Netherlands) </w:t>
      </w:r>
    </w:p>
    <w:p w14:paraId="5CAEA6EF" w14:textId="77777777" w:rsidR="000B031F" w:rsidRDefault="000B031F" w:rsidP="000B031F">
      <w:pPr>
        <w:ind w:left="1134"/>
        <w:rPr>
          <w:highlight w:val="yellow"/>
        </w:rPr>
      </w:pPr>
    </w:p>
    <w:p w14:paraId="334701A8" w14:textId="77DEC054" w:rsidR="000B031F" w:rsidRDefault="007A5E7E" w:rsidP="000B031F">
      <w:pPr>
        <w:pStyle w:val="SingleTxtG"/>
        <w:rPr>
          <w:lang w:val="en-US"/>
        </w:rPr>
      </w:pPr>
      <w:r>
        <w:t>8</w:t>
      </w:r>
      <w:r w:rsidR="000B031F">
        <w:t>.</w:t>
      </w:r>
      <w:r w:rsidR="000B031F">
        <w:tab/>
        <w:t>With the exception of the amendments related to Class 1 and the Manual of Tests and Criteria that were referred to the Working Group on Explosives for consideration</w:t>
      </w:r>
      <w:r w:rsidR="00B36246">
        <w:t xml:space="preserve"> (see paragraphs 12 and </w:t>
      </w:r>
      <w:r w:rsidR="00264E2B">
        <w:t>1</w:t>
      </w:r>
      <w:r w:rsidR="00B36246">
        <w:t>4)</w:t>
      </w:r>
      <w:r w:rsidR="000B031F">
        <w:t xml:space="preserve">, the Sub-Committee confirmed the amendments to the Model Regulations in document </w:t>
      </w:r>
      <w:r w:rsidR="000B031F">
        <w:rPr>
          <w:lang w:val="en-US"/>
        </w:rPr>
        <w:t xml:space="preserve">ST/SG/AC.10/C.3/2018/65, including those between square brackets, with the following exceptions and modifications: </w:t>
      </w:r>
    </w:p>
    <w:p w14:paraId="4A3F1395" w14:textId="2CE704F4" w:rsidR="00AC4DDB" w:rsidRDefault="00AC4DDB" w:rsidP="00B36246">
      <w:pPr>
        <w:pStyle w:val="SingleTxtG"/>
        <w:ind w:left="2268" w:hanging="567"/>
        <w:rPr>
          <w:lang w:val="en-US"/>
        </w:rPr>
      </w:pPr>
      <w:r>
        <w:rPr>
          <w:lang w:val="en-US"/>
        </w:rPr>
        <w:t>(a)</w:t>
      </w:r>
      <w:r>
        <w:rPr>
          <w:lang w:val="en-US"/>
        </w:rPr>
        <w:tab/>
        <w:t xml:space="preserve">The amendment to 1.1.1.2 (c) </w:t>
      </w:r>
      <w:r w:rsidR="00B36246">
        <w:rPr>
          <w:lang w:val="en-US"/>
        </w:rPr>
        <w:t>w</w:t>
      </w:r>
      <w:r>
        <w:rPr>
          <w:lang w:val="en-US"/>
        </w:rPr>
        <w:t>as withdrawn (see paragraph</w:t>
      </w:r>
      <w:r w:rsidR="00B36246">
        <w:rPr>
          <w:lang w:val="en-US"/>
        </w:rPr>
        <w:t xml:space="preserve"> </w:t>
      </w:r>
      <w:r w:rsidR="00264E2B">
        <w:rPr>
          <w:lang w:val="en-US"/>
        </w:rPr>
        <w:t>83</w:t>
      </w:r>
      <w:r>
        <w:rPr>
          <w:lang w:val="en-US"/>
        </w:rPr>
        <w:t>).</w:t>
      </w:r>
    </w:p>
    <w:p w14:paraId="461753E9" w14:textId="6DD80A7A" w:rsidR="000B031F" w:rsidRDefault="003B1F39" w:rsidP="00B36246">
      <w:pPr>
        <w:pStyle w:val="Bullet1G"/>
        <w:numPr>
          <w:ilvl w:val="0"/>
          <w:numId w:val="0"/>
        </w:numPr>
        <w:tabs>
          <w:tab w:val="left" w:pos="1701"/>
        </w:tabs>
        <w:ind w:left="2268" w:hanging="567"/>
        <w:rPr>
          <w:lang w:val="en-US"/>
        </w:rPr>
      </w:pPr>
      <w:r>
        <w:rPr>
          <w:lang w:val="en-US"/>
        </w:rPr>
        <w:t>(</w:t>
      </w:r>
      <w:r w:rsidR="00AC4DDB">
        <w:rPr>
          <w:lang w:val="en-US"/>
        </w:rPr>
        <w:t>b</w:t>
      </w:r>
      <w:r>
        <w:rPr>
          <w:lang w:val="en-US"/>
        </w:rPr>
        <w:t>)</w:t>
      </w:r>
      <w:r>
        <w:rPr>
          <w:lang w:val="en-US"/>
        </w:rPr>
        <w:tab/>
      </w:r>
      <w:r w:rsidR="000B031F">
        <w:rPr>
          <w:lang w:val="en-US"/>
        </w:rPr>
        <w:t>The proposal in document ST/SG/AC.10/C.3/2018/86 to delete the entry for UN 1390, packing group I, was adopted (see annex</w:t>
      </w:r>
      <w:r w:rsidR="006A7D31">
        <w:rPr>
          <w:lang w:val="en-US"/>
        </w:rPr>
        <w:t xml:space="preserve"> I</w:t>
      </w:r>
      <w:r w:rsidR="000B031F">
        <w:rPr>
          <w:lang w:val="en-US"/>
        </w:rPr>
        <w:t>).</w:t>
      </w:r>
    </w:p>
    <w:p w14:paraId="07FAEF3C" w14:textId="1416D818" w:rsidR="000B031F" w:rsidRDefault="003B1F39" w:rsidP="00B36246">
      <w:pPr>
        <w:pStyle w:val="Bullet1G"/>
        <w:numPr>
          <w:ilvl w:val="0"/>
          <w:numId w:val="0"/>
        </w:numPr>
        <w:tabs>
          <w:tab w:val="left" w:pos="1701"/>
        </w:tabs>
        <w:ind w:left="2268" w:hanging="567"/>
        <w:rPr>
          <w:lang w:val="en-US"/>
        </w:rPr>
      </w:pPr>
      <w:r>
        <w:rPr>
          <w:lang w:val="en-US"/>
        </w:rPr>
        <w:t>(</w:t>
      </w:r>
      <w:r w:rsidR="00AC4DDB">
        <w:rPr>
          <w:lang w:val="en-US"/>
        </w:rPr>
        <w:t>c</w:t>
      </w:r>
      <w:r>
        <w:rPr>
          <w:lang w:val="en-US"/>
        </w:rPr>
        <w:t>)</w:t>
      </w:r>
      <w:r>
        <w:rPr>
          <w:lang w:val="en-US"/>
        </w:rPr>
        <w:tab/>
      </w:r>
      <w:r w:rsidR="000B031F">
        <w:rPr>
          <w:lang w:val="en-US"/>
        </w:rPr>
        <w:t>The amendments to packing instructions P622 and LP622 were adopted, with some additional changes, following an oral proposal from the representative of FAO (see annex</w:t>
      </w:r>
      <w:r w:rsidR="006A7D31">
        <w:rPr>
          <w:lang w:val="en-US"/>
        </w:rPr>
        <w:t xml:space="preserve"> I</w:t>
      </w:r>
      <w:r w:rsidR="000B031F">
        <w:rPr>
          <w:lang w:val="en-US"/>
        </w:rPr>
        <w:t>).</w:t>
      </w:r>
    </w:p>
    <w:p w14:paraId="40B87F41" w14:textId="4B6CC83E" w:rsidR="000B031F" w:rsidRDefault="003B1F39" w:rsidP="00B36246">
      <w:pPr>
        <w:pStyle w:val="Bullet1G"/>
        <w:numPr>
          <w:ilvl w:val="0"/>
          <w:numId w:val="0"/>
        </w:numPr>
        <w:tabs>
          <w:tab w:val="left" w:pos="1701"/>
        </w:tabs>
        <w:ind w:left="2268" w:hanging="567"/>
        <w:rPr>
          <w:lang w:val="en-US"/>
        </w:rPr>
      </w:pPr>
      <w:r>
        <w:rPr>
          <w:lang w:val="en-US"/>
        </w:rPr>
        <w:t>(</w:t>
      </w:r>
      <w:r w:rsidR="00AC4DDB">
        <w:rPr>
          <w:lang w:val="en-US"/>
        </w:rPr>
        <w:t>d</w:t>
      </w:r>
      <w:r>
        <w:rPr>
          <w:lang w:val="en-US"/>
        </w:rPr>
        <w:t>)</w:t>
      </w:r>
      <w:r>
        <w:rPr>
          <w:lang w:val="en-US"/>
        </w:rPr>
        <w:tab/>
      </w:r>
      <w:r w:rsidR="000B031F">
        <w:rPr>
          <w:lang w:val="en-US"/>
        </w:rPr>
        <w:t>Following the introduction of informal document INF.14 by the representative of the Netherlands, the amendments to 7.1.5.4.5 (b) to (e) were not adopted (see annex</w:t>
      </w:r>
      <w:r w:rsidR="006A7D31">
        <w:rPr>
          <w:lang w:val="en-US"/>
        </w:rPr>
        <w:t xml:space="preserve"> I</w:t>
      </w:r>
      <w:r w:rsidR="000B031F">
        <w:rPr>
          <w:lang w:val="en-US"/>
        </w:rPr>
        <w:t xml:space="preserve">). The expert from the Netherlands explained that the proposed amendments needed further refinement to avoid misinterpretations and that discussions to improve the text were ongoing at the Working Party on the Transport of Dangerous Goods (WP.15). She informed the Sub-Committee that based on the outcome of these discussions, she would consider submitting a revised proposal for consideration by the Sub-Committee in the future. </w:t>
      </w:r>
    </w:p>
    <w:p w14:paraId="00F6ABC5" w14:textId="274ABCDB" w:rsidR="000B031F" w:rsidRDefault="003B1F39" w:rsidP="00B36246">
      <w:pPr>
        <w:pStyle w:val="Bullet1G"/>
        <w:keepNext/>
        <w:keepLines/>
        <w:numPr>
          <w:ilvl w:val="0"/>
          <w:numId w:val="0"/>
        </w:numPr>
        <w:tabs>
          <w:tab w:val="left" w:pos="1701"/>
        </w:tabs>
        <w:ind w:left="2268" w:hanging="567"/>
        <w:rPr>
          <w:lang w:val="en-US"/>
        </w:rPr>
      </w:pPr>
      <w:r>
        <w:rPr>
          <w:lang w:val="en-US"/>
        </w:rPr>
        <w:t>(</w:t>
      </w:r>
      <w:r w:rsidR="00AC4DDB">
        <w:rPr>
          <w:lang w:val="en-US"/>
        </w:rPr>
        <w:t>e</w:t>
      </w:r>
      <w:r>
        <w:rPr>
          <w:lang w:val="en-US"/>
        </w:rPr>
        <w:t>)</w:t>
      </w:r>
      <w:r>
        <w:rPr>
          <w:lang w:val="en-US"/>
        </w:rPr>
        <w:tab/>
      </w:r>
      <w:r w:rsidR="000B031F">
        <w:rPr>
          <w:lang w:val="en-US"/>
        </w:rPr>
        <w:t>A correction to the French text of the definition of the “U” factor in 6.7.2.12.2.1 and 6.7.3.8.1.1 was also adopted (see annex</w:t>
      </w:r>
      <w:r w:rsidR="006A7D31">
        <w:rPr>
          <w:lang w:val="en-US"/>
        </w:rPr>
        <w:t xml:space="preserve"> I</w:t>
      </w:r>
      <w:r w:rsidR="000B031F">
        <w:rPr>
          <w:lang w:val="en-US"/>
        </w:rPr>
        <w:t xml:space="preserve">). It was noted that this correction did not apply to the English version. </w:t>
      </w:r>
    </w:p>
    <w:p w14:paraId="12285F2A" w14:textId="793BD839" w:rsidR="000B031F" w:rsidRDefault="00AC4DDB" w:rsidP="000B031F">
      <w:pPr>
        <w:pStyle w:val="SingleTxtG"/>
        <w:rPr>
          <w:lang w:val="en-US"/>
        </w:rPr>
      </w:pPr>
      <w:r>
        <w:rPr>
          <w:lang w:val="en-US"/>
        </w:rPr>
        <w:t>9</w:t>
      </w:r>
      <w:r w:rsidR="000B031F">
        <w:rPr>
          <w:lang w:val="en-US"/>
        </w:rPr>
        <w:t>.</w:t>
      </w:r>
      <w:r w:rsidR="000B031F">
        <w:rPr>
          <w:lang w:val="en-US"/>
        </w:rPr>
        <w:tab/>
        <w:t>On a question by the representative of WHO on the rationale behind the non-applicability of UN 3549 to waste from bio-research or liquid waste, as stated in 2.6.3.5.1</w:t>
      </w:r>
      <w:r w:rsidR="006A7D31">
        <w:rPr>
          <w:lang w:val="en-US"/>
        </w:rPr>
        <w:t> </w:t>
      </w:r>
      <w:r w:rsidR="000B031F">
        <w:rPr>
          <w:lang w:val="en-US"/>
        </w:rPr>
        <w:t xml:space="preserve">(a), the expert from Belgium explained that the new provisions had been developed to cover </w:t>
      </w:r>
      <w:r w:rsidR="000B031F">
        <w:rPr>
          <w:lang w:val="en-US"/>
        </w:rPr>
        <w:lastRenderedPageBreak/>
        <w:t xml:space="preserve">transport of large volumes of category A wastes for which the existing provisions in P620 were not suitable. </w:t>
      </w:r>
    </w:p>
    <w:p w14:paraId="31D78362" w14:textId="6B6D7689" w:rsidR="000B031F" w:rsidRDefault="00AC4DDB" w:rsidP="000B031F">
      <w:pPr>
        <w:pStyle w:val="SingleTxtG"/>
        <w:rPr>
          <w:lang w:val="en-US"/>
        </w:rPr>
      </w:pPr>
      <w:r>
        <w:rPr>
          <w:lang w:val="en-US"/>
        </w:rPr>
        <w:t>10</w:t>
      </w:r>
      <w:r w:rsidR="000B031F">
        <w:rPr>
          <w:lang w:val="en-US"/>
        </w:rPr>
        <w:t>.</w:t>
      </w:r>
      <w:r w:rsidR="000B031F">
        <w:rPr>
          <w:lang w:val="en-US"/>
        </w:rPr>
        <w:tab/>
        <w:t xml:space="preserve">The Sub-Committee was informed that the corrections listed in document ST/SG/AC.10/C.3/2018/90 would be circulated as an official corrigendum to the twentieth revised edition of the Model Regulations. Experts were invited to communicate additional corrections, if any, to the secretariat so that they </w:t>
      </w:r>
      <w:r w:rsidR="00BC4F4D">
        <w:rPr>
          <w:lang w:val="en-US"/>
        </w:rPr>
        <w:t xml:space="preserve">could </w:t>
      </w:r>
      <w:r w:rsidR="000B031F">
        <w:rPr>
          <w:lang w:val="en-US"/>
        </w:rPr>
        <w:t>be included as well in the official corrigendum.</w:t>
      </w:r>
    </w:p>
    <w:p w14:paraId="11C40F9F" w14:textId="77777777" w:rsidR="008001FA" w:rsidRDefault="008001FA" w:rsidP="008001FA">
      <w:pPr>
        <w:pStyle w:val="H1G"/>
      </w:pPr>
      <w:r>
        <w:tab/>
        <w:t>B.</w:t>
      </w:r>
      <w:r>
        <w:tab/>
        <w:t>Explosives and related matters</w:t>
      </w:r>
    </w:p>
    <w:p w14:paraId="2997F418" w14:textId="2B8FE306" w:rsidR="008001FA" w:rsidRPr="00BF21EA" w:rsidRDefault="00AC4DDB" w:rsidP="008001FA">
      <w:pPr>
        <w:pStyle w:val="SingleTxtG"/>
        <w:tabs>
          <w:tab w:val="left" w:pos="1701"/>
        </w:tabs>
      </w:pPr>
      <w:r>
        <w:t>11</w:t>
      </w:r>
      <w:r w:rsidR="008001FA" w:rsidRPr="00BF21EA">
        <w:t>.</w:t>
      </w:r>
      <w:r w:rsidR="008001FA" w:rsidRPr="00BF21EA">
        <w:tab/>
        <w:t xml:space="preserve">After preliminary consideration in plenary, most of the questions relating to this agenda item were referred to the Working Group on Explosives, which met from 26 to </w:t>
      </w:r>
      <w:r w:rsidR="006C5DB5">
        <w:t>30</w:t>
      </w:r>
      <w:r w:rsidR="008001FA" w:rsidRPr="00BF21EA">
        <w:t xml:space="preserve"> December 2018 under the chairmanship of Mr. E. de Jong (Netherlands).</w:t>
      </w:r>
    </w:p>
    <w:p w14:paraId="457C1270" w14:textId="204C57BB" w:rsidR="008001FA" w:rsidRDefault="00AC4DDB" w:rsidP="008001FA">
      <w:pPr>
        <w:pStyle w:val="SingleTxtG"/>
        <w:tabs>
          <w:tab w:val="left" w:pos="1701"/>
        </w:tabs>
      </w:pPr>
      <w:r>
        <w:t>12</w:t>
      </w:r>
      <w:r w:rsidR="008001FA">
        <w:t>.</w:t>
      </w:r>
      <w:r w:rsidR="008001FA">
        <w:tab/>
        <w:t xml:space="preserve">Documents under agenda item 7 (d) on the use of Manual of Tests and Criteria in the context of the GHS, as well as documents ST/SG/AC.10/C.3/2018/64, ST/SG/AC.10/C.3/2018/75 and ST/SG/AC.10/C.3/2018/99, and  explosives related amendments in document ST/SG/AC.10/C.3/2018/65 were also referred to the Working Group on Explosives for consideration. </w:t>
      </w:r>
    </w:p>
    <w:p w14:paraId="0B60C59A" w14:textId="1F2EF660" w:rsidR="005468CE" w:rsidRPr="00E35A4A" w:rsidRDefault="005468CE" w:rsidP="00BB05BD">
      <w:pPr>
        <w:pStyle w:val="H23G"/>
      </w:pPr>
      <w:r w:rsidRPr="00E35A4A">
        <w:tab/>
      </w:r>
      <w:r w:rsidR="00BD1F38">
        <w:tab/>
      </w:r>
      <w:r w:rsidRPr="00E35A4A">
        <w:t xml:space="preserve">Report of the Working Group on Explosives </w:t>
      </w:r>
    </w:p>
    <w:p w14:paraId="1A895414" w14:textId="77777777" w:rsidR="005468CE" w:rsidRPr="00EE13A0" w:rsidRDefault="005468CE" w:rsidP="008C5256">
      <w:pPr>
        <w:pStyle w:val="SingleTxtG"/>
        <w:ind w:left="3119" w:hanging="1985"/>
        <w:jc w:val="left"/>
        <w:rPr>
          <w:lang w:val="fr-FR"/>
        </w:rPr>
      </w:pPr>
      <w:r w:rsidRPr="005D2690">
        <w:rPr>
          <w:i/>
          <w:iCs/>
        </w:rPr>
        <w:t>Informal document:</w:t>
      </w:r>
      <w:r>
        <w:rPr>
          <w:i/>
          <w:iCs/>
        </w:rPr>
        <w:t xml:space="preserve"> </w:t>
      </w:r>
      <w:r>
        <w:rPr>
          <w:i/>
          <w:iCs/>
        </w:rPr>
        <w:tab/>
      </w:r>
      <w:r w:rsidRPr="00634742">
        <w:t>INF.</w:t>
      </w:r>
      <w:r>
        <w:t>50 (Chairman of the Working Group)</w:t>
      </w:r>
    </w:p>
    <w:p w14:paraId="216B4069" w14:textId="72044200" w:rsidR="005468CE" w:rsidRDefault="00AC4DDB" w:rsidP="005468CE">
      <w:pPr>
        <w:pStyle w:val="SingleTxtG"/>
        <w:tabs>
          <w:tab w:val="left" w:pos="1701"/>
        </w:tabs>
      </w:pPr>
      <w:r>
        <w:t>13</w:t>
      </w:r>
      <w:r w:rsidR="005468CE">
        <w:t xml:space="preserve">. </w:t>
      </w:r>
      <w:r w:rsidR="005468CE">
        <w:tab/>
        <w:t>Noting that the Working Group could not reach consensus on the proposals relating to the recommendations for Test Series 8; the application of the default fireworks classification table for classification of certain articles, pyrotechnic UN 0431; the</w:t>
      </w:r>
      <w:r w:rsidR="005468CE" w:rsidRPr="006E31EC">
        <w:t xml:space="preserve"> </w:t>
      </w:r>
      <w:r w:rsidR="005468CE">
        <w:t>a</w:t>
      </w:r>
      <w:r w:rsidR="005468CE" w:rsidRPr="006E31EC">
        <w:t>mendments to the list of items assigned to LP101</w:t>
      </w:r>
      <w:r w:rsidR="005468CE">
        <w:t xml:space="preserve">; the reassignment of </w:t>
      </w:r>
      <w:r w:rsidR="005468CE" w:rsidRPr="006E31EC">
        <w:t>special packing provisions PP67 and L1 to a new special provision</w:t>
      </w:r>
      <w:r w:rsidR="005468CE">
        <w:t>; the classification of self-inflating recovery devices</w:t>
      </w:r>
      <w:r w:rsidR="003C706B">
        <w:t>;</w:t>
      </w:r>
      <w:r w:rsidR="005468CE">
        <w:t xml:space="preserve"> </w:t>
      </w:r>
      <w:r w:rsidR="003C706B">
        <w:t xml:space="preserve">and the </w:t>
      </w:r>
      <w:r w:rsidR="00717C51">
        <w:t xml:space="preserve">splitting of Category 1 of the GHS within the framework of </w:t>
      </w:r>
      <w:r w:rsidR="003C706B">
        <w:t xml:space="preserve">review of Chapter 2.1, </w:t>
      </w:r>
      <w:r w:rsidR="005468CE">
        <w:t xml:space="preserve">the Sub-Committee addressed these documents in plenary, with the conclusions listed in sections </w:t>
      </w:r>
      <w:r w:rsidR="003C706B">
        <w:t xml:space="preserve">1 to 6 </w:t>
      </w:r>
      <w:r w:rsidR="005468CE">
        <w:t xml:space="preserve"> below.</w:t>
      </w:r>
    </w:p>
    <w:p w14:paraId="2A92B804" w14:textId="1856B4A3" w:rsidR="005468CE" w:rsidRDefault="00E758E5" w:rsidP="005468CE">
      <w:pPr>
        <w:pStyle w:val="SingleTxtG"/>
        <w:rPr>
          <w:i/>
          <w:iCs/>
        </w:rPr>
      </w:pPr>
      <w:r>
        <w:t>14</w:t>
      </w:r>
      <w:r w:rsidR="005468CE" w:rsidRPr="00E758E5">
        <w:t>.</w:t>
      </w:r>
      <w:r w:rsidR="005468CE" w:rsidRPr="00E758E5">
        <w:tab/>
        <w:t xml:space="preserve">In addition, having considered the report of the Working Group on Explosives and heard the explanations provided by its chairman, </w:t>
      </w:r>
      <w:r w:rsidR="005468CE" w:rsidRPr="00EA727B">
        <w:t xml:space="preserve">the Sub-Committee noted the conclusions listed in </w:t>
      </w:r>
      <w:r w:rsidR="005468CE" w:rsidRPr="00BB05BD">
        <w:t xml:space="preserve">sections </w:t>
      </w:r>
      <w:r w:rsidR="00717C51" w:rsidRPr="00E758E5">
        <w:t xml:space="preserve">7 to </w:t>
      </w:r>
      <w:r w:rsidR="00B36246" w:rsidRPr="00EA727B">
        <w:t>14</w:t>
      </w:r>
      <w:r w:rsidR="005468CE" w:rsidRPr="00EA727B">
        <w:t xml:space="preserve"> </w:t>
      </w:r>
      <w:r w:rsidR="005468CE" w:rsidRPr="00BB05BD">
        <w:t xml:space="preserve">below for each remaining subject under consideration under agenda item 2 and 7 (d). </w:t>
      </w:r>
    </w:p>
    <w:p w14:paraId="2D88FE73" w14:textId="77777777" w:rsidR="005468CE" w:rsidRDefault="005468CE" w:rsidP="005468CE">
      <w:pPr>
        <w:pStyle w:val="H23G"/>
      </w:pPr>
      <w:r>
        <w:tab/>
        <w:t>1.</w:t>
      </w:r>
      <w:r w:rsidRPr="00AF42CA">
        <w:t xml:space="preserve"> </w:t>
      </w:r>
      <w:r>
        <w:tab/>
        <w:t>Recommendations for Test Series 8</w:t>
      </w:r>
    </w:p>
    <w:p w14:paraId="7B9647FB" w14:textId="77777777" w:rsidR="005468CE" w:rsidRDefault="005468CE" w:rsidP="005468CE">
      <w:pPr>
        <w:pStyle w:val="SingleTxtG"/>
        <w:tabs>
          <w:tab w:val="left" w:pos="3119"/>
        </w:tabs>
        <w:spacing w:after="240"/>
        <w:ind w:left="3119" w:hanging="1985"/>
        <w:rPr>
          <w:lang w:val="en-US"/>
        </w:rPr>
      </w:pPr>
      <w:r w:rsidRPr="00EF030F">
        <w:rPr>
          <w:i/>
          <w:iCs/>
        </w:rPr>
        <w:t>Document:</w:t>
      </w:r>
      <w:r w:rsidRPr="00634742">
        <w:tab/>
      </w:r>
      <w:r>
        <w:t>ST/SG/AC.10/C.3/2018/67 (IME)</w:t>
      </w:r>
    </w:p>
    <w:p w14:paraId="7557C292" w14:textId="12E70E49" w:rsidR="005468CE" w:rsidRDefault="005468CE" w:rsidP="008C5256">
      <w:pPr>
        <w:pStyle w:val="SingleTxtG"/>
        <w:tabs>
          <w:tab w:val="left" w:pos="3119"/>
        </w:tabs>
        <w:jc w:val="left"/>
        <w:rPr>
          <w:lang w:val="en-US"/>
        </w:rPr>
      </w:pPr>
      <w:r>
        <w:rPr>
          <w:i/>
          <w:iCs/>
        </w:rPr>
        <w:t>Informal documents</w:t>
      </w:r>
      <w:r w:rsidRPr="00EF030F">
        <w:rPr>
          <w:i/>
          <w:iCs/>
        </w:rPr>
        <w:t>:</w:t>
      </w:r>
      <w:r w:rsidRPr="00634742">
        <w:tab/>
      </w:r>
      <w:r>
        <w:rPr>
          <w:lang w:val="en-US"/>
        </w:rPr>
        <w:t>INF.21 (Canada, IME)</w:t>
      </w:r>
      <w:r w:rsidR="008C5256">
        <w:rPr>
          <w:lang w:val="en-US"/>
        </w:rPr>
        <w:br/>
      </w:r>
      <w:r>
        <w:rPr>
          <w:lang w:val="en-US"/>
        </w:rPr>
        <w:tab/>
        <w:t>INF.50, paragraph 5 (</w:t>
      </w:r>
      <w:r>
        <w:t>Chairman of the Working Group</w:t>
      </w:r>
      <w:r>
        <w:rPr>
          <w:lang w:val="en-US"/>
        </w:rPr>
        <w:t>)</w:t>
      </w:r>
    </w:p>
    <w:p w14:paraId="42D06090" w14:textId="07E30B88" w:rsidR="005468CE" w:rsidRPr="006E31EC" w:rsidRDefault="002E0A7F" w:rsidP="005468CE">
      <w:pPr>
        <w:pStyle w:val="SingleTxtG"/>
      </w:pPr>
      <w:r>
        <w:t>15</w:t>
      </w:r>
      <w:r w:rsidR="005468CE" w:rsidRPr="006E31EC">
        <w:t>.</w:t>
      </w:r>
      <w:r w:rsidR="005468CE" w:rsidRPr="006E31EC">
        <w:tab/>
      </w:r>
      <w:r w:rsidR="0088473C">
        <w:t>T</w:t>
      </w:r>
      <w:r w:rsidR="005468CE" w:rsidRPr="006E31EC">
        <w:t xml:space="preserve">he Sub-Committee adopted </w:t>
      </w:r>
      <w:r w:rsidR="000C305C">
        <w:t xml:space="preserve">the proposals in ST/SG/AC.10/C.3/2018/67 as amended by </w:t>
      </w:r>
      <w:r w:rsidR="005468CE" w:rsidRPr="006E31EC">
        <w:t>amendments 1 to 5 in annex 3 to informal document INF.50 (see annex</w:t>
      </w:r>
      <w:r w:rsidR="006A7D31">
        <w:t xml:space="preserve"> II</w:t>
      </w:r>
      <w:r w:rsidR="005468CE" w:rsidRPr="006E31EC">
        <w:t>)</w:t>
      </w:r>
      <w:r w:rsidR="00B36246">
        <w:t xml:space="preserve"> and noted that t</w:t>
      </w:r>
      <w:r w:rsidR="005468CE" w:rsidRPr="006E31EC">
        <w:t xml:space="preserve">he consequential amendments to the GHS in amendment 1 in annex 4 to informal document INF.50 </w:t>
      </w:r>
      <w:r w:rsidR="00B36246">
        <w:t>would</w:t>
      </w:r>
      <w:r w:rsidR="00B36246" w:rsidRPr="006E31EC">
        <w:t xml:space="preserve"> </w:t>
      </w:r>
      <w:r w:rsidR="005468CE" w:rsidRPr="006E31EC">
        <w:t xml:space="preserve">be brought to the attention of the GHS Sub-Committee. </w:t>
      </w:r>
    </w:p>
    <w:p w14:paraId="00294BEC" w14:textId="77777777" w:rsidR="0031479D" w:rsidRDefault="0031479D">
      <w:pPr>
        <w:suppressAutoHyphens w:val="0"/>
        <w:spacing w:line="240" w:lineRule="auto"/>
        <w:rPr>
          <w:b/>
        </w:rPr>
      </w:pPr>
      <w:r>
        <w:br w:type="page"/>
      </w:r>
    </w:p>
    <w:p w14:paraId="4F15422A" w14:textId="190F6F30" w:rsidR="005468CE" w:rsidRDefault="005468CE" w:rsidP="005468CE">
      <w:pPr>
        <w:pStyle w:val="H23G"/>
      </w:pPr>
      <w:r>
        <w:lastRenderedPageBreak/>
        <w:tab/>
        <w:t>2.</w:t>
      </w:r>
      <w:r>
        <w:tab/>
        <w:t>Application of the default fireworks classification table for classification of certain articles, pyrotechnic UN 0431</w:t>
      </w:r>
    </w:p>
    <w:p w14:paraId="7D981487" w14:textId="77777777" w:rsidR="005468CE" w:rsidRDefault="005468CE" w:rsidP="0031479D">
      <w:pPr>
        <w:pStyle w:val="SingleTxtG"/>
        <w:tabs>
          <w:tab w:val="left" w:pos="3119"/>
        </w:tabs>
        <w:ind w:left="3119" w:hanging="1985"/>
        <w:rPr>
          <w:lang w:val="en-US"/>
        </w:rPr>
      </w:pPr>
      <w:r w:rsidRPr="00EF030F">
        <w:rPr>
          <w:i/>
          <w:iCs/>
        </w:rPr>
        <w:t>Document:</w:t>
      </w:r>
      <w:r w:rsidRPr="00634742">
        <w:tab/>
      </w:r>
      <w:r>
        <w:t>ST/SG/AC.10/C.3/2018/87 (United States of America)</w:t>
      </w:r>
    </w:p>
    <w:p w14:paraId="4E5885FD" w14:textId="77777777" w:rsidR="005468CE" w:rsidRPr="00DB66D5" w:rsidRDefault="005468CE" w:rsidP="0088473C">
      <w:pPr>
        <w:tabs>
          <w:tab w:val="left" w:pos="3119"/>
        </w:tabs>
        <w:spacing w:after="240"/>
        <w:ind w:left="567" w:firstLine="567"/>
      </w:pPr>
      <w:r>
        <w:rPr>
          <w:i/>
          <w:iCs/>
        </w:rPr>
        <w:t>Informal document</w:t>
      </w:r>
      <w:r w:rsidRPr="00EF030F">
        <w:rPr>
          <w:i/>
          <w:iCs/>
        </w:rPr>
        <w:t>:</w:t>
      </w:r>
      <w:r w:rsidRPr="00634742">
        <w:tab/>
      </w:r>
      <w:r>
        <w:rPr>
          <w:lang w:val="en-US"/>
        </w:rPr>
        <w:t>INF.50, paragraph 11 (</w:t>
      </w:r>
      <w:r>
        <w:t>Chairman of the Working Group</w:t>
      </w:r>
      <w:r>
        <w:rPr>
          <w:lang w:val="en-US"/>
        </w:rPr>
        <w:t>)</w:t>
      </w:r>
    </w:p>
    <w:p w14:paraId="351919FF" w14:textId="035E2AA7" w:rsidR="005468CE" w:rsidRPr="006E31EC" w:rsidRDefault="002E0A7F" w:rsidP="005468CE">
      <w:pPr>
        <w:pStyle w:val="SingleTxtG"/>
      </w:pPr>
      <w:r>
        <w:t>16</w:t>
      </w:r>
      <w:r w:rsidR="005468CE" w:rsidRPr="006E31EC">
        <w:t>.</w:t>
      </w:r>
      <w:r w:rsidR="005468CE" w:rsidRPr="006E31EC">
        <w:tab/>
        <w:t xml:space="preserve">Some experts raised concerns about the proposal as they believed that it could set a precedence for future requests to extend the application of the default classification to articles other than fireworks. The expert from the United States </w:t>
      </w:r>
      <w:r w:rsidR="00B36246">
        <w:t xml:space="preserve">of America </w:t>
      </w:r>
      <w:r w:rsidR="005468CE" w:rsidRPr="006E31EC">
        <w:t xml:space="preserve">explained that the proposal was intended to clarify the scope of the application of the default classification </w:t>
      </w:r>
      <w:r w:rsidR="005468CE">
        <w:t>system</w:t>
      </w:r>
      <w:r w:rsidR="005468CE" w:rsidRPr="006E31EC">
        <w:t xml:space="preserve"> and not to extend it. It was recognized however that the proposed text could be improved to avoid misunderstandings.</w:t>
      </w:r>
    </w:p>
    <w:p w14:paraId="1F07125F" w14:textId="2C3E0798" w:rsidR="005468CE" w:rsidRPr="006E31EC" w:rsidRDefault="002E0A7F" w:rsidP="005468CE">
      <w:pPr>
        <w:pStyle w:val="SingleTxtG"/>
      </w:pPr>
      <w:r>
        <w:t>17</w:t>
      </w:r>
      <w:r w:rsidR="005468CE" w:rsidRPr="006E31EC">
        <w:t>.</w:t>
      </w:r>
      <w:r w:rsidR="005468CE" w:rsidRPr="006E31EC">
        <w:tab/>
      </w:r>
      <w:r w:rsidR="0088473C">
        <w:t>T</w:t>
      </w:r>
      <w:r w:rsidR="005468CE" w:rsidRPr="006E31EC">
        <w:t>he Sub-Committee adopted the amendment to 2.1.3.5.2 in document ST/SG/AC.10/C.3/2018/</w:t>
      </w:r>
      <w:r w:rsidR="005468CE">
        <w:t>8</w:t>
      </w:r>
      <w:r w:rsidR="005468CE" w:rsidRPr="006E31EC">
        <w:t>7, with some modifications (see annex</w:t>
      </w:r>
      <w:r w:rsidR="006A7D31">
        <w:t xml:space="preserve"> I</w:t>
      </w:r>
      <w:r w:rsidR="005468CE" w:rsidRPr="006E31EC">
        <w:t>).</w:t>
      </w:r>
    </w:p>
    <w:p w14:paraId="6D588BF8" w14:textId="2CFA708B" w:rsidR="005468CE" w:rsidRDefault="005468CE" w:rsidP="005468CE">
      <w:pPr>
        <w:pStyle w:val="H23G"/>
      </w:pPr>
      <w:r>
        <w:tab/>
        <w:t>3.</w:t>
      </w:r>
      <w:r>
        <w:tab/>
        <w:t>Amendments to the list of items assigned to LP101</w:t>
      </w:r>
    </w:p>
    <w:p w14:paraId="78FE918A" w14:textId="77777777" w:rsidR="005468CE" w:rsidRDefault="005468CE" w:rsidP="005468CE">
      <w:pPr>
        <w:pStyle w:val="SingleTxtG"/>
        <w:tabs>
          <w:tab w:val="left" w:pos="3119"/>
        </w:tabs>
        <w:spacing w:after="240"/>
        <w:ind w:left="3119" w:hanging="1985"/>
        <w:rPr>
          <w:lang w:val="en-US"/>
        </w:rPr>
      </w:pPr>
      <w:r w:rsidRPr="00EF030F">
        <w:rPr>
          <w:i/>
          <w:iCs/>
        </w:rPr>
        <w:t>Document:</w:t>
      </w:r>
      <w:r w:rsidRPr="00634742">
        <w:tab/>
      </w:r>
      <w:r>
        <w:t>ST/SG/AC.10/C.3/2018/113 (United Kingdom)</w:t>
      </w:r>
    </w:p>
    <w:p w14:paraId="5922636D" w14:textId="77777777" w:rsidR="005468CE" w:rsidRDefault="005468CE" w:rsidP="005468CE">
      <w:pPr>
        <w:tabs>
          <w:tab w:val="left" w:pos="3119"/>
        </w:tabs>
        <w:ind w:left="567" w:firstLine="567"/>
        <w:rPr>
          <w:lang w:val="en-US"/>
        </w:rPr>
      </w:pPr>
      <w:r>
        <w:rPr>
          <w:i/>
          <w:iCs/>
        </w:rPr>
        <w:t>Informal document</w:t>
      </w:r>
      <w:r w:rsidRPr="00EF030F">
        <w:rPr>
          <w:i/>
          <w:iCs/>
        </w:rPr>
        <w:t>:</w:t>
      </w:r>
      <w:r w:rsidRPr="00634742">
        <w:tab/>
      </w:r>
      <w:r>
        <w:rPr>
          <w:lang w:val="en-US"/>
        </w:rPr>
        <w:t>INF.50, paragraph 12 (</w:t>
      </w:r>
      <w:r>
        <w:t>Chairman of the Working Group</w:t>
      </w:r>
      <w:r>
        <w:rPr>
          <w:lang w:val="en-US"/>
        </w:rPr>
        <w:t>)</w:t>
      </w:r>
    </w:p>
    <w:p w14:paraId="174D3606" w14:textId="77777777" w:rsidR="005468CE" w:rsidRDefault="005468CE" w:rsidP="005468CE">
      <w:pPr>
        <w:tabs>
          <w:tab w:val="left" w:pos="3119"/>
        </w:tabs>
        <w:ind w:left="567" w:firstLine="567"/>
      </w:pPr>
      <w:r>
        <w:rPr>
          <w:i/>
          <w:iCs/>
        </w:rPr>
        <w:tab/>
      </w:r>
    </w:p>
    <w:p w14:paraId="081E4D77" w14:textId="62B62BFB" w:rsidR="005468CE" w:rsidRPr="00C826A8" w:rsidRDefault="002E0A7F" w:rsidP="005468CE">
      <w:pPr>
        <w:pStyle w:val="SingleTxtG"/>
      </w:pPr>
      <w:r>
        <w:t>18</w:t>
      </w:r>
      <w:r w:rsidR="005468CE" w:rsidRPr="006E31EC">
        <w:t>.</w:t>
      </w:r>
      <w:r w:rsidR="005468CE" w:rsidRPr="006E31EC">
        <w:tab/>
        <w:t>The Sub-Committee adopted the proposal in paragraph 12 of document ST/SG/AC.10/C.3/2018/113 (see annex</w:t>
      </w:r>
      <w:r w:rsidR="006A7D31">
        <w:t xml:space="preserve"> I</w:t>
      </w:r>
      <w:r w:rsidR="005468CE" w:rsidRPr="006E31EC">
        <w:t>).</w:t>
      </w:r>
    </w:p>
    <w:p w14:paraId="0D8E7413" w14:textId="69604315" w:rsidR="005468CE" w:rsidRDefault="005468CE" w:rsidP="005468CE">
      <w:pPr>
        <w:pStyle w:val="H23G"/>
      </w:pPr>
      <w:r>
        <w:tab/>
        <w:t>4.</w:t>
      </w:r>
      <w:r>
        <w:tab/>
      </w:r>
      <w:r w:rsidR="006A7D31">
        <w:t xml:space="preserve">Reassignment of </w:t>
      </w:r>
      <w:r>
        <w:t>PP67 and L1 to a new special provision</w:t>
      </w:r>
    </w:p>
    <w:p w14:paraId="2D07A5F7" w14:textId="77777777" w:rsidR="005468CE" w:rsidRDefault="005468CE" w:rsidP="005468CE">
      <w:pPr>
        <w:pStyle w:val="SingleTxtG"/>
        <w:tabs>
          <w:tab w:val="left" w:pos="3119"/>
        </w:tabs>
        <w:spacing w:after="240"/>
        <w:ind w:left="3119" w:hanging="1985"/>
        <w:rPr>
          <w:lang w:val="en-US"/>
        </w:rPr>
      </w:pPr>
      <w:r w:rsidRPr="00EF030F">
        <w:rPr>
          <w:i/>
          <w:iCs/>
        </w:rPr>
        <w:t>Document:</w:t>
      </w:r>
      <w:r w:rsidRPr="00634742">
        <w:tab/>
      </w:r>
      <w:r>
        <w:t>ST/SG/AC.10/C.3/2018/114 (United Kingdom)</w:t>
      </w:r>
    </w:p>
    <w:p w14:paraId="1976BCE4" w14:textId="77777777" w:rsidR="005468CE" w:rsidRDefault="005468CE" w:rsidP="005468CE">
      <w:pPr>
        <w:tabs>
          <w:tab w:val="left" w:pos="3119"/>
        </w:tabs>
        <w:ind w:left="567" w:firstLine="567"/>
      </w:pPr>
      <w:r>
        <w:rPr>
          <w:i/>
          <w:iCs/>
        </w:rPr>
        <w:t>Informal documents</w:t>
      </w:r>
      <w:r w:rsidRPr="00EF030F">
        <w:rPr>
          <w:i/>
          <w:iCs/>
        </w:rPr>
        <w:t>:</w:t>
      </w:r>
      <w:r w:rsidRPr="00634742">
        <w:tab/>
      </w:r>
      <w:r>
        <w:t>INF.30 (Finland)</w:t>
      </w:r>
    </w:p>
    <w:p w14:paraId="7B39273B" w14:textId="77777777" w:rsidR="005468CE" w:rsidRDefault="005468CE" w:rsidP="005468CE">
      <w:pPr>
        <w:tabs>
          <w:tab w:val="left" w:pos="3119"/>
        </w:tabs>
        <w:ind w:left="567" w:firstLine="567"/>
        <w:rPr>
          <w:lang w:val="en-US"/>
        </w:rPr>
      </w:pPr>
      <w:r>
        <w:tab/>
      </w:r>
      <w:r>
        <w:rPr>
          <w:lang w:val="en-US"/>
        </w:rPr>
        <w:t>INF.50, paragraph 13 (</w:t>
      </w:r>
      <w:r>
        <w:t>Chairman of the Working Group</w:t>
      </w:r>
      <w:r>
        <w:rPr>
          <w:lang w:val="en-US"/>
        </w:rPr>
        <w:t>)</w:t>
      </w:r>
    </w:p>
    <w:p w14:paraId="36DD64AD" w14:textId="55068FEA" w:rsidR="005468CE" w:rsidRDefault="002E0A7F" w:rsidP="007D663D">
      <w:pPr>
        <w:pStyle w:val="SingleTxtG"/>
        <w:spacing w:before="240"/>
      </w:pPr>
      <w:r>
        <w:t>19</w:t>
      </w:r>
      <w:r w:rsidR="005468CE">
        <w:t>.</w:t>
      </w:r>
      <w:r w:rsidR="005468CE">
        <w:tab/>
        <w:t xml:space="preserve">On informal document INF.30, the Sub-Committee noted the recommendation made by the Working Group to the expert from Finland, to consider whether section 4.1.5.15 of the Model Regulations could help addressing the issue raised. It was also noted that packing instruction P101 gives discretion to the competent authority to decide the type of packaging that may be used, if any. </w:t>
      </w:r>
    </w:p>
    <w:p w14:paraId="666C06AE" w14:textId="0C6FE263" w:rsidR="005468CE" w:rsidRPr="00C826A8" w:rsidRDefault="002E0A7F" w:rsidP="005468CE">
      <w:pPr>
        <w:pStyle w:val="SingleTxtG"/>
      </w:pPr>
      <w:r>
        <w:t>20</w:t>
      </w:r>
      <w:r w:rsidR="005468CE">
        <w:t>.</w:t>
      </w:r>
      <w:r w:rsidR="005468CE">
        <w:tab/>
      </w:r>
      <w:r w:rsidR="00B36246">
        <w:t xml:space="preserve">Regarding </w:t>
      </w:r>
      <w:r w:rsidR="005468CE">
        <w:t xml:space="preserve">document ST/SG/AC.10/C.3/2018/114, due to lack of support, the expert from the United Kingdom withdrew proposal 1. Proposal 2 was </w:t>
      </w:r>
      <w:r w:rsidR="0088473C">
        <w:t xml:space="preserve">not </w:t>
      </w:r>
      <w:r w:rsidR="005468CE">
        <w:t>adopted</w:t>
      </w:r>
      <w:r w:rsidR="00B36246">
        <w:t>.</w:t>
      </w:r>
      <w:r w:rsidR="005468CE">
        <w:t xml:space="preserve"> </w:t>
      </w:r>
    </w:p>
    <w:p w14:paraId="59492623" w14:textId="77777777" w:rsidR="005468CE" w:rsidRDefault="005468CE" w:rsidP="005468CE">
      <w:pPr>
        <w:pStyle w:val="H23G"/>
      </w:pPr>
      <w:r>
        <w:tab/>
        <w:t>5.</w:t>
      </w:r>
      <w:r>
        <w:tab/>
        <w:t>Self-inflating recovery devices</w:t>
      </w:r>
    </w:p>
    <w:p w14:paraId="66490041" w14:textId="77777777" w:rsidR="005468CE" w:rsidRDefault="005468CE" w:rsidP="005468CE">
      <w:pPr>
        <w:pStyle w:val="SingleTxtG"/>
        <w:tabs>
          <w:tab w:val="left" w:pos="3119"/>
        </w:tabs>
        <w:spacing w:after="240"/>
        <w:ind w:left="3119" w:hanging="1985"/>
        <w:rPr>
          <w:lang w:val="en-US"/>
        </w:rPr>
      </w:pPr>
      <w:r w:rsidRPr="00EF030F">
        <w:rPr>
          <w:i/>
          <w:iCs/>
        </w:rPr>
        <w:t>Document:</w:t>
      </w:r>
      <w:r w:rsidRPr="00634742">
        <w:tab/>
      </w:r>
      <w:r>
        <w:t>ST/SG/AC.10/C.3/2018/75 (Germany)</w:t>
      </w:r>
    </w:p>
    <w:p w14:paraId="199B9AE7" w14:textId="77777777" w:rsidR="005468CE" w:rsidRDefault="005468CE" w:rsidP="005468CE">
      <w:pPr>
        <w:tabs>
          <w:tab w:val="left" w:pos="3119"/>
        </w:tabs>
        <w:ind w:left="567" w:firstLine="567"/>
        <w:rPr>
          <w:lang w:val="en-US"/>
        </w:rPr>
      </w:pPr>
      <w:r>
        <w:rPr>
          <w:i/>
          <w:iCs/>
        </w:rPr>
        <w:t>Informal document</w:t>
      </w:r>
      <w:r w:rsidRPr="00EF030F">
        <w:rPr>
          <w:i/>
          <w:iCs/>
        </w:rPr>
        <w:t>:</w:t>
      </w:r>
      <w:r w:rsidRPr="00634742">
        <w:tab/>
      </w:r>
      <w:r>
        <w:rPr>
          <w:lang w:val="en-US"/>
        </w:rPr>
        <w:t>INF.50, paragraph 15 (</w:t>
      </w:r>
      <w:r>
        <w:t>Chairman of the Working Group</w:t>
      </w:r>
      <w:r>
        <w:rPr>
          <w:lang w:val="en-US"/>
        </w:rPr>
        <w:t>)</w:t>
      </w:r>
    </w:p>
    <w:p w14:paraId="019248DE" w14:textId="77777777" w:rsidR="005468CE" w:rsidRDefault="005468CE" w:rsidP="005468CE">
      <w:pPr>
        <w:tabs>
          <w:tab w:val="left" w:pos="3119"/>
        </w:tabs>
        <w:ind w:left="567" w:firstLine="567"/>
        <w:rPr>
          <w:lang w:val="en-US"/>
        </w:rPr>
      </w:pPr>
    </w:p>
    <w:p w14:paraId="640221EC" w14:textId="114ECDC4" w:rsidR="005468CE" w:rsidRPr="00CF2BA3" w:rsidRDefault="002E0A7F" w:rsidP="005468CE">
      <w:pPr>
        <w:pStyle w:val="SingleTxtG"/>
      </w:pPr>
      <w:r>
        <w:t>21</w:t>
      </w:r>
      <w:r w:rsidR="005468CE">
        <w:t>.</w:t>
      </w:r>
      <w:r w:rsidR="005468CE">
        <w:tab/>
      </w:r>
      <w:r w:rsidR="005468CE" w:rsidRPr="00CF2BA3">
        <w:t xml:space="preserve">Considering the feedback provided by the Working Group on Explosives, the expert from Germany withdrew proposal 2 in document </w:t>
      </w:r>
      <w:r w:rsidR="005468CE">
        <w:t>ST/SG/AC.10/C.3/2018/75. Proposal 1 was adopted (see annex</w:t>
      </w:r>
      <w:r w:rsidR="006A7D31">
        <w:t xml:space="preserve"> I</w:t>
      </w:r>
      <w:r w:rsidR="005468CE">
        <w:t>).</w:t>
      </w:r>
    </w:p>
    <w:p w14:paraId="6FB9BDC0" w14:textId="77777777" w:rsidR="00571077" w:rsidRDefault="00571077">
      <w:pPr>
        <w:suppressAutoHyphens w:val="0"/>
        <w:spacing w:line="240" w:lineRule="auto"/>
        <w:rPr>
          <w:b/>
        </w:rPr>
      </w:pPr>
      <w:r>
        <w:br w:type="page"/>
      </w:r>
    </w:p>
    <w:p w14:paraId="40DC3A32" w14:textId="4861EC79" w:rsidR="005468CE" w:rsidRDefault="005468CE" w:rsidP="005468CE">
      <w:pPr>
        <w:pStyle w:val="H23G"/>
      </w:pPr>
      <w:r>
        <w:lastRenderedPageBreak/>
        <w:tab/>
        <w:t>6.</w:t>
      </w:r>
      <w:r>
        <w:tab/>
        <w:t>Review of Chapter 2.1 of the GHS</w:t>
      </w:r>
    </w:p>
    <w:p w14:paraId="5BB15ED6" w14:textId="77777777" w:rsidR="005468CE" w:rsidRPr="00CF2BA3" w:rsidRDefault="005468CE" w:rsidP="005468CE">
      <w:pPr>
        <w:pStyle w:val="SingleTxtG"/>
        <w:tabs>
          <w:tab w:val="left" w:pos="3119"/>
        </w:tabs>
        <w:spacing w:after="240"/>
        <w:ind w:left="3119" w:hanging="1985"/>
        <w:rPr>
          <w:i/>
          <w:iCs/>
        </w:rPr>
      </w:pPr>
      <w:r>
        <w:rPr>
          <w:i/>
          <w:iCs/>
        </w:rPr>
        <w:t xml:space="preserve">Documents:  </w:t>
      </w:r>
      <w:r>
        <w:rPr>
          <w:i/>
          <w:iCs/>
        </w:rPr>
        <w:tab/>
      </w:r>
      <w:r>
        <w:rPr>
          <w:lang w:val="en-US"/>
        </w:rPr>
        <w:t>ST/SG/AC.10/C.3/2018/85 (Chairman of the Working Group on Explosives, Sweden)</w:t>
      </w:r>
    </w:p>
    <w:p w14:paraId="3E902D4E" w14:textId="77777777" w:rsidR="005468CE" w:rsidRDefault="005468CE" w:rsidP="005468CE">
      <w:pPr>
        <w:tabs>
          <w:tab w:val="left" w:pos="3119"/>
        </w:tabs>
        <w:ind w:left="567" w:firstLine="567"/>
        <w:rPr>
          <w:lang w:val="en-US"/>
        </w:rPr>
      </w:pPr>
      <w:r>
        <w:rPr>
          <w:i/>
          <w:iCs/>
        </w:rPr>
        <w:t>Informal documents</w:t>
      </w:r>
      <w:r w:rsidRPr="00EF030F">
        <w:rPr>
          <w:i/>
          <w:iCs/>
        </w:rPr>
        <w:t>:</w:t>
      </w:r>
      <w:r w:rsidRPr="00634742">
        <w:tab/>
      </w:r>
      <w:r>
        <w:rPr>
          <w:lang w:val="en-US"/>
        </w:rPr>
        <w:t>INF.13 (United States of America, IME, SAAMI)</w:t>
      </w:r>
    </w:p>
    <w:p w14:paraId="3C26E2F3" w14:textId="77777777" w:rsidR="005468CE" w:rsidRPr="00CF2BA3" w:rsidRDefault="005468CE" w:rsidP="005468CE">
      <w:pPr>
        <w:tabs>
          <w:tab w:val="left" w:pos="3119"/>
        </w:tabs>
        <w:ind w:left="567" w:firstLine="567"/>
        <w:rPr>
          <w:lang w:val="en-US"/>
        </w:rPr>
      </w:pPr>
      <w:r>
        <w:rPr>
          <w:i/>
          <w:iCs/>
        </w:rPr>
        <w:tab/>
      </w:r>
      <w:r>
        <w:t xml:space="preserve">INF.24 </w:t>
      </w:r>
      <w:r w:rsidRPr="00B30333">
        <w:rPr>
          <w:lang w:val="en-US"/>
        </w:rPr>
        <w:t>(</w:t>
      </w:r>
      <w:r>
        <w:rPr>
          <w:lang w:val="en-US"/>
        </w:rPr>
        <w:t>United States of America</w:t>
      </w:r>
      <w:r w:rsidRPr="00B30333">
        <w:rPr>
          <w:lang w:val="en-US"/>
        </w:rPr>
        <w:t>, IME, SAAMI)</w:t>
      </w:r>
    </w:p>
    <w:p w14:paraId="3ADD6768" w14:textId="77777777" w:rsidR="005468CE" w:rsidRDefault="005468CE" w:rsidP="005468CE">
      <w:pPr>
        <w:tabs>
          <w:tab w:val="left" w:pos="3119"/>
        </w:tabs>
        <w:ind w:left="567" w:firstLine="567"/>
        <w:rPr>
          <w:lang w:val="en-US"/>
        </w:rPr>
      </w:pPr>
      <w:r>
        <w:tab/>
      </w:r>
      <w:r>
        <w:rPr>
          <w:lang w:val="en-US"/>
        </w:rPr>
        <w:t>INF.50, paragraph 10 (</w:t>
      </w:r>
      <w:r>
        <w:t>Chairman of the Working Group</w:t>
      </w:r>
      <w:r>
        <w:rPr>
          <w:lang w:val="en-US"/>
        </w:rPr>
        <w:t>)</w:t>
      </w:r>
    </w:p>
    <w:p w14:paraId="5AD4E688" w14:textId="77777777" w:rsidR="005468CE" w:rsidRDefault="005468CE" w:rsidP="005468CE"/>
    <w:p w14:paraId="349CE2DF" w14:textId="179276F6" w:rsidR="005468CE" w:rsidRDefault="002E0A7F" w:rsidP="005468CE">
      <w:pPr>
        <w:pStyle w:val="SingleTxtG"/>
        <w:tabs>
          <w:tab w:val="left" w:pos="1701"/>
          <w:tab w:val="left" w:pos="3119"/>
        </w:tabs>
      </w:pPr>
      <w:r>
        <w:t>22</w:t>
      </w:r>
      <w:r w:rsidR="005468CE" w:rsidRPr="005505D0">
        <w:t>.</w:t>
      </w:r>
      <w:r w:rsidR="005468CE" w:rsidRPr="005505D0">
        <w:tab/>
        <w:t>The Sub-Committee took note of the outcome of the discussions of the Working Group on Explosives on this issue and noted that it had accomplished its mandate to review the technical criteria for assignment of explosives to sub-categories 2A, 2B and 2C in the GHS, without consequential changes to the current classification system in transport. It was noted that this would provide an improved system to address classification of explosives in packaging configurations other than those used for transport purposes. The Sub-Committee was informed that a proposal for amendment to the GHS was bein</w:t>
      </w:r>
      <w:r w:rsidR="005468CE">
        <w:t xml:space="preserve">g developed. It was also noted that no agreement was reached on the splitting of Category 1 and that discussions on this issue would continue. </w:t>
      </w:r>
    </w:p>
    <w:p w14:paraId="01B85B55" w14:textId="68EA7549" w:rsidR="005468CE" w:rsidRDefault="002E0A7F" w:rsidP="005468CE">
      <w:pPr>
        <w:pStyle w:val="SingleTxtG"/>
        <w:tabs>
          <w:tab w:val="left" w:pos="1701"/>
          <w:tab w:val="left" w:pos="3119"/>
        </w:tabs>
      </w:pPr>
      <w:r>
        <w:t>23</w:t>
      </w:r>
      <w:r w:rsidR="005468CE">
        <w:t>.</w:t>
      </w:r>
      <w:r w:rsidR="005468CE">
        <w:tab/>
        <w:t xml:space="preserve">The expert from Spain reiterated its opposition to the revised classification scheme developed within the framework of the work on the review of Chapter 2.1 of the GHS. </w:t>
      </w:r>
    </w:p>
    <w:p w14:paraId="6E0B956C" w14:textId="408A9F11" w:rsidR="00717C51" w:rsidRDefault="002E0A7F" w:rsidP="005468CE">
      <w:pPr>
        <w:pStyle w:val="SingleTxtG"/>
        <w:tabs>
          <w:tab w:val="left" w:pos="1701"/>
          <w:tab w:val="left" w:pos="3119"/>
        </w:tabs>
      </w:pPr>
      <w:r>
        <w:t>24</w:t>
      </w:r>
      <w:r w:rsidR="005468CE">
        <w:t>.</w:t>
      </w:r>
      <w:r w:rsidR="005468CE">
        <w:tab/>
        <w:t xml:space="preserve">The Sub-Committee expressed its appreciation to the Working Group for the work accomplished in this area. The Chairman of the Working Group informed the Sub-Committee that the Working Group would continue to provide technical advice and support to the GHS Sub-Committee and its informal correspondence group on the review of Chapter 2.1, if needed. </w:t>
      </w:r>
      <w:r w:rsidR="005468CE">
        <w:tab/>
      </w:r>
    </w:p>
    <w:p w14:paraId="77C1988B" w14:textId="1ADE9DEC" w:rsidR="00717C51" w:rsidRDefault="00717C51" w:rsidP="00A224C6">
      <w:pPr>
        <w:pStyle w:val="H23G"/>
        <w:ind w:hanging="567"/>
      </w:pPr>
      <w:r>
        <w:t>7.</w:t>
      </w:r>
      <w:r>
        <w:tab/>
      </w:r>
      <w:r>
        <w:tab/>
        <w:t xml:space="preserve">Review of </w:t>
      </w:r>
      <w:r w:rsidR="00E22987">
        <w:t xml:space="preserve">draft </w:t>
      </w:r>
      <w:r>
        <w:t>amendments previously adopted by the Sub-Committee</w:t>
      </w:r>
      <w:r w:rsidR="001056BF">
        <w:t xml:space="preserve"> during the biennium</w:t>
      </w:r>
    </w:p>
    <w:p w14:paraId="6ED1D79C" w14:textId="122F65C0" w:rsidR="00D94444" w:rsidRPr="002E0A7F" w:rsidRDefault="00717C51" w:rsidP="008C5256">
      <w:pPr>
        <w:pStyle w:val="SingleTxtG"/>
        <w:spacing w:after="240"/>
        <w:ind w:left="3119" w:right="40" w:hanging="1985"/>
        <w:jc w:val="left"/>
      </w:pPr>
      <w:r w:rsidRPr="003B0037">
        <w:rPr>
          <w:i/>
        </w:rPr>
        <w:t>Documents:</w:t>
      </w:r>
      <w:r w:rsidRPr="003B0037">
        <w:rPr>
          <w:i/>
        </w:rPr>
        <w:tab/>
      </w:r>
      <w:hyperlink r:id="rId9" w:history="1">
        <w:r w:rsidRPr="00BB05BD">
          <w:rPr>
            <w:rStyle w:val="Hyperlink"/>
            <w:color w:val="auto"/>
            <w:u w:val="none"/>
          </w:rPr>
          <w:t>ST/SG/AC.10/C.3/2018/64</w:t>
        </w:r>
      </w:hyperlink>
      <w:r w:rsidRPr="002E0A7F">
        <w:t xml:space="preserve"> (Secretariat)</w:t>
      </w:r>
      <w:r w:rsidRPr="002E0A7F">
        <w:br/>
      </w:r>
      <w:hyperlink r:id="rId10" w:history="1">
        <w:r w:rsidRPr="00BB05BD">
          <w:rPr>
            <w:rStyle w:val="Hyperlink"/>
            <w:color w:val="auto"/>
            <w:u w:val="none"/>
          </w:rPr>
          <w:t>ST/SG/AC.10/C.3/2018/65</w:t>
        </w:r>
      </w:hyperlink>
      <w:r w:rsidRPr="002E0A7F">
        <w:t xml:space="preserve"> (Secretariat)</w:t>
      </w:r>
      <w:r w:rsidR="00D94444" w:rsidRPr="002E0A7F">
        <w:t xml:space="preserve"> </w:t>
      </w:r>
      <w:r w:rsidR="00D94444" w:rsidRPr="002E0A7F">
        <w:br/>
      </w:r>
      <w:r w:rsidR="00D94444" w:rsidRPr="002E0A7F">
        <w:rPr>
          <w:lang w:val="fr-CH"/>
        </w:rPr>
        <w:t>ST/SG/AC.10/C.3/100/Add.1</w:t>
      </w:r>
      <w:r w:rsidR="003F0264" w:rsidRPr="002E0A7F">
        <w:rPr>
          <w:lang w:val="fr-CH"/>
        </w:rPr>
        <w:t xml:space="preserve"> </w:t>
      </w:r>
      <w:r w:rsidR="003F0264" w:rsidRPr="002E0A7F">
        <w:t>(Secretariat)</w:t>
      </w:r>
    </w:p>
    <w:p w14:paraId="5C16C86A" w14:textId="0432A8BE" w:rsidR="00717C51" w:rsidRPr="002E0A7F" w:rsidRDefault="00717C51" w:rsidP="008C5256">
      <w:pPr>
        <w:pStyle w:val="SingleTxtG"/>
        <w:spacing w:after="240"/>
        <w:ind w:left="3119" w:right="40" w:hanging="1985"/>
        <w:jc w:val="left"/>
        <w:rPr>
          <w:i/>
        </w:rPr>
      </w:pPr>
      <w:r w:rsidRPr="002E0A7F">
        <w:rPr>
          <w:i/>
        </w:rPr>
        <w:t xml:space="preserve">Informal document: </w:t>
      </w:r>
      <w:r w:rsidRPr="002E0A7F">
        <w:rPr>
          <w:i/>
        </w:rPr>
        <w:tab/>
      </w:r>
      <w:r w:rsidRPr="00BB05BD">
        <w:rPr>
          <w:rStyle w:val="Hyperlink"/>
          <w:color w:val="auto"/>
          <w:u w:val="none"/>
        </w:rPr>
        <w:t>INF.50, paragraph 4</w:t>
      </w:r>
    </w:p>
    <w:p w14:paraId="77901BC6" w14:textId="6D878F93" w:rsidR="00717C51" w:rsidRPr="002E0A7F" w:rsidRDefault="002E0A7F" w:rsidP="00A224C6">
      <w:pPr>
        <w:pStyle w:val="SingleTxtG"/>
      </w:pPr>
      <w:r>
        <w:t>25</w:t>
      </w:r>
      <w:r w:rsidR="00AC4DDB" w:rsidRPr="002E0A7F">
        <w:t>.</w:t>
      </w:r>
      <w:r w:rsidR="00AC4DDB" w:rsidRPr="002E0A7F">
        <w:tab/>
      </w:r>
      <w:r w:rsidR="00717C51" w:rsidRPr="002E0A7F">
        <w:t xml:space="preserve">The Sub-Committee </w:t>
      </w:r>
      <w:r w:rsidR="00450C92" w:rsidRPr="002E0A7F">
        <w:t xml:space="preserve">endorsed the recommendations of the Working Group and </w:t>
      </w:r>
      <w:r w:rsidR="001056BF" w:rsidRPr="002E0A7F">
        <w:t>adopted</w:t>
      </w:r>
      <w:r w:rsidR="00717C51" w:rsidRPr="002E0A7F">
        <w:t xml:space="preserve"> the corrections to the consolidated list of amendments in documents </w:t>
      </w:r>
      <w:hyperlink r:id="rId11" w:history="1">
        <w:r w:rsidR="00717C51" w:rsidRPr="00BB05BD">
          <w:rPr>
            <w:rStyle w:val="Hyperlink"/>
            <w:color w:val="auto"/>
            <w:u w:val="none"/>
          </w:rPr>
          <w:t>ST/SG/AC.10/C.3/2018/64</w:t>
        </w:r>
      </w:hyperlink>
      <w:r w:rsidR="00717C51" w:rsidRPr="00BB05BD">
        <w:rPr>
          <w:rStyle w:val="Hyperlink"/>
          <w:color w:val="auto"/>
          <w:u w:val="none"/>
        </w:rPr>
        <w:t xml:space="preserve"> and </w:t>
      </w:r>
      <w:hyperlink r:id="rId12" w:history="1">
        <w:r w:rsidR="00717C51" w:rsidRPr="00BB05BD">
          <w:rPr>
            <w:rStyle w:val="Hyperlink"/>
            <w:color w:val="auto"/>
            <w:u w:val="none"/>
          </w:rPr>
          <w:t>ST/SG/AC.10/C.3/2018/6</w:t>
        </w:r>
      </w:hyperlink>
      <w:r w:rsidR="00717C51" w:rsidRPr="00BB05BD">
        <w:rPr>
          <w:rStyle w:val="Hyperlink"/>
          <w:color w:val="auto"/>
          <w:u w:val="none"/>
        </w:rPr>
        <w:t>5</w:t>
      </w:r>
      <w:r w:rsidR="001056BF" w:rsidRPr="00BB05BD">
        <w:rPr>
          <w:rStyle w:val="Hyperlink"/>
          <w:color w:val="auto"/>
          <w:u w:val="none"/>
        </w:rPr>
        <w:t>, in informal document INF.50, Annex 5, items 1 and 2 (see annex</w:t>
      </w:r>
      <w:r w:rsidR="006A7D31">
        <w:rPr>
          <w:rStyle w:val="Hyperlink"/>
          <w:color w:val="auto"/>
          <w:u w:val="none"/>
        </w:rPr>
        <w:t xml:space="preserve"> II</w:t>
      </w:r>
      <w:r w:rsidR="001056BF" w:rsidRPr="00BB05BD">
        <w:rPr>
          <w:rStyle w:val="Hyperlink"/>
          <w:color w:val="auto"/>
          <w:u w:val="none"/>
        </w:rPr>
        <w:t xml:space="preserve">). The Sub-Committee also adopted </w:t>
      </w:r>
      <w:r w:rsidR="00C14202" w:rsidRPr="00BB05BD">
        <w:rPr>
          <w:rStyle w:val="Hyperlink"/>
          <w:color w:val="auto"/>
          <w:u w:val="none"/>
        </w:rPr>
        <w:t xml:space="preserve">the amendment to a </w:t>
      </w:r>
      <w:r w:rsidR="001056BF" w:rsidRPr="00BB05BD">
        <w:rPr>
          <w:rStyle w:val="Hyperlink"/>
          <w:color w:val="auto"/>
          <w:u w:val="none"/>
        </w:rPr>
        <w:t>correction to t</w:t>
      </w:r>
      <w:r w:rsidR="00C14202" w:rsidRPr="00BB05BD">
        <w:rPr>
          <w:rStyle w:val="Hyperlink"/>
          <w:color w:val="auto"/>
          <w:u w:val="none"/>
        </w:rPr>
        <w:t>he Manual of Tests and Criteria</w:t>
      </w:r>
      <w:r w:rsidR="003F0264" w:rsidRPr="00BB05BD">
        <w:rPr>
          <w:rStyle w:val="Hyperlink"/>
          <w:color w:val="auto"/>
          <w:u w:val="none"/>
        </w:rPr>
        <w:t>,</w:t>
      </w:r>
      <w:r w:rsidR="00C14202" w:rsidRPr="00BB05BD">
        <w:rPr>
          <w:rStyle w:val="Hyperlink"/>
          <w:color w:val="auto"/>
          <w:u w:val="none"/>
        </w:rPr>
        <w:t xml:space="preserve"> previously </w:t>
      </w:r>
      <w:r w:rsidR="001056BF" w:rsidRPr="00BB05BD">
        <w:rPr>
          <w:rStyle w:val="Hyperlink"/>
          <w:color w:val="auto"/>
          <w:u w:val="none"/>
        </w:rPr>
        <w:t>adopted by the Sub-Committee at its fiftieth session</w:t>
      </w:r>
      <w:r w:rsidR="00C14202" w:rsidRPr="00BB05BD">
        <w:rPr>
          <w:rStyle w:val="Hyperlink"/>
          <w:color w:val="auto"/>
          <w:u w:val="none"/>
        </w:rPr>
        <w:t xml:space="preserve"> (</w:t>
      </w:r>
      <w:r w:rsidR="00C14202" w:rsidRPr="002E0A7F">
        <w:rPr>
          <w:lang w:val="fr-CH"/>
        </w:rPr>
        <w:t>ST/SG/AC.10/C.3/100/Add.1)</w:t>
      </w:r>
      <w:r w:rsidR="00BD1F38">
        <w:rPr>
          <w:lang w:val="fr-CH"/>
        </w:rPr>
        <w:t xml:space="preserve">, </w:t>
      </w:r>
      <w:r w:rsidR="001056BF" w:rsidRPr="00BB05BD">
        <w:rPr>
          <w:rStyle w:val="Hyperlink"/>
          <w:color w:val="auto"/>
          <w:u w:val="none"/>
        </w:rPr>
        <w:t>in informal document INF.50, Annex 5, item 3 (see annex</w:t>
      </w:r>
      <w:r w:rsidR="006A7D31">
        <w:rPr>
          <w:rStyle w:val="Hyperlink"/>
          <w:color w:val="auto"/>
          <w:u w:val="none"/>
        </w:rPr>
        <w:t xml:space="preserve"> II</w:t>
      </w:r>
      <w:r w:rsidR="001056BF" w:rsidRPr="00BB05BD">
        <w:rPr>
          <w:rStyle w:val="Hyperlink"/>
          <w:color w:val="auto"/>
          <w:u w:val="none"/>
        </w:rPr>
        <w:t>)</w:t>
      </w:r>
      <w:r w:rsidR="001056BF" w:rsidRPr="002E0A7F">
        <w:t>.</w:t>
      </w:r>
    </w:p>
    <w:p w14:paraId="244AADA7" w14:textId="5EB4793B" w:rsidR="001056BF" w:rsidRPr="002E0A7F" w:rsidRDefault="00360341" w:rsidP="00A224C6">
      <w:pPr>
        <w:pStyle w:val="H23G"/>
      </w:pPr>
      <w:r>
        <w:tab/>
      </w:r>
      <w:r w:rsidR="001056BF" w:rsidRPr="002E0A7F">
        <w:t>8.</w:t>
      </w:r>
      <w:r w:rsidR="001056BF" w:rsidRPr="002E0A7F">
        <w:tab/>
      </w:r>
      <w:r w:rsidR="001056BF" w:rsidRPr="002E0A7F">
        <w:tab/>
      </w:r>
      <w:r w:rsidR="00450C92" w:rsidRPr="002E0A7F">
        <w:t>Classification of ammonium nitrate (UN</w:t>
      </w:r>
      <w:r w:rsidR="00C14202" w:rsidRPr="002E0A7F">
        <w:t xml:space="preserve"> </w:t>
      </w:r>
      <w:r w:rsidR="00450C92" w:rsidRPr="002E0A7F">
        <w:t>0222)</w:t>
      </w:r>
    </w:p>
    <w:p w14:paraId="0BC412FC" w14:textId="77777777" w:rsidR="00450C92" w:rsidRPr="002E0A7F" w:rsidRDefault="00450C92" w:rsidP="008C5256">
      <w:pPr>
        <w:pStyle w:val="SingleTxtG"/>
        <w:spacing w:after="240"/>
        <w:ind w:left="3119" w:right="39" w:hanging="1985"/>
        <w:jc w:val="left"/>
      </w:pPr>
      <w:r w:rsidRPr="002E0A7F">
        <w:rPr>
          <w:i/>
        </w:rPr>
        <w:t>Document:</w:t>
      </w:r>
      <w:r w:rsidRPr="002E0A7F">
        <w:rPr>
          <w:i/>
        </w:rPr>
        <w:tab/>
      </w:r>
      <w:r w:rsidRPr="002E0A7F">
        <w:t>ST/SG/AC.10/C.3/2018/68 (IME)</w:t>
      </w:r>
    </w:p>
    <w:p w14:paraId="19417129" w14:textId="58E27F18" w:rsidR="00450C92" w:rsidRPr="002E0A7F" w:rsidRDefault="00450C92" w:rsidP="008C5256">
      <w:pPr>
        <w:pStyle w:val="SingleTxtG"/>
        <w:spacing w:after="240"/>
        <w:ind w:left="3119" w:right="39" w:hanging="1985"/>
        <w:jc w:val="left"/>
        <w:rPr>
          <w:i/>
        </w:rPr>
      </w:pPr>
      <w:r w:rsidRPr="002E0A7F">
        <w:rPr>
          <w:i/>
        </w:rPr>
        <w:t xml:space="preserve">Informal document: </w:t>
      </w:r>
      <w:r w:rsidRPr="002E0A7F">
        <w:rPr>
          <w:i/>
        </w:rPr>
        <w:tab/>
      </w:r>
      <w:r w:rsidRPr="00BB05BD">
        <w:rPr>
          <w:rStyle w:val="Hyperlink"/>
          <w:color w:val="auto"/>
          <w:u w:val="none"/>
        </w:rPr>
        <w:t>INF.50, paragraph 6</w:t>
      </w:r>
    </w:p>
    <w:p w14:paraId="189488F3" w14:textId="049BF849" w:rsidR="005468CE" w:rsidRPr="002E0A7F" w:rsidRDefault="002E0A7F" w:rsidP="00A224C6">
      <w:pPr>
        <w:pStyle w:val="SingleTxtG"/>
      </w:pPr>
      <w:r>
        <w:t>26</w:t>
      </w:r>
      <w:r w:rsidR="005D4954" w:rsidRPr="002E0A7F">
        <w:t>.</w:t>
      </w:r>
      <w:r w:rsidR="005D4954" w:rsidRPr="002E0A7F">
        <w:tab/>
      </w:r>
      <w:r w:rsidR="00450C92" w:rsidRPr="002E0A7F">
        <w:t xml:space="preserve">The Sub-Committee </w:t>
      </w:r>
      <w:r w:rsidR="00B12E07" w:rsidRPr="002E0A7F">
        <w:t>endorsed the recommendations of the Working Group and adopted</w:t>
      </w:r>
      <w:r w:rsidR="00C2161E" w:rsidRPr="002E0A7F">
        <w:t xml:space="preserve"> the amendment to special provision 370 in </w:t>
      </w:r>
      <w:r w:rsidR="00C2161E" w:rsidRPr="00BB05BD">
        <w:rPr>
          <w:rStyle w:val="Hyperlink"/>
          <w:color w:val="auto"/>
          <w:u w:val="none"/>
        </w:rPr>
        <w:t>informal document INF.50, Annex 2,</w:t>
      </w:r>
      <w:r w:rsidR="00C2161E" w:rsidRPr="002E0A7F">
        <w:t xml:space="preserve"> amendment 1 (see annex</w:t>
      </w:r>
      <w:r w:rsidR="006A7D31">
        <w:t xml:space="preserve"> I</w:t>
      </w:r>
      <w:r w:rsidR="00C2161E" w:rsidRPr="002E0A7F">
        <w:t>).</w:t>
      </w:r>
    </w:p>
    <w:p w14:paraId="09BA2E46" w14:textId="77777777" w:rsidR="0031479D" w:rsidRDefault="0031479D">
      <w:pPr>
        <w:suppressAutoHyphens w:val="0"/>
        <w:spacing w:line="240" w:lineRule="auto"/>
        <w:rPr>
          <w:b/>
        </w:rPr>
      </w:pPr>
      <w:r>
        <w:br w:type="page"/>
      </w:r>
    </w:p>
    <w:p w14:paraId="38ACBA47" w14:textId="6B17C3AA" w:rsidR="00C2161E" w:rsidRDefault="00360341" w:rsidP="00A224C6">
      <w:pPr>
        <w:pStyle w:val="H23G"/>
      </w:pPr>
      <w:r>
        <w:lastRenderedPageBreak/>
        <w:tab/>
      </w:r>
      <w:r w:rsidR="00C2161E">
        <w:t>9.</w:t>
      </w:r>
      <w:r w:rsidR="00C2161E">
        <w:tab/>
        <w:t xml:space="preserve">Transport of energetic samples </w:t>
      </w:r>
    </w:p>
    <w:p w14:paraId="73C56624" w14:textId="181270AB" w:rsidR="00D30B7A" w:rsidRDefault="00D30B7A" w:rsidP="008C5256">
      <w:pPr>
        <w:pStyle w:val="SingleTxtG"/>
        <w:spacing w:after="240"/>
        <w:ind w:left="3119" w:right="39" w:hanging="1985"/>
        <w:jc w:val="left"/>
      </w:pPr>
      <w:r w:rsidRPr="003B0037">
        <w:rPr>
          <w:i/>
        </w:rPr>
        <w:t>Document:</w:t>
      </w:r>
      <w:r w:rsidRPr="003B0037">
        <w:rPr>
          <w:i/>
        </w:rPr>
        <w:tab/>
      </w:r>
      <w:r w:rsidRPr="00C778B3">
        <w:t>ST/SG/AC.10/C.3/2018/</w:t>
      </w:r>
      <w:r>
        <w:t>78</w:t>
      </w:r>
      <w:r w:rsidRPr="00C778B3">
        <w:t xml:space="preserve"> (</w:t>
      </w:r>
      <w:r>
        <w:t>CEFIC</w:t>
      </w:r>
      <w:r w:rsidRPr="00C778B3">
        <w:t>)</w:t>
      </w:r>
    </w:p>
    <w:p w14:paraId="2CCA9BBD" w14:textId="3988C386" w:rsidR="00D30B7A" w:rsidRPr="002E0A7F" w:rsidRDefault="00D30B7A" w:rsidP="008C5256">
      <w:pPr>
        <w:pStyle w:val="SingleTxtG"/>
        <w:spacing w:after="240"/>
        <w:ind w:left="3119" w:right="39" w:hanging="1985"/>
        <w:jc w:val="left"/>
      </w:pPr>
      <w:r w:rsidRPr="003B0037">
        <w:rPr>
          <w:i/>
        </w:rPr>
        <w:t xml:space="preserve">Informal document: </w:t>
      </w:r>
      <w:r w:rsidRPr="003B0037">
        <w:rPr>
          <w:i/>
        </w:rPr>
        <w:tab/>
      </w:r>
      <w:r w:rsidRPr="00BB05BD">
        <w:rPr>
          <w:rStyle w:val="Hyperlink"/>
          <w:color w:val="auto"/>
          <w:u w:val="none"/>
        </w:rPr>
        <w:t>INF.50, paragraph 7</w:t>
      </w:r>
    </w:p>
    <w:p w14:paraId="529A6136" w14:textId="36DECEE6" w:rsidR="00C2161E" w:rsidRDefault="002E0A7F" w:rsidP="00A224C6">
      <w:pPr>
        <w:pStyle w:val="SingleTxtG"/>
      </w:pPr>
      <w:r>
        <w:t>27</w:t>
      </w:r>
      <w:r w:rsidR="005D4954">
        <w:t>.</w:t>
      </w:r>
      <w:r w:rsidR="005D4954">
        <w:tab/>
      </w:r>
      <w:r w:rsidR="00013568">
        <w:t>The Sub-Committee was informed of t</w:t>
      </w:r>
      <w:r w:rsidR="00D30B7A">
        <w:t>he</w:t>
      </w:r>
      <w:r w:rsidR="00C2161E">
        <w:t xml:space="preserve"> concerns expressed </w:t>
      </w:r>
      <w:r w:rsidR="00D30B7A">
        <w:t xml:space="preserve">within the Working Group about the lack of sufficient technical background to understand or evaluate the proposal </w:t>
      </w:r>
      <w:r w:rsidR="00013568">
        <w:t xml:space="preserve">made </w:t>
      </w:r>
      <w:r w:rsidR="00D30B7A">
        <w:t>by CEFIC</w:t>
      </w:r>
      <w:r w:rsidR="00013568">
        <w:t xml:space="preserve"> and t</w:t>
      </w:r>
      <w:r w:rsidR="00D30B7A">
        <w:t xml:space="preserve">he questions raised about the </w:t>
      </w:r>
      <w:r w:rsidR="00013568">
        <w:t xml:space="preserve">source of </w:t>
      </w:r>
      <w:r w:rsidR="00D30B7A">
        <w:t xml:space="preserve">acceptance values in UN screening tests </w:t>
      </w:r>
      <w:r w:rsidR="00013568">
        <w:t xml:space="preserve">(i.e. whether there were derived or based on actual data). It also noted that the Working Group </w:t>
      </w:r>
      <w:r w:rsidR="006C5DB5">
        <w:t xml:space="preserve">confirmed the need for a solution and </w:t>
      </w:r>
      <w:r w:rsidR="00002BB2">
        <w:t xml:space="preserve">had </w:t>
      </w:r>
      <w:r w:rsidR="00013568">
        <w:t>suggested</w:t>
      </w:r>
      <w:r w:rsidR="00531FB7">
        <w:t xml:space="preserve"> to</w:t>
      </w:r>
      <w:r w:rsidR="00013568">
        <w:t xml:space="preserve"> the representative of CEFIC </w:t>
      </w:r>
      <w:r w:rsidR="00531FB7">
        <w:t xml:space="preserve">to consider splitting </w:t>
      </w:r>
      <w:r w:rsidR="00013568">
        <w:t xml:space="preserve">the proposal into smaller proposals to facilitate their consideration and understanding. </w:t>
      </w:r>
    </w:p>
    <w:p w14:paraId="39A40D62" w14:textId="21051742" w:rsidR="005D4954" w:rsidRDefault="002E0A7F" w:rsidP="00A224C6">
      <w:pPr>
        <w:pStyle w:val="SingleTxtG"/>
        <w:tabs>
          <w:tab w:val="left" w:pos="1701"/>
        </w:tabs>
      </w:pPr>
      <w:r>
        <w:t>28</w:t>
      </w:r>
      <w:r w:rsidR="005D4954">
        <w:t>.</w:t>
      </w:r>
      <w:r w:rsidR="005D4954">
        <w:tab/>
      </w:r>
      <w:r w:rsidR="005D4954">
        <w:tab/>
      </w:r>
      <w:r w:rsidR="00013568">
        <w:t xml:space="preserve">The representative of CEFIC reiterated the need for a solution to transport these substances, as they were currently being shipped in many cases as non-dangerous goods. He invited experts to </w:t>
      </w:r>
      <w:r w:rsidR="00531FB7">
        <w:t xml:space="preserve">share with him ideas on alternative concepts or solutions as well as questions on the technical background. He informed the Sub-Committee </w:t>
      </w:r>
      <w:r w:rsidR="00013568">
        <w:t>that he would revise the proposal to take account of the feedback received and would come back to this issue during the next biennium.</w:t>
      </w:r>
      <w:r w:rsidR="00360341">
        <w:tab/>
      </w:r>
    </w:p>
    <w:p w14:paraId="5FED08A9" w14:textId="65A24B21" w:rsidR="00531FB7" w:rsidRDefault="005D4954" w:rsidP="00A224C6">
      <w:pPr>
        <w:pStyle w:val="H23G"/>
      </w:pPr>
      <w:r>
        <w:tab/>
      </w:r>
      <w:r w:rsidR="00531FB7">
        <w:t>10.</w:t>
      </w:r>
      <w:r w:rsidR="00531FB7">
        <w:tab/>
        <w:t xml:space="preserve">Practical explosive or pyrotechnical effect </w:t>
      </w:r>
    </w:p>
    <w:p w14:paraId="237221FA" w14:textId="3CC97172" w:rsidR="00531FB7" w:rsidRDefault="00531FB7" w:rsidP="008C5256">
      <w:pPr>
        <w:pStyle w:val="SingleTxtG"/>
        <w:spacing w:after="240"/>
        <w:ind w:left="3119" w:right="39" w:hanging="1985"/>
        <w:jc w:val="left"/>
      </w:pPr>
      <w:r w:rsidRPr="003B0037">
        <w:rPr>
          <w:i/>
        </w:rPr>
        <w:t>Document:</w:t>
      </w:r>
      <w:r w:rsidRPr="003B0037">
        <w:rPr>
          <w:i/>
        </w:rPr>
        <w:tab/>
      </w:r>
      <w:r w:rsidRPr="00C778B3">
        <w:t>ST/SG/AC.10/C.3/2018/</w:t>
      </w:r>
      <w:r>
        <w:t>81</w:t>
      </w:r>
      <w:r w:rsidRPr="00C778B3">
        <w:t xml:space="preserve"> (</w:t>
      </w:r>
      <w:r>
        <w:t>Sweden</w:t>
      </w:r>
      <w:r w:rsidRPr="00C778B3">
        <w:t>)</w:t>
      </w:r>
    </w:p>
    <w:p w14:paraId="6C8E317C" w14:textId="2A1243C0" w:rsidR="00531FB7" w:rsidRPr="00C778B3" w:rsidRDefault="00531FB7" w:rsidP="008C5256">
      <w:pPr>
        <w:pStyle w:val="SingleTxtG"/>
        <w:spacing w:after="240"/>
        <w:ind w:left="3119" w:right="39" w:hanging="1985"/>
        <w:jc w:val="left"/>
      </w:pPr>
      <w:r w:rsidRPr="003B0037">
        <w:rPr>
          <w:i/>
        </w:rPr>
        <w:t xml:space="preserve">Informal document: </w:t>
      </w:r>
      <w:r w:rsidRPr="003B0037">
        <w:rPr>
          <w:i/>
        </w:rPr>
        <w:tab/>
      </w:r>
      <w:r w:rsidRPr="00BB05BD">
        <w:rPr>
          <w:rStyle w:val="Hyperlink"/>
          <w:color w:val="auto"/>
          <w:u w:val="none"/>
        </w:rPr>
        <w:t>INF.50, paragraph 8</w:t>
      </w:r>
    </w:p>
    <w:p w14:paraId="194EEA93" w14:textId="351B6287" w:rsidR="00531FB7" w:rsidRDefault="002E0A7F" w:rsidP="00A224C6">
      <w:pPr>
        <w:pStyle w:val="SingleTxtG"/>
      </w:pPr>
      <w:r>
        <w:t>29</w:t>
      </w:r>
      <w:r w:rsidR="005D4954">
        <w:t>.</w:t>
      </w:r>
      <w:r w:rsidR="005D4954">
        <w:tab/>
      </w:r>
      <w:r w:rsidR="00531FB7">
        <w:t xml:space="preserve">The Sub-Committee endorsed the recommendation of the Working Group and adopted the amendment to 2.1.3.3.1 </w:t>
      </w:r>
      <w:r w:rsidR="00C14202">
        <w:t>in</w:t>
      </w:r>
      <w:r w:rsidR="00531FB7">
        <w:t xml:space="preserve"> informal document INF.50, Annex 2, amendment 2 (see annex</w:t>
      </w:r>
      <w:r w:rsidR="006A7D31">
        <w:t xml:space="preserve"> I</w:t>
      </w:r>
      <w:r w:rsidR="00531FB7">
        <w:t xml:space="preserve">). </w:t>
      </w:r>
      <w:r w:rsidR="00360341">
        <w:t xml:space="preserve">It was noted that </w:t>
      </w:r>
      <w:r w:rsidR="0031536B">
        <w:t xml:space="preserve">the </w:t>
      </w:r>
      <w:r w:rsidR="00360341">
        <w:t xml:space="preserve">proposal </w:t>
      </w:r>
      <w:r w:rsidR="0031536B">
        <w:t xml:space="preserve">in paragraph 11 of document </w:t>
      </w:r>
      <w:r w:rsidR="0031536B" w:rsidRPr="00C778B3">
        <w:t>ST/SG/AC.10/C.3/2018/</w:t>
      </w:r>
      <w:r w:rsidR="0031536B">
        <w:t>81</w:t>
      </w:r>
      <w:r w:rsidR="00360341">
        <w:t xml:space="preserve"> had been withdrawn and that the expert from Sweden would come back with a revised one during the next biennium. </w:t>
      </w:r>
    </w:p>
    <w:p w14:paraId="1C0F4296" w14:textId="7BDB282F" w:rsidR="00360341" w:rsidRPr="002E0A7F" w:rsidRDefault="00360341" w:rsidP="00A224C6">
      <w:pPr>
        <w:pStyle w:val="H23G"/>
      </w:pPr>
      <w:r>
        <w:tab/>
      </w:r>
      <w:r w:rsidRPr="00E30AC5">
        <w:t>11.</w:t>
      </w:r>
      <w:r>
        <w:tab/>
      </w:r>
      <w:r w:rsidRPr="002E0A7F">
        <w:tab/>
        <w:t>Test Series 6 (b)</w:t>
      </w:r>
    </w:p>
    <w:p w14:paraId="5B825FF9" w14:textId="15D25670" w:rsidR="00360341" w:rsidRPr="002E0A7F" w:rsidRDefault="00360341" w:rsidP="008C5256">
      <w:pPr>
        <w:pStyle w:val="SingleTxtG"/>
        <w:spacing w:after="240"/>
        <w:ind w:left="3119" w:right="39" w:hanging="1985"/>
        <w:jc w:val="left"/>
      </w:pPr>
      <w:r w:rsidRPr="002E0A7F">
        <w:rPr>
          <w:i/>
        </w:rPr>
        <w:t>Document:</w:t>
      </w:r>
      <w:r w:rsidRPr="002E0A7F">
        <w:rPr>
          <w:i/>
        </w:rPr>
        <w:tab/>
      </w:r>
      <w:r w:rsidRPr="002E0A7F">
        <w:t>ST/SG/AC.10/C.3/2018/82 (Sweden)</w:t>
      </w:r>
    </w:p>
    <w:p w14:paraId="33A8BC35" w14:textId="6CF1169D" w:rsidR="00360341" w:rsidRPr="002E0A7F" w:rsidRDefault="00360341" w:rsidP="008C5256">
      <w:pPr>
        <w:pStyle w:val="SingleTxtG"/>
        <w:spacing w:after="240"/>
        <w:ind w:left="3119" w:right="39" w:hanging="1985"/>
        <w:jc w:val="left"/>
      </w:pPr>
      <w:r w:rsidRPr="002E0A7F">
        <w:rPr>
          <w:i/>
        </w:rPr>
        <w:t xml:space="preserve">Informal document: </w:t>
      </w:r>
      <w:r w:rsidRPr="002E0A7F">
        <w:rPr>
          <w:i/>
        </w:rPr>
        <w:tab/>
      </w:r>
      <w:r w:rsidRPr="00BB05BD">
        <w:rPr>
          <w:rStyle w:val="Hyperlink"/>
          <w:color w:val="auto"/>
          <w:u w:val="none"/>
        </w:rPr>
        <w:t>INF.50, paragraph 9</w:t>
      </w:r>
    </w:p>
    <w:p w14:paraId="3821EA64" w14:textId="3485827E" w:rsidR="00C14202" w:rsidRPr="002E0A7F" w:rsidRDefault="002E0A7F" w:rsidP="00C14202">
      <w:pPr>
        <w:pStyle w:val="SingleTxtG"/>
      </w:pPr>
      <w:r w:rsidRPr="002E0A7F">
        <w:t>30</w:t>
      </w:r>
      <w:r w:rsidR="005D4954" w:rsidRPr="002E0A7F">
        <w:t>.</w:t>
      </w:r>
      <w:r w:rsidR="005D4954" w:rsidRPr="002E0A7F">
        <w:tab/>
      </w:r>
      <w:r w:rsidR="00C14202" w:rsidRPr="002E0A7F">
        <w:t>The Sub-Committee endorsed the recommendation of the Working Group and adopted the amendment to 16.5.1.4 (c) in informal document INF.50, annex 3, amendment 6 (see annex</w:t>
      </w:r>
      <w:r w:rsidR="006A7D31">
        <w:t xml:space="preserve"> II</w:t>
      </w:r>
      <w:r w:rsidR="00C14202" w:rsidRPr="002E0A7F">
        <w:t>).</w:t>
      </w:r>
    </w:p>
    <w:p w14:paraId="45B1C33C" w14:textId="6C63740C" w:rsidR="00360341" w:rsidRPr="002E0A7F" w:rsidRDefault="00360341" w:rsidP="00A224C6">
      <w:pPr>
        <w:pStyle w:val="H23G"/>
      </w:pPr>
      <w:r w:rsidRPr="002E0A7F">
        <w:tab/>
        <w:t>12.</w:t>
      </w:r>
      <w:r w:rsidRPr="002E0A7F">
        <w:tab/>
        <w:t>Definitions related to Class 1</w:t>
      </w:r>
    </w:p>
    <w:p w14:paraId="5FEA3A45" w14:textId="5D89068D" w:rsidR="00360341" w:rsidRPr="00BB05BD" w:rsidRDefault="00360341" w:rsidP="008C5256">
      <w:pPr>
        <w:pStyle w:val="SingleTxtG"/>
        <w:spacing w:after="240"/>
        <w:ind w:left="3119" w:right="39" w:hanging="1985"/>
        <w:jc w:val="left"/>
        <w:rPr>
          <w:rStyle w:val="Hyperlink"/>
          <w:color w:val="auto"/>
          <w:u w:val="none"/>
        </w:rPr>
      </w:pPr>
      <w:r w:rsidRPr="00BB05BD">
        <w:rPr>
          <w:i/>
        </w:rPr>
        <w:t>Informal document</w:t>
      </w:r>
      <w:r w:rsidRPr="002E0A7F">
        <w:rPr>
          <w:i/>
        </w:rPr>
        <w:t xml:space="preserve">s: </w:t>
      </w:r>
      <w:r w:rsidRPr="00BB05BD">
        <w:rPr>
          <w:iCs/>
        </w:rPr>
        <w:tab/>
        <w:t>INF.22 (Sweden)</w:t>
      </w:r>
      <w:r w:rsidRPr="002E0A7F">
        <w:rPr>
          <w:iCs/>
        </w:rPr>
        <w:br/>
      </w:r>
      <w:r w:rsidRPr="00BB05BD">
        <w:rPr>
          <w:rStyle w:val="Hyperlink"/>
          <w:color w:val="auto"/>
          <w:u w:val="none"/>
        </w:rPr>
        <w:t>INF.50, paragraph 14</w:t>
      </w:r>
    </w:p>
    <w:p w14:paraId="6CCD41EF" w14:textId="2B042968" w:rsidR="00C14202" w:rsidRPr="00C778B3" w:rsidRDefault="002E0A7F" w:rsidP="00A224C6">
      <w:pPr>
        <w:pStyle w:val="SingleTxtG"/>
      </w:pPr>
      <w:r>
        <w:t>31</w:t>
      </w:r>
      <w:r w:rsidR="005D4954">
        <w:t>.</w:t>
      </w:r>
      <w:r w:rsidR="005D4954">
        <w:tab/>
      </w:r>
      <w:r w:rsidR="00C14202" w:rsidRPr="00A224C6">
        <w:t>The Sub-Committee noted that the Working Group had discussed several issues related to the definitions related to Class 1</w:t>
      </w:r>
      <w:r w:rsidR="001A1516">
        <w:t xml:space="preserve"> and that the expert from Sweden may consider submitting proposals to address them during the next biennium.</w:t>
      </w:r>
    </w:p>
    <w:p w14:paraId="4B1438A5" w14:textId="77777777" w:rsidR="0031479D" w:rsidRDefault="0031479D">
      <w:pPr>
        <w:suppressAutoHyphens w:val="0"/>
        <w:spacing w:line="240" w:lineRule="auto"/>
        <w:rPr>
          <w:b/>
        </w:rPr>
      </w:pPr>
      <w:r>
        <w:br w:type="page"/>
      </w:r>
    </w:p>
    <w:p w14:paraId="63BCB658" w14:textId="468DDAEB" w:rsidR="00360341" w:rsidRPr="002E0A7F" w:rsidRDefault="00337CDA" w:rsidP="00A224C6">
      <w:pPr>
        <w:pStyle w:val="H23G"/>
      </w:pPr>
      <w:r>
        <w:lastRenderedPageBreak/>
        <w:tab/>
        <w:t>13.</w:t>
      </w:r>
      <w:r>
        <w:tab/>
      </w:r>
      <w:r w:rsidRPr="002E0A7F">
        <w:t>Fibre-reinforced plastics (FRP) portable tanks</w:t>
      </w:r>
    </w:p>
    <w:p w14:paraId="2FC7DA9A" w14:textId="48951058" w:rsidR="00337CDA" w:rsidRPr="002E0A7F" w:rsidRDefault="00337CDA" w:rsidP="0031479D">
      <w:pPr>
        <w:pStyle w:val="SingleTxtG"/>
        <w:ind w:left="3119" w:right="40" w:hanging="1985"/>
        <w:jc w:val="left"/>
      </w:pPr>
      <w:r w:rsidRPr="002E0A7F">
        <w:rPr>
          <w:i/>
        </w:rPr>
        <w:t>Document:</w:t>
      </w:r>
      <w:r w:rsidRPr="002E0A7F">
        <w:rPr>
          <w:i/>
        </w:rPr>
        <w:tab/>
      </w:r>
      <w:r w:rsidRPr="002E0A7F">
        <w:t>ST/SG/AC.10/C.3/2018/99 (</w:t>
      </w:r>
      <w:r w:rsidR="00FF2A27" w:rsidRPr="002E0A7F">
        <w:t>AEISG</w:t>
      </w:r>
      <w:r w:rsidRPr="002E0A7F">
        <w:t>)</w:t>
      </w:r>
    </w:p>
    <w:p w14:paraId="211A1034" w14:textId="5211F857" w:rsidR="00337CDA" w:rsidRPr="002E0A7F" w:rsidRDefault="00337CDA" w:rsidP="008C5256">
      <w:pPr>
        <w:pStyle w:val="SingleTxtG"/>
        <w:spacing w:after="240"/>
        <w:ind w:left="3119" w:right="39" w:hanging="1985"/>
        <w:jc w:val="left"/>
      </w:pPr>
      <w:r w:rsidRPr="002E0A7F">
        <w:rPr>
          <w:i/>
        </w:rPr>
        <w:t xml:space="preserve">Informal document: </w:t>
      </w:r>
      <w:r w:rsidRPr="002E0A7F">
        <w:rPr>
          <w:i/>
        </w:rPr>
        <w:tab/>
      </w:r>
      <w:r w:rsidRPr="00BB05BD">
        <w:rPr>
          <w:rStyle w:val="Hyperlink"/>
          <w:color w:val="auto"/>
          <w:u w:val="none"/>
        </w:rPr>
        <w:t xml:space="preserve">INF.50, paragraph </w:t>
      </w:r>
      <w:r w:rsidR="00FF2A27" w:rsidRPr="00BB05BD">
        <w:rPr>
          <w:rStyle w:val="Hyperlink"/>
          <w:color w:val="auto"/>
          <w:u w:val="none"/>
        </w:rPr>
        <w:t>16</w:t>
      </w:r>
    </w:p>
    <w:p w14:paraId="6EA0F445" w14:textId="2CB7FC8D" w:rsidR="00337CDA" w:rsidRPr="00337CDA" w:rsidRDefault="002E0A7F" w:rsidP="00A224C6">
      <w:pPr>
        <w:pStyle w:val="SingleTxtG"/>
      </w:pPr>
      <w:r>
        <w:t>32</w:t>
      </w:r>
      <w:r w:rsidR="005D4954">
        <w:t>.</w:t>
      </w:r>
      <w:r w:rsidR="005D4954">
        <w:tab/>
      </w:r>
      <w:r w:rsidR="00F10208">
        <w:t xml:space="preserve">The Sub-Committee noted that the Working Group </w:t>
      </w:r>
      <w:r w:rsidR="00C555EC">
        <w:t>had agreed to work with the informal working group on FRP portable tanks during the next biennium (see also paragraph</w:t>
      </w:r>
      <w:r w:rsidR="0031479D">
        <w:t> </w:t>
      </w:r>
      <w:r w:rsidR="00BD1F38">
        <w:t>67</w:t>
      </w:r>
      <w:r w:rsidR="00C555EC">
        <w:t>).</w:t>
      </w:r>
    </w:p>
    <w:p w14:paraId="073FF808" w14:textId="4DFF879E" w:rsidR="00FF2A27" w:rsidRDefault="00FF2A27" w:rsidP="00FF2A27">
      <w:pPr>
        <w:pStyle w:val="H23G"/>
      </w:pPr>
      <w:r>
        <w:tab/>
        <w:t>14.</w:t>
      </w:r>
      <w:r>
        <w:tab/>
        <w:t>Use of the Manual of Tests and Criteria in the context of the GHS</w:t>
      </w:r>
    </w:p>
    <w:p w14:paraId="63D64477" w14:textId="77777777" w:rsidR="00FF2A27" w:rsidRDefault="00FF2A27" w:rsidP="008C5256">
      <w:pPr>
        <w:pStyle w:val="SingleTxtG"/>
        <w:spacing w:after="240"/>
        <w:ind w:left="3119" w:right="39" w:hanging="1985"/>
        <w:jc w:val="left"/>
      </w:pPr>
      <w:r w:rsidRPr="003B0037">
        <w:rPr>
          <w:i/>
        </w:rPr>
        <w:t>Document</w:t>
      </w:r>
      <w:r>
        <w:rPr>
          <w:i/>
        </w:rPr>
        <w:t>s</w:t>
      </w:r>
      <w:r w:rsidRPr="003B0037">
        <w:rPr>
          <w:i/>
        </w:rPr>
        <w:t>:</w:t>
      </w:r>
      <w:r w:rsidRPr="003B0037">
        <w:rPr>
          <w:i/>
        </w:rPr>
        <w:tab/>
      </w:r>
      <w:r w:rsidRPr="00C778B3">
        <w:t>ST/SG/AC.10/C.3/2018/</w:t>
      </w:r>
      <w:r>
        <w:t>61</w:t>
      </w:r>
      <w:r w:rsidRPr="00C778B3">
        <w:t xml:space="preserve"> (</w:t>
      </w:r>
      <w:r>
        <w:t>Chairman of the Working Group</w:t>
      </w:r>
      <w:r w:rsidRPr="00C778B3">
        <w:t>)</w:t>
      </w:r>
      <w:r>
        <w:br/>
      </w:r>
      <w:r w:rsidRPr="00C778B3">
        <w:t>ST/SG/AC.10/C.3/2018/</w:t>
      </w:r>
      <w:r>
        <w:t>62</w:t>
      </w:r>
      <w:r w:rsidRPr="00C778B3">
        <w:t xml:space="preserve"> (</w:t>
      </w:r>
      <w:r>
        <w:t>Chairman of the Working Group</w:t>
      </w:r>
      <w:r w:rsidRPr="00C778B3">
        <w:t>)</w:t>
      </w:r>
      <w:r>
        <w:br/>
      </w:r>
      <w:r w:rsidRPr="00C778B3">
        <w:t>ST/SG/AC.10/C.3/2018/</w:t>
      </w:r>
      <w:r>
        <w:t>88</w:t>
      </w:r>
      <w:r w:rsidRPr="00C778B3">
        <w:t xml:space="preserve"> (</w:t>
      </w:r>
      <w:r>
        <w:t>Chairman of the Working Group</w:t>
      </w:r>
      <w:r w:rsidRPr="00C778B3">
        <w:t>)</w:t>
      </w:r>
    </w:p>
    <w:p w14:paraId="33C5BC06" w14:textId="56EBF781" w:rsidR="00FF2A27" w:rsidRDefault="00FF2A27" w:rsidP="008C5256">
      <w:pPr>
        <w:pStyle w:val="SingleTxtG"/>
        <w:spacing w:after="240"/>
        <w:ind w:left="3119" w:right="39" w:hanging="1985"/>
        <w:jc w:val="left"/>
      </w:pPr>
      <w:r w:rsidRPr="003B0037">
        <w:rPr>
          <w:i/>
        </w:rPr>
        <w:t>Informal document</w:t>
      </w:r>
      <w:r>
        <w:rPr>
          <w:i/>
        </w:rPr>
        <w:t>s</w:t>
      </w:r>
      <w:r w:rsidRPr="003B0037">
        <w:rPr>
          <w:i/>
        </w:rPr>
        <w:t xml:space="preserve">: </w:t>
      </w:r>
      <w:r w:rsidRPr="003B0037">
        <w:rPr>
          <w:i/>
        </w:rPr>
        <w:tab/>
      </w:r>
      <w:r w:rsidRPr="00BB05BD">
        <w:rPr>
          <w:rStyle w:val="Hyperlink"/>
          <w:color w:val="auto"/>
          <w:u w:val="none"/>
        </w:rPr>
        <w:t>INF.3, INF.4 and INF.6</w:t>
      </w:r>
      <w:r w:rsidRPr="00BB05BD">
        <w:rPr>
          <w:rStyle w:val="Hyperlink"/>
          <w:color w:val="auto"/>
        </w:rPr>
        <w:t xml:space="preserve"> </w:t>
      </w:r>
      <w:r w:rsidRPr="00C778B3">
        <w:t>(</w:t>
      </w:r>
      <w:r>
        <w:t>Chairman of the Working Group</w:t>
      </w:r>
      <w:r w:rsidRPr="00C778B3">
        <w:t>)</w:t>
      </w:r>
      <w:r>
        <w:br/>
        <w:t>INF.19 (Germany)</w:t>
      </w:r>
      <w:r>
        <w:br/>
        <w:t>INF.50, paragraphs 17, 18, 19 and 20</w:t>
      </w:r>
    </w:p>
    <w:p w14:paraId="6AB67BAC" w14:textId="1506F307" w:rsidR="00F44D67" w:rsidRDefault="002E0A7F" w:rsidP="00A224C6">
      <w:pPr>
        <w:pStyle w:val="SingleTxtG"/>
      </w:pPr>
      <w:r>
        <w:t>33</w:t>
      </w:r>
      <w:r w:rsidR="005D4954">
        <w:t>.</w:t>
      </w:r>
      <w:r w:rsidR="005D4954">
        <w:tab/>
      </w:r>
      <w:r w:rsidR="00C555EC">
        <w:t>The Sub-Committee endorsed the recommendations</w:t>
      </w:r>
      <w:r w:rsidR="00F44D67">
        <w:t xml:space="preserve"> of the Working Group </w:t>
      </w:r>
      <w:r w:rsidR="00C555EC">
        <w:t>and adopted</w:t>
      </w:r>
      <w:r w:rsidR="00136033">
        <w:t xml:space="preserve"> the amendments to parts II and III to the Manual of Tests and Criteria as follows</w:t>
      </w:r>
      <w:r w:rsidR="00F44D67">
        <w:t>:</w:t>
      </w:r>
    </w:p>
    <w:p w14:paraId="116A8D8D" w14:textId="693A96CC" w:rsidR="00F44D67" w:rsidRDefault="00F44D67" w:rsidP="00C1741F">
      <w:pPr>
        <w:pStyle w:val="SingleTxtG"/>
        <w:ind w:left="2268" w:hanging="567"/>
      </w:pPr>
      <w:r>
        <w:t>(a)</w:t>
      </w:r>
      <w:r>
        <w:tab/>
      </w:r>
      <w:r w:rsidR="00C555EC">
        <w:t xml:space="preserve">amendments to Part II (sections 20 to 28) </w:t>
      </w:r>
      <w:r>
        <w:t xml:space="preserve">in document </w:t>
      </w:r>
      <w:r w:rsidRPr="00C778B3">
        <w:t>ST/SG/AC.10/C.3/2018/</w:t>
      </w:r>
      <w:r>
        <w:t xml:space="preserve">61, as amended by </w:t>
      </w:r>
      <w:r w:rsidR="00C1741F">
        <w:t>informal document INF.50, annex </w:t>
      </w:r>
      <w:r>
        <w:t xml:space="preserve">6, item </w:t>
      </w:r>
      <w:r w:rsidR="00F37547">
        <w:t xml:space="preserve">1 </w:t>
      </w:r>
      <w:r>
        <w:t>(see annex</w:t>
      </w:r>
      <w:r w:rsidR="006A7D31">
        <w:t xml:space="preserve"> II</w:t>
      </w:r>
      <w:r>
        <w:t>);</w:t>
      </w:r>
    </w:p>
    <w:p w14:paraId="0A38C253" w14:textId="3048CD01" w:rsidR="00F44D67" w:rsidRDefault="00F44D67" w:rsidP="00C1741F">
      <w:pPr>
        <w:pStyle w:val="SingleTxtG"/>
        <w:ind w:left="2268" w:hanging="567"/>
      </w:pPr>
      <w:r>
        <w:t>(b)</w:t>
      </w:r>
      <w:r>
        <w:tab/>
        <w:t xml:space="preserve">amendments to Part III (sections 30 to 37; 38.1 and 38.2) in document </w:t>
      </w:r>
      <w:r w:rsidRPr="00C778B3">
        <w:t>ST/SG/AC.10/C.3/2018/</w:t>
      </w:r>
      <w:r w:rsidR="006A7D31">
        <w:t xml:space="preserve">62 </w:t>
      </w:r>
      <w:r>
        <w:t>(see annex</w:t>
      </w:r>
      <w:r w:rsidR="006A7D31">
        <w:t xml:space="preserve"> II</w:t>
      </w:r>
      <w:r>
        <w:t>); and</w:t>
      </w:r>
    </w:p>
    <w:p w14:paraId="3A2AF79A" w14:textId="73ED5AC7" w:rsidR="00F44D67" w:rsidRDefault="00F44D67" w:rsidP="00C1741F">
      <w:pPr>
        <w:pStyle w:val="SingleTxtG"/>
        <w:ind w:left="2268" w:hanging="567"/>
      </w:pPr>
      <w:r>
        <w:t>(c)</w:t>
      </w:r>
      <w:r>
        <w:tab/>
      </w:r>
      <w:r w:rsidR="00136033">
        <w:t xml:space="preserve">amendments to Part II, Test Series H, in document </w:t>
      </w:r>
      <w:r w:rsidR="00136033" w:rsidRPr="00C778B3">
        <w:t>ST/SG/AC.10/C.3/2018/</w:t>
      </w:r>
      <w:r w:rsidR="00136033">
        <w:t>88 as amended by informal document INF.50, annex 6, item 2 (see annex</w:t>
      </w:r>
      <w:r w:rsidR="006A7D31">
        <w:t xml:space="preserve"> II</w:t>
      </w:r>
      <w:r w:rsidR="00136033">
        <w:t>).</w:t>
      </w:r>
    </w:p>
    <w:p w14:paraId="5EC913D5" w14:textId="4118A98C" w:rsidR="00337CDA" w:rsidRPr="00337CDA" w:rsidRDefault="002E0A7F" w:rsidP="00A224C6">
      <w:pPr>
        <w:pStyle w:val="SingleTxtG"/>
      </w:pPr>
      <w:r>
        <w:t>34</w:t>
      </w:r>
      <w:r w:rsidR="005D4954">
        <w:t>.</w:t>
      </w:r>
      <w:r w:rsidR="005D4954">
        <w:tab/>
      </w:r>
      <w:r w:rsidR="00644F4D">
        <w:t>On the use of “shall be considered” and “shall be categorized” in t</w:t>
      </w:r>
      <w:r w:rsidR="00746CE3">
        <w:t>he Manual of Tests and Criteria</w:t>
      </w:r>
      <w:r w:rsidR="005A5839">
        <w:t xml:space="preserve"> addressed in informal document INF.19</w:t>
      </w:r>
      <w:r w:rsidR="00746CE3">
        <w:t xml:space="preserve">, the Sub-Committee took note of the concerns and opinions expressed within the Working Group summarized in paragraph 20 of informal document INF.50. It was noted </w:t>
      </w:r>
      <w:r w:rsidR="005A5839">
        <w:t xml:space="preserve">that </w:t>
      </w:r>
      <w:r w:rsidR="00746CE3">
        <w:t>the Working Group had decided to defer consideration of the issues raised until the ongoing review of Chapter 2.1 of the GHS was completed</w:t>
      </w:r>
      <w:r w:rsidR="003F0264">
        <w:t>.</w:t>
      </w:r>
      <w:r w:rsidR="005A5839">
        <w:t xml:space="preserve"> </w:t>
      </w:r>
      <w:r w:rsidR="003F0264">
        <w:t xml:space="preserve">In </w:t>
      </w:r>
      <w:r w:rsidR="005A5839">
        <w:t>the light of the comments made, the expert</w:t>
      </w:r>
      <w:r w:rsidR="00746CE3">
        <w:t xml:space="preserve"> from Germany</w:t>
      </w:r>
      <w:r w:rsidR="005A5839">
        <w:t xml:space="preserve"> withdrew informal document INF.19.</w:t>
      </w:r>
    </w:p>
    <w:p w14:paraId="54388992" w14:textId="77777777" w:rsidR="000B031F" w:rsidRDefault="000B031F" w:rsidP="000B031F">
      <w:pPr>
        <w:pStyle w:val="H1G"/>
      </w:pPr>
      <w:r>
        <w:tab/>
        <w:t>C.</w:t>
      </w:r>
      <w:r>
        <w:tab/>
        <w:t>Listing, classification and packing</w:t>
      </w:r>
    </w:p>
    <w:p w14:paraId="1802814E" w14:textId="77777777" w:rsidR="000B031F" w:rsidRDefault="000B031F" w:rsidP="000B031F">
      <w:pPr>
        <w:pStyle w:val="H23G"/>
        <w:rPr>
          <w:lang w:val="en-US"/>
        </w:rPr>
      </w:pPr>
      <w:r>
        <w:rPr>
          <w:lang w:val="en-US"/>
        </w:rPr>
        <w:tab/>
        <w:t>1.</w:t>
      </w:r>
      <w:r>
        <w:rPr>
          <w:lang w:val="en-US"/>
        </w:rPr>
        <w:tab/>
        <w:t>Amendment of packing instructions P400 and P404</w:t>
      </w:r>
    </w:p>
    <w:p w14:paraId="332749F4" w14:textId="1528AE77" w:rsidR="000B031F" w:rsidRDefault="000B031F" w:rsidP="008C5256">
      <w:pPr>
        <w:pStyle w:val="SingleTxtG"/>
        <w:tabs>
          <w:tab w:val="left" w:pos="3119"/>
        </w:tabs>
        <w:rPr>
          <w:lang w:val="en-US"/>
        </w:rPr>
      </w:pPr>
      <w:r>
        <w:rPr>
          <w:i/>
          <w:iCs/>
        </w:rPr>
        <w:t>Document:</w:t>
      </w:r>
      <w:r w:rsidR="008C5256">
        <w:tab/>
      </w:r>
      <w:r>
        <w:rPr>
          <w:lang w:val="en-US"/>
        </w:rPr>
        <w:t>ST/SG/AC.10/C.3/2018/76 (CEFIC)</w:t>
      </w:r>
    </w:p>
    <w:p w14:paraId="054CED76" w14:textId="73C08611" w:rsidR="000B031F" w:rsidRDefault="002E0A7F" w:rsidP="000B031F">
      <w:pPr>
        <w:pStyle w:val="SingleTxtG"/>
      </w:pPr>
      <w:r>
        <w:t>35</w:t>
      </w:r>
      <w:r w:rsidR="000B031F">
        <w:t>.</w:t>
      </w:r>
      <w:r w:rsidR="000B031F">
        <w:tab/>
        <w:t>The proposed amendments to P400 and P404 were adopted without changes (see annex</w:t>
      </w:r>
      <w:r w:rsidR="006A7D31">
        <w:t xml:space="preserve"> I</w:t>
      </w:r>
      <w:r w:rsidR="000B031F">
        <w:t>).</w:t>
      </w:r>
    </w:p>
    <w:p w14:paraId="733E76D8" w14:textId="77777777" w:rsidR="000B031F" w:rsidRDefault="000B031F" w:rsidP="000B031F">
      <w:pPr>
        <w:pStyle w:val="H23G"/>
        <w:rPr>
          <w:lang w:val="en-US"/>
        </w:rPr>
      </w:pPr>
      <w:r>
        <w:rPr>
          <w:lang w:val="en-US"/>
        </w:rPr>
        <w:tab/>
        <w:t>2.</w:t>
      </w:r>
      <w:r>
        <w:rPr>
          <w:lang w:val="en-US"/>
        </w:rPr>
        <w:tab/>
      </w:r>
      <w:r>
        <w:rPr>
          <w:lang w:val="en-US"/>
        </w:rPr>
        <w:tab/>
        <w:t>Exemptions for polymerizing substances</w:t>
      </w:r>
    </w:p>
    <w:p w14:paraId="3E623867" w14:textId="77777777" w:rsidR="000B031F" w:rsidRDefault="000B031F" w:rsidP="008C5256">
      <w:pPr>
        <w:pStyle w:val="SingleTxtG"/>
        <w:tabs>
          <w:tab w:val="left" w:pos="3119"/>
        </w:tabs>
        <w:rPr>
          <w:lang w:val="en-US"/>
        </w:rPr>
      </w:pPr>
      <w:r>
        <w:rPr>
          <w:i/>
          <w:iCs/>
        </w:rPr>
        <w:t>Document:</w:t>
      </w:r>
      <w:r>
        <w:tab/>
      </w:r>
      <w:r>
        <w:rPr>
          <w:lang w:val="en-US"/>
        </w:rPr>
        <w:t>ST/SG/AC.10/C.3/2018/79 (CEFIC)</w:t>
      </w:r>
    </w:p>
    <w:p w14:paraId="591A8BAD" w14:textId="28F5ACEE" w:rsidR="000B031F" w:rsidRDefault="002E0A7F" w:rsidP="000B031F">
      <w:pPr>
        <w:pStyle w:val="SingleTxtG"/>
        <w:rPr>
          <w:lang w:val="en-US"/>
        </w:rPr>
      </w:pPr>
      <w:r>
        <w:rPr>
          <w:lang w:val="en-US"/>
        </w:rPr>
        <w:t>36</w:t>
      </w:r>
      <w:r w:rsidR="000B031F">
        <w:rPr>
          <w:lang w:val="en-US"/>
        </w:rPr>
        <w:t>.</w:t>
      </w:r>
      <w:r w:rsidR="000B031F">
        <w:rPr>
          <w:lang w:val="en-US"/>
        </w:rPr>
        <w:tab/>
        <w:t xml:space="preserve">Several delegations supported in principle the proposal for an exemption of polymerizing substances from some of the requirements of the Model Regulations. A few others believed that given that the provisions for classification of these substances had been </w:t>
      </w:r>
      <w:r w:rsidR="000B031F">
        <w:rPr>
          <w:lang w:val="en-US"/>
        </w:rPr>
        <w:lastRenderedPageBreak/>
        <w:t xml:space="preserve">introduced only two years ago in the Model Regulations, more experience was needed on their application before an exemption could be considered. </w:t>
      </w:r>
    </w:p>
    <w:p w14:paraId="6A6D57E4" w14:textId="08A40484" w:rsidR="000B031F" w:rsidRDefault="002E0A7F" w:rsidP="000B031F">
      <w:pPr>
        <w:pStyle w:val="SingleTxtG"/>
        <w:rPr>
          <w:lang w:val="en-US"/>
        </w:rPr>
      </w:pPr>
      <w:r>
        <w:rPr>
          <w:lang w:val="en-US"/>
        </w:rPr>
        <w:t>37</w:t>
      </w:r>
      <w:r w:rsidR="000B031F">
        <w:rPr>
          <w:lang w:val="en-US"/>
        </w:rPr>
        <w:t>.</w:t>
      </w:r>
      <w:r w:rsidR="000B031F">
        <w:rPr>
          <w:lang w:val="en-US"/>
        </w:rPr>
        <w:tab/>
        <w:t xml:space="preserve">Among those who provided comments, some expressed concerns about the lack of a definition of “small package” (e.g. size of the package or volume of substances contained therein); how to determine the rate of gas evolution for flammable gases specified in note 2 to the proposed paragraph 2.4.2.5.3; and the rationale behind the “less than 1 % of the gas” criteria in note 1. There was agreement that requirements should not be placed in notes. One expert recommended that the exemption be addressed in a special provision rather than in Chapter 2.4, given that it appeared to be linked to the size of the packages rather than to classification. Others suggested that it would be more appropriate to base the exemption on the conditions applicable to self-reactive substances instead of on those applicable to Class 1 articles. </w:t>
      </w:r>
    </w:p>
    <w:p w14:paraId="7FD1C32E" w14:textId="174DED09" w:rsidR="000B031F" w:rsidRDefault="002E0A7F" w:rsidP="000B031F">
      <w:pPr>
        <w:pStyle w:val="SingleTxtG"/>
        <w:rPr>
          <w:lang w:val="en-US"/>
        </w:rPr>
      </w:pPr>
      <w:r>
        <w:rPr>
          <w:lang w:val="en-US"/>
        </w:rPr>
        <w:t>38</w:t>
      </w:r>
      <w:r w:rsidR="000B031F">
        <w:rPr>
          <w:lang w:val="en-US"/>
        </w:rPr>
        <w:t>.</w:t>
      </w:r>
      <w:r w:rsidR="000B031F">
        <w:rPr>
          <w:lang w:val="en-US"/>
        </w:rPr>
        <w:tab/>
        <w:t>The representative of CEFIC reiterated industry</w:t>
      </w:r>
      <w:r w:rsidR="003F0264">
        <w:rPr>
          <w:lang w:val="en-US"/>
        </w:rPr>
        <w:t>’s</w:t>
      </w:r>
      <w:r w:rsidR="000B031F">
        <w:rPr>
          <w:lang w:val="en-US"/>
        </w:rPr>
        <w:t xml:space="preserve"> need for an exemption for polymerizing substances. She indicated that she would consider the comments made, would provide details on the amount of polymerizing substances transported and applicable testing methods and would submit a revised proposal for the next session. </w:t>
      </w:r>
    </w:p>
    <w:p w14:paraId="2D39B77E" w14:textId="77777777" w:rsidR="000B031F" w:rsidRDefault="000B031F" w:rsidP="000B031F">
      <w:pPr>
        <w:pStyle w:val="H23G"/>
        <w:rPr>
          <w:lang w:val="en-US"/>
        </w:rPr>
      </w:pPr>
      <w:r>
        <w:rPr>
          <w:lang w:val="en-US"/>
        </w:rPr>
        <w:tab/>
        <w:t>3.</w:t>
      </w:r>
      <w:r>
        <w:rPr>
          <w:lang w:val="en-US"/>
        </w:rPr>
        <w:tab/>
        <w:t>Revision of the Spanish names of UN numbers</w:t>
      </w:r>
    </w:p>
    <w:p w14:paraId="1A413950" w14:textId="77777777" w:rsidR="000B031F" w:rsidRDefault="000B031F" w:rsidP="000B031F">
      <w:pPr>
        <w:pStyle w:val="SingleTxtG"/>
        <w:tabs>
          <w:tab w:val="left" w:pos="3119"/>
        </w:tabs>
        <w:rPr>
          <w:i/>
          <w:iCs/>
        </w:rPr>
      </w:pPr>
      <w:r>
        <w:rPr>
          <w:i/>
          <w:iCs/>
        </w:rPr>
        <w:t>Document:</w:t>
      </w:r>
      <w:r>
        <w:rPr>
          <w:i/>
          <w:iCs/>
        </w:rPr>
        <w:tab/>
      </w:r>
      <w:r>
        <w:t>ST/SG/AC.10/C.3/2018/104 (Spain)</w:t>
      </w:r>
    </w:p>
    <w:p w14:paraId="5340720D" w14:textId="77777777" w:rsidR="000B031F" w:rsidRDefault="000B031F" w:rsidP="000B031F">
      <w:pPr>
        <w:pStyle w:val="SingleTxtG"/>
        <w:tabs>
          <w:tab w:val="left" w:pos="3119"/>
        </w:tabs>
        <w:rPr>
          <w:i/>
          <w:iCs/>
        </w:rPr>
      </w:pPr>
      <w:r>
        <w:rPr>
          <w:i/>
          <w:iCs/>
        </w:rPr>
        <w:t>Informal document:</w:t>
      </w:r>
      <w:r>
        <w:rPr>
          <w:i/>
          <w:iCs/>
        </w:rPr>
        <w:tab/>
      </w:r>
      <w:r>
        <w:t>INF.9 (Spain)</w:t>
      </w:r>
    </w:p>
    <w:p w14:paraId="6A643B34" w14:textId="3BE42B18" w:rsidR="000B031F" w:rsidRDefault="002E0A7F" w:rsidP="000B031F">
      <w:pPr>
        <w:pStyle w:val="SingleTxtG"/>
      </w:pPr>
      <w:r>
        <w:t>39</w:t>
      </w:r>
      <w:r w:rsidR="000B031F">
        <w:t>.</w:t>
      </w:r>
      <w:r w:rsidR="000B031F">
        <w:tab/>
        <w:t>The Sub-Committee took note of the proposals for the review of the Spanish version of the entries listed in the table under paragraphs 86 and 87 of informal document INF.9, as well as the consequential amendments indicated in paragraph 88, and requested the secretariat to incorporate them in the next revised edition of the Model Regulations and the Manual of Tests and Criteria.</w:t>
      </w:r>
    </w:p>
    <w:p w14:paraId="22403BF8" w14:textId="77777777" w:rsidR="000B031F" w:rsidRDefault="000B031F" w:rsidP="000B031F">
      <w:pPr>
        <w:pStyle w:val="H23G"/>
        <w:tabs>
          <w:tab w:val="left" w:pos="3119"/>
        </w:tabs>
        <w:rPr>
          <w:lang w:val="en-US"/>
        </w:rPr>
      </w:pPr>
      <w:r>
        <w:rPr>
          <w:lang w:val="en-US"/>
        </w:rPr>
        <w:tab/>
        <w:t>4.</w:t>
      </w:r>
      <w:r>
        <w:rPr>
          <w:lang w:val="en-US"/>
        </w:rPr>
        <w:tab/>
        <w:t>Transport of barium carbonate as non-dangerous goods</w:t>
      </w:r>
    </w:p>
    <w:p w14:paraId="15495929" w14:textId="77777777" w:rsidR="000B031F" w:rsidRDefault="000B031F" w:rsidP="000B031F">
      <w:pPr>
        <w:pStyle w:val="SingleTxtG"/>
        <w:keepNext/>
        <w:keepLines/>
        <w:tabs>
          <w:tab w:val="left" w:pos="3119"/>
        </w:tabs>
        <w:rPr>
          <w:lang w:val="en-US"/>
        </w:rPr>
      </w:pPr>
      <w:r>
        <w:rPr>
          <w:i/>
          <w:iCs/>
        </w:rPr>
        <w:t>Document:</w:t>
      </w:r>
      <w:r>
        <w:tab/>
      </w:r>
      <w:r>
        <w:rPr>
          <w:lang w:val="en-US"/>
        </w:rPr>
        <w:t>ST/SG/AC.10/C.3/2018/105 (Spain)</w:t>
      </w:r>
    </w:p>
    <w:p w14:paraId="39EE38FC" w14:textId="77777777" w:rsidR="000B031F" w:rsidRDefault="000B031F" w:rsidP="000B031F">
      <w:pPr>
        <w:pStyle w:val="SingleTxtG"/>
        <w:tabs>
          <w:tab w:val="left" w:pos="3119"/>
        </w:tabs>
        <w:rPr>
          <w:lang w:val="en-US"/>
        </w:rPr>
      </w:pPr>
      <w:r>
        <w:rPr>
          <w:i/>
          <w:iCs/>
        </w:rPr>
        <w:t>Informal document:</w:t>
      </w:r>
      <w:r>
        <w:tab/>
      </w:r>
      <w:r>
        <w:rPr>
          <w:lang w:val="en-US"/>
        </w:rPr>
        <w:t>INF.7 (Spain)</w:t>
      </w:r>
    </w:p>
    <w:p w14:paraId="030CF324" w14:textId="22EF1DB2" w:rsidR="000B031F" w:rsidRDefault="002E0A7F" w:rsidP="000B031F">
      <w:pPr>
        <w:pStyle w:val="SingleTxtG"/>
      </w:pPr>
      <w:r>
        <w:t>40</w:t>
      </w:r>
      <w:r w:rsidR="000B031F">
        <w:t>.</w:t>
      </w:r>
      <w:r w:rsidR="000B031F">
        <w:tab/>
        <w:t xml:space="preserve">Several experts were reluctant to exempt barium carbonate from the regulations based on </w:t>
      </w:r>
      <w:r w:rsidR="00BC4F4D">
        <w:t xml:space="preserve">the </w:t>
      </w:r>
      <w:r w:rsidR="000B031F">
        <w:t xml:space="preserve">data </w:t>
      </w:r>
      <w:r w:rsidR="00BC4F4D">
        <w:t>provided</w:t>
      </w:r>
      <w:r w:rsidR="000B031F">
        <w:t>. They pointed out that although the existing LD</w:t>
      </w:r>
      <w:r w:rsidR="000B031F">
        <w:rPr>
          <w:vertAlign w:val="subscript"/>
        </w:rPr>
        <w:t xml:space="preserve">50 </w:t>
      </w:r>
      <w:r w:rsidR="000B031F">
        <w:t xml:space="preserve">value obtained from animal testing did not justify classification of barium carbonate as toxic in Division 6.1, toxicological data in humans confirmed that the substance was soluble in gastrointestinal tract and toxic to humans when swallowed. Some suggested that special provision 279 could be assigned to this substance, to justify classification in Division 6.1 based on human experience rather than the strict application of classification criteria. </w:t>
      </w:r>
    </w:p>
    <w:p w14:paraId="22D86C85" w14:textId="434225E4" w:rsidR="000B031F" w:rsidRDefault="002E0A7F" w:rsidP="000B031F">
      <w:pPr>
        <w:pStyle w:val="SingleTxtG"/>
      </w:pPr>
      <w:r>
        <w:t>41</w:t>
      </w:r>
      <w:r w:rsidR="000B031F">
        <w:t>.</w:t>
      </w:r>
      <w:r w:rsidR="000B031F">
        <w:tab/>
        <w:t xml:space="preserve">Some others </w:t>
      </w:r>
      <w:r w:rsidR="00BC4F4D">
        <w:t xml:space="preserve">agreed on the classification of barium carbonate as non-toxic but </w:t>
      </w:r>
      <w:r w:rsidR="000B031F">
        <w:t xml:space="preserve">questioned the </w:t>
      </w:r>
      <w:r w:rsidR="00BC4F4D">
        <w:t xml:space="preserve">need to address </w:t>
      </w:r>
      <w:r w:rsidR="000B031F">
        <w:t xml:space="preserve">exemptions </w:t>
      </w:r>
      <w:r w:rsidR="00BC4F4D">
        <w:t xml:space="preserve">for </w:t>
      </w:r>
      <w:r w:rsidR="000B031F">
        <w:t>specific substances not meeting the criteria for classification as dangerous goods on a case by case basis. They considered that this was against the general principles of the Model Regulations and may lead to the conclusion that only substances specifically mentioned are exempted from the regulations. To avoid confusion, some experts suggested the deletion of special provision 177.</w:t>
      </w:r>
    </w:p>
    <w:p w14:paraId="63C7E5E3" w14:textId="5BB46F12" w:rsidR="000B031F" w:rsidRDefault="002E0A7F" w:rsidP="000B031F">
      <w:pPr>
        <w:pStyle w:val="SingleTxtG"/>
      </w:pPr>
      <w:r>
        <w:t>42</w:t>
      </w:r>
      <w:r w:rsidR="000B031F">
        <w:t>.</w:t>
      </w:r>
      <w:r w:rsidR="000B031F">
        <w:tab/>
        <w:t>After discussion and due to the lack of support the expert from Spain withdrew the proposal.</w:t>
      </w:r>
    </w:p>
    <w:p w14:paraId="73F9E736" w14:textId="77777777" w:rsidR="0031479D" w:rsidRDefault="0031479D">
      <w:pPr>
        <w:suppressAutoHyphens w:val="0"/>
        <w:spacing w:line="240" w:lineRule="auto"/>
        <w:rPr>
          <w:b/>
          <w:lang w:val="en-US"/>
        </w:rPr>
      </w:pPr>
      <w:r>
        <w:rPr>
          <w:lang w:val="en-US"/>
        </w:rPr>
        <w:br w:type="page"/>
      </w:r>
    </w:p>
    <w:p w14:paraId="008B730D" w14:textId="296071C9" w:rsidR="00FC1FE2" w:rsidRDefault="00FC1FE2" w:rsidP="00FC1FE2">
      <w:pPr>
        <w:pStyle w:val="H23G"/>
        <w:tabs>
          <w:tab w:val="left" w:pos="3119"/>
        </w:tabs>
        <w:rPr>
          <w:lang w:val="en-US"/>
        </w:rPr>
      </w:pPr>
      <w:r w:rsidRPr="003F29D7">
        <w:rPr>
          <w:lang w:val="en-US"/>
        </w:rPr>
        <w:lastRenderedPageBreak/>
        <w:tab/>
      </w:r>
      <w:r>
        <w:rPr>
          <w:lang w:val="en-US"/>
        </w:rPr>
        <w:t>5.</w:t>
      </w:r>
      <w:r>
        <w:rPr>
          <w:lang w:val="en-US"/>
        </w:rPr>
        <w:tab/>
        <w:t>Chemicals under pressure in Chapter 2.2</w:t>
      </w:r>
    </w:p>
    <w:p w14:paraId="00C9621D" w14:textId="77777777" w:rsidR="00FC1FE2" w:rsidRDefault="00FC1FE2" w:rsidP="00FC1FE2">
      <w:pPr>
        <w:pStyle w:val="SingleTxtG"/>
        <w:tabs>
          <w:tab w:val="left" w:pos="3119"/>
        </w:tabs>
        <w:rPr>
          <w:lang w:val="en-US"/>
        </w:rPr>
      </w:pPr>
      <w:r>
        <w:rPr>
          <w:i/>
          <w:iCs/>
        </w:rPr>
        <w:t>Informal document</w:t>
      </w:r>
      <w:r w:rsidRPr="00EF030F">
        <w:rPr>
          <w:i/>
          <w:iCs/>
        </w:rPr>
        <w:t>:</w:t>
      </w:r>
      <w:r w:rsidRPr="00634742">
        <w:tab/>
      </w:r>
      <w:r>
        <w:rPr>
          <w:lang w:val="en-US"/>
        </w:rPr>
        <w:t>INF.23 (Spain)</w:t>
      </w:r>
    </w:p>
    <w:p w14:paraId="48C5A257" w14:textId="3B56075E" w:rsidR="00FC1FE2" w:rsidRDefault="002E0A7F" w:rsidP="00FC1FE2">
      <w:pPr>
        <w:pStyle w:val="SingleTxtG"/>
      </w:pPr>
      <w:r>
        <w:t>43</w:t>
      </w:r>
      <w:r w:rsidR="00FC1FE2">
        <w:t>.</w:t>
      </w:r>
      <w:r w:rsidR="00FC1FE2">
        <w:tab/>
        <w:t>The proposal to include chemicals under pressure in 2.2.1.3 and 2.2.2.1 was adopted with some modifications (see annex</w:t>
      </w:r>
      <w:r w:rsidR="006A7D31">
        <w:t xml:space="preserve"> I</w:t>
      </w:r>
      <w:r w:rsidR="00FC1FE2">
        <w:t>).</w:t>
      </w:r>
    </w:p>
    <w:p w14:paraId="78F4C47B" w14:textId="77777777" w:rsidR="008B5281" w:rsidRPr="004D7828" w:rsidRDefault="008B5281" w:rsidP="008B5281">
      <w:pPr>
        <w:pStyle w:val="H23G"/>
        <w:tabs>
          <w:tab w:val="left" w:pos="3119"/>
        </w:tabs>
        <w:rPr>
          <w:lang w:val="en-US"/>
        </w:rPr>
      </w:pPr>
      <w:bookmarkStart w:id="1" w:name="_Hlk531267376"/>
      <w:r>
        <w:rPr>
          <w:color w:val="FF0000"/>
          <w:lang w:val="en-US"/>
        </w:rPr>
        <w:tab/>
      </w:r>
      <w:r w:rsidRPr="004D7828">
        <w:rPr>
          <w:lang w:val="en-US"/>
        </w:rPr>
        <w:t>6.</w:t>
      </w:r>
      <w:r w:rsidRPr="004D7828">
        <w:rPr>
          <w:lang w:val="en-US"/>
        </w:rPr>
        <w:tab/>
        <w:t xml:space="preserve">IBCs: inner receptacle marking </w:t>
      </w:r>
    </w:p>
    <w:p w14:paraId="6122947F" w14:textId="77777777" w:rsidR="008B5281" w:rsidRPr="003357DB" w:rsidRDefault="008B5281" w:rsidP="008B5281">
      <w:pPr>
        <w:pStyle w:val="SingleTxtG"/>
        <w:tabs>
          <w:tab w:val="left" w:pos="3119"/>
        </w:tabs>
        <w:rPr>
          <w:lang w:val="en-US"/>
        </w:rPr>
      </w:pPr>
      <w:r w:rsidRPr="003357DB">
        <w:rPr>
          <w:i/>
          <w:iCs/>
        </w:rPr>
        <w:t>Document:</w:t>
      </w:r>
      <w:r w:rsidRPr="003357DB">
        <w:tab/>
      </w:r>
      <w:r w:rsidRPr="003357DB">
        <w:rPr>
          <w:lang w:val="en-US"/>
        </w:rPr>
        <w:t>ST/SG/AC.10/C.3/2018/107 (Belgium)</w:t>
      </w:r>
    </w:p>
    <w:p w14:paraId="06A7C90C" w14:textId="6E657E35" w:rsidR="008B5281" w:rsidRDefault="008B5281" w:rsidP="008B5281">
      <w:pPr>
        <w:pStyle w:val="SingleTxtG"/>
        <w:tabs>
          <w:tab w:val="left" w:pos="3119"/>
        </w:tabs>
        <w:jc w:val="left"/>
      </w:pPr>
      <w:r w:rsidRPr="003357DB">
        <w:rPr>
          <w:i/>
          <w:iCs/>
        </w:rPr>
        <w:t>Informal documents:</w:t>
      </w:r>
      <w:r w:rsidRPr="003357DB">
        <w:tab/>
      </w:r>
      <w:r w:rsidRPr="003357DB">
        <w:rPr>
          <w:lang w:val="en-US"/>
        </w:rPr>
        <w:t>INF.25 (ICPP)</w:t>
      </w:r>
      <w:r>
        <w:rPr>
          <w:lang w:val="en-US"/>
        </w:rPr>
        <w:br/>
      </w:r>
      <w:r>
        <w:tab/>
      </w:r>
      <w:r w:rsidRPr="003357DB">
        <w:t>INF.48 (Belgium, ICPP)</w:t>
      </w:r>
    </w:p>
    <w:p w14:paraId="6DD87CF7" w14:textId="46A7A805" w:rsidR="008B5281" w:rsidRDefault="002E0A7F" w:rsidP="008B5281">
      <w:pPr>
        <w:pStyle w:val="SingleTxtG"/>
      </w:pPr>
      <w:r>
        <w:t>44</w:t>
      </w:r>
      <w:r w:rsidR="008B5281">
        <w:t>.</w:t>
      </w:r>
      <w:r w:rsidR="008B5281">
        <w:tab/>
        <w:t xml:space="preserve"> The amendment to 6.5.2.2.4 in informal document INF.48 was adopted (see annex</w:t>
      </w:r>
      <w:r w:rsidR="006A7D31">
        <w:t xml:space="preserve"> I</w:t>
      </w:r>
      <w:r w:rsidR="008B5281">
        <w:t>).</w:t>
      </w:r>
    </w:p>
    <w:bookmarkEnd w:id="1"/>
    <w:p w14:paraId="253F04FF" w14:textId="77777777" w:rsidR="008B5281" w:rsidRPr="00796456" w:rsidRDefault="008B5281" w:rsidP="008B5281">
      <w:pPr>
        <w:pStyle w:val="H23G"/>
        <w:rPr>
          <w:color w:val="000000" w:themeColor="text1"/>
          <w:lang w:val="en-US"/>
        </w:rPr>
      </w:pPr>
      <w:r w:rsidRPr="00352D63">
        <w:rPr>
          <w:lang w:val="en-US"/>
        </w:rPr>
        <w:tab/>
      </w:r>
      <w:r>
        <w:rPr>
          <w:lang w:val="en-US"/>
        </w:rPr>
        <w:t>7.</w:t>
      </w:r>
      <w:r w:rsidRPr="00352D63">
        <w:rPr>
          <w:lang w:val="en-US"/>
        </w:rPr>
        <w:tab/>
      </w:r>
      <w:r>
        <w:tab/>
      </w:r>
      <w:r w:rsidRPr="00796456">
        <w:rPr>
          <w:color w:val="000000" w:themeColor="text1"/>
          <w:lang w:val="en-US"/>
        </w:rPr>
        <w:t>Technical names for environmentally hazardous goods</w:t>
      </w:r>
      <w:r>
        <w:rPr>
          <w:color w:val="000000" w:themeColor="text1"/>
          <w:lang w:val="en-US"/>
        </w:rPr>
        <w:t xml:space="preserve"> of Class 9 (UN 3077 and UN </w:t>
      </w:r>
      <w:r w:rsidRPr="00796456">
        <w:rPr>
          <w:color w:val="000000" w:themeColor="text1"/>
          <w:lang w:val="en-US"/>
        </w:rPr>
        <w:t>3082)</w:t>
      </w:r>
    </w:p>
    <w:p w14:paraId="7DAF6873" w14:textId="77777777" w:rsidR="008B5281" w:rsidRPr="00796456" w:rsidRDefault="008B5281" w:rsidP="008B5281">
      <w:pPr>
        <w:pStyle w:val="SingleTxtG"/>
        <w:keepNext/>
        <w:keepLines/>
        <w:tabs>
          <w:tab w:val="left" w:pos="3119"/>
        </w:tabs>
        <w:rPr>
          <w:color w:val="000000" w:themeColor="text1"/>
          <w:lang w:val="en-US"/>
        </w:rPr>
      </w:pPr>
      <w:r w:rsidRPr="00796456">
        <w:rPr>
          <w:i/>
          <w:iCs/>
          <w:color w:val="000000" w:themeColor="text1"/>
        </w:rPr>
        <w:t>Document:</w:t>
      </w:r>
      <w:r w:rsidRPr="00796456">
        <w:rPr>
          <w:color w:val="000000" w:themeColor="text1"/>
        </w:rPr>
        <w:tab/>
      </w:r>
      <w:r w:rsidRPr="00796456">
        <w:rPr>
          <w:color w:val="000000" w:themeColor="text1"/>
          <w:lang w:val="en-US"/>
        </w:rPr>
        <w:t>ST/SG/AC.10/C.3/2018/95 (IPPIC)</w:t>
      </w:r>
    </w:p>
    <w:p w14:paraId="4D46FE5C" w14:textId="77777777" w:rsidR="008B5281" w:rsidRDefault="008B5281" w:rsidP="008B5281">
      <w:pPr>
        <w:pStyle w:val="SingleTxtG"/>
        <w:tabs>
          <w:tab w:val="left" w:pos="3119"/>
        </w:tabs>
        <w:rPr>
          <w:color w:val="000000" w:themeColor="text1"/>
        </w:rPr>
      </w:pPr>
      <w:r w:rsidRPr="00796456">
        <w:rPr>
          <w:i/>
          <w:iCs/>
          <w:color w:val="000000" w:themeColor="text1"/>
        </w:rPr>
        <w:t xml:space="preserve">Informal document: </w:t>
      </w:r>
      <w:r>
        <w:rPr>
          <w:i/>
          <w:iCs/>
          <w:color w:val="000000" w:themeColor="text1"/>
        </w:rPr>
        <w:tab/>
      </w:r>
      <w:r w:rsidRPr="00796456">
        <w:rPr>
          <w:color w:val="000000" w:themeColor="text1"/>
        </w:rPr>
        <w:t>INF.49 (IPPIC)</w:t>
      </w:r>
    </w:p>
    <w:p w14:paraId="15BD2B9B" w14:textId="69709217" w:rsidR="003F0264" w:rsidRDefault="002E0A7F" w:rsidP="008B5281">
      <w:pPr>
        <w:pStyle w:val="SingleTxtG"/>
        <w:rPr>
          <w:color w:val="000000" w:themeColor="text1"/>
          <w:lang w:val="en-US"/>
        </w:rPr>
      </w:pPr>
      <w:r>
        <w:t>45</w:t>
      </w:r>
      <w:r w:rsidR="008B5281">
        <w:t>.</w:t>
      </w:r>
      <w:r w:rsidR="008B5281">
        <w:tab/>
      </w:r>
      <w:r w:rsidR="00BC4F4D">
        <w:t>T</w:t>
      </w:r>
      <w:r w:rsidR="008B5281" w:rsidRPr="00CB710B">
        <w:t>he representative of DGTA said that in his opinion, it would be preferable to address the issues raised by IPPIC in document ST/SG/AC.10/C.3/2018/95 by including additional guidance in 3.1.2.8 rather than by amending special provision 274. The representative of IPPIC explained that during the discussions, several experts had indicated that those who had to include that information in the transport document would more likely look for guidance in this respect in a special</w:t>
      </w:r>
      <w:r w:rsidR="008B5281">
        <w:rPr>
          <w:color w:val="000000" w:themeColor="text1"/>
          <w:lang w:val="en-US"/>
        </w:rPr>
        <w:t xml:space="preserve"> provision rather than in Chapter 3.1.</w:t>
      </w:r>
    </w:p>
    <w:p w14:paraId="012AF627" w14:textId="19102A69" w:rsidR="008B5281" w:rsidRPr="003758AC" w:rsidRDefault="00555602" w:rsidP="003F0264">
      <w:pPr>
        <w:pStyle w:val="SingleTxtG"/>
        <w:rPr>
          <w:color w:val="000000" w:themeColor="text1"/>
        </w:rPr>
      </w:pPr>
      <w:r>
        <w:t>46</w:t>
      </w:r>
      <w:r w:rsidR="003F0264" w:rsidRPr="00CB710B">
        <w:t>.</w:t>
      </w:r>
      <w:r w:rsidR="003F0264" w:rsidRPr="00CB710B">
        <w:tab/>
        <w:t>The Sub-Committee adopted the amendment to special provision 274 in informal document INF.49 (see annex</w:t>
      </w:r>
      <w:r w:rsidR="006A7D31">
        <w:t xml:space="preserve"> I</w:t>
      </w:r>
      <w:r w:rsidR="003F0264" w:rsidRPr="00CB710B">
        <w:t>).</w:t>
      </w:r>
    </w:p>
    <w:p w14:paraId="59F60E6D" w14:textId="77777777" w:rsidR="004214C2" w:rsidRDefault="004214C2" w:rsidP="004214C2">
      <w:pPr>
        <w:pStyle w:val="H1G"/>
      </w:pPr>
      <w:r>
        <w:tab/>
        <w:t>D.</w:t>
      </w:r>
      <w:r>
        <w:tab/>
        <w:t>Electric storage systems</w:t>
      </w:r>
    </w:p>
    <w:p w14:paraId="4F945B8A" w14:textId="77777777" w:rsidR="004214C2" w:rsidRDefault="004214C2" w:rsidP="004214C2">
      <w:pPr>
        <w:pStyle w:val="H23G"/>
        <w:rPr>
          <w:lang w:val="en-US"/>
        </w:rPr>
      </w:pPr>
      <w:r>
        <w:rPr>
          <w:lang w:val="en-US"/>
        </w:rPr>
        <w:tab/>
        <w:t>1.</w:t>
      </w:r>
      <w:r>
        <w:rPr>
          <w:lang w:val="en-US"/>
        </w:rPr>
        <w:tab/>
        <w:t>Sodium-nickel chloride (Na-NiCl</w:t>
      </w:r>
      <w:r>
        <w:rPr>
          <w:vertAlign w:val="subscript"/>
          <w:lang w:val="en-US"/>
        </w:rPr>
        <w:t>2</w:t>
      </w:r>
      <w:r>
        <w:rPr>
          <w:lang w:val="en-US"/>
        </w:rPr>
        <w:t>)</w:t>
      </w:r>
    </w:p>
    <w:p w14:paraId="0988A536" w14:textId="77777777" w:rsidR="004214C2" w:rsidRDefault="004214C2" w:rsidP="004214C2">
      <w:pPr>
        <w:pStyle w:val="SingleTxtG"/>
        <w:tabs>
          <w:tab w:val="left" w:pos="3119"/>
        </w:tabs>
        <w:rPr>
          <w:lang w:val="en-US"/>
        </w:rPr>
      </w:pPr>
      <w:r>
        <w:rPr>
          <w:i/>
          <w:iCs/>
        </w:rPr>
        <w:t>Document:</w:t>
      </w:r>
      <w:r>
        <w:tab/>
      </w:r>
      <w:r>
        <w:rPr>
          <w:lang w:val="en-US"/>
        </w:rPr>
        <w:t>ST/SG/AC.10/C.3/2018/110 (Switzerland)</w:t>
      </w:r>
    </w:p>
    <w:p w14:paraId="5A36C78E" w14:textId="77777777" w:rsidR="004214C2" w:rsidRDefault="004214C2" w:rsidP="004214C2">
      <w:pPr>
        <w:pStyle w:val="SingleTxtG"/>
        <w:tabs>
          <w:tab w:val="left" w:pos="3119"/>
        </w:tabs>
        <w:rPr>
          <w:lang w:val="en-US"/>
        </w:rPr>
      </w:pPr>
      <w:r>
        <w:rPr>
          <w:i/>
          <w:iCs/>
        </w:rPr>
        <w:t>Informal documents:</w:t>
      </w:r>
      <w:r>
        <w:tab/>
      </w:r>
      <w:r>
        <w:rPr>
          <w:lang w:val="en-US"/>
        </w:rPr>
        <w:t>INF.8 and INF.44 (Switzerland)</w:t>
      </w:r>
    </w:p>
    <w:p w14:paraId="0292829C" w14:textId="2FC4DEB5" w:rsidR="004214C2" w:rsidRDefault="00555602" w:rsidP="004214C2">
      <w:pPr>
        <w:pStyle w:val="SingleTxtG"/>
      </w:pPr>
      <w:r>
        <w:t>47</w:t>
      </w:r>
      <w:r w:rsidR="004214C2">
        <w:t>.</w:t>
      </w:r>
      <w:r w:rsidR="004214C2">
        <w:tab/>
        <w:t>Most delegations expressed reservations about exempting completely Na-NiCl</w:t>
      </w:r>
      <w:r w:rsidR="004214C2">
        <w:rPr>
          <w:vertAlign w:val="subscript"/>
        </w:rPr>
        <w:t>2</w:t>
      </w:r>
      <w:r w:rsidR="004214C2">
        <w:t xml:space="preserve"> batteries from the regulations due to safety concerns. </w:t>
      </w:r>
    </w:p>
    <w:p w14:paraId="49A93CFD" w14:textId="4EE4CF2B" w:rsidR="004214C2" w:rsidRDefault="00555602" w:rsidP="004214C2">
      <w:pPr>
        <w:pStyle w:val="SingleTxtG"/>
      </w:pPr>
      <w:r>
        <w:t>48</w:t>
      </w:r>
      <w:r w:rsidR="004214C2">
        <w:t>.</w:t>
      </w:r>
      <w:r w:rsidR="004214C2">
        <w:tab/>
        <w:t xml:space="preserve">Some experts regretted that design type testing specifically applicable to these batteries had not been made available for consideration by the Sub-Committee and questioned the applicability of testing methods developed for other types of batteries to </w:t>
      </w:r>
      <w:r w:rsidR="004214C2">
        <w:br/>
        <w:t>Na-NiCl</w:t>
      </w:r>
      <w:r w:rsidR="004214C2">
        <w:rPr>
          <w:vertAlign w:val="subscript"/>
        </w:rPr>
        <w:t>2</w:t>
      </w:r>
      <w:r w:rsidR="004214C2">
        <w:t xml:space="preserve"> batteries. Others believed that since Na-NiCl</w:t>
      </w:r>
      <w:r w:rsidR="004214C2">
        <w:rPr>
          <w:vertAlign w:val="subscript"/>
        </w:rPr>
        <w:t>2</w:t>
      </w:r>
      <w:r w:rsidR="004214C2">
        <w:t xml:space="preserve"> batteries were transported as enclosed systems, tests such as drop or vibration tests were also relevant for them. It was suggested to request the informal working group on lithium batteries to examine whether the current tests are independent from the electrochemical technology of the batteries, and therefore relevant for all of them. While acknowledging this possibility, the Chair</w:t>
      </w:r>
      <w:r w:rsidR="006A7D31">
        <w:t>man</w:t>
      </w:r>
      <w:r w:rsidR="004214C2">
        <w:t xml:space="preserve"> of the informal working group pointed out that it would require extending the scope of the work of the group and noted that a detailed proposal to this end would have to be endorsed by the Sub-Committee. </w:t>
      </w:r>
    </w:p>
    <w:p w14:paraId="7C959717" w14:textId="12BE0D5A" w:rsidR="004214C2" w:rsidRDefault="00555602" w:rsidP="004214C2">
      <w:pPr>
        <w:pStyle w:val="SingleTxtG"/>
      </w:pPr>
      <w:r>
        <w:t>49</w:t>
      </w:r>
      <w:r w:rsidR="004214C2">
        <w:t>.</w:t>
      </w:r>
      <w:r w:rsidR="004214C2">
        <w:tab/>
        <w:t xml:space="preserve">Referring to the current definition of battery in electric terms (i.e. that the current should be able to flow) the expert from the United Kingdom </w:t>
      </w:r>
      <w:r w:rsidR="003F0264">
        <w:t xml:space="preserve">questioned </w:t>
      </w:r>
      <w:r w:rsidR="004214C2">
        <w:t>whether Na-NiCl</w:t>
      </w:r>
      <w:r w:rsidR="004214C2">
        <w:rPr>
          <w:vertAlign w:val="subscript"/>
        </w:rPr>
        <w:t>2</w:t>
      </w:r>
      <w:r w:rsidR="004214C2">
        <w:t xml:space="preserve"> batteries fell within that definition at all, since there was no current flow out of them. This view was shared by the expert from Switzerland, who additionally explained that the results </w:t>
      </w:r>
      <w:r w:rsidR="004214C2">
        <w:lastRenderedPageBreak/>
        <w:t>of a test to evaluate the thermal runaway of Na-NiCl</w:t>
      </w:r>
      <w:r w:rsidR="004214C2">
        <w:rPr>
          <w:vertAlign w:val="subscript"/>
        </w:rPr>
        <w:t>2</w:t>
      </w:r>
      <w:r w:rsidR="004214C2">
        <w:t xml:space="preserve"> batteries demonstrated that they </w:t>
      </w:r>
      <w:r w:rsidR="003F0264">
        <w:t xml:space="preserve">were </w:t>
      </w:r>
      <w:r w:rsidR="004214C2">
        <w:t xml:space="preserve">safe. On these grounds they considered that they should be fully exempted from the regulations. </w:t>
      </w:r>
    </w:p>
    <w:p w14:paraId="11D254C1" w14:textId="2012E534" w:rsidR="004214C2" w:rsidRDefault="00555602" w:rsidP="004214C2">
      <w:pPr>
        <w:pStyle w:val="SingleTxtG"/>
      </w:pPr>
      <w:r>
        <w:t>50</w:t>
      </w:r>
      <w:r w:rsidR="004214C2">
        <w:t>.</w:t>
      </w:r>
      <w:r w:rsidR="004214C2">
        <w:tab/>
        <w:t xml:space="preserve">This interpretation was not shared by many other experts, who thought that as the batteries contained substances classified as dangerous goods for transport, they could not be completely exempted. They recalled that transport regulations cover classification based on chemical hazards and not on electrochemical hazards. As an example, they referred to the classification of sodium batteries in division 4.3 due to its sodium content, with a special provision addressing specific transport conditions. </w:t>
      </w:r>
    </w:p>
    <w:p w14:paraId="4D0A2C48" w14:textId="0FEFB584" w:rsidR="004214C2" w:rsidRDefault="00555602" w:rsidP="004214C2">
      <w:pPr>
        <w:pStyle w:val="SingleTxtG"/>
      </w:pPr>
      <w:r>
        <w:t>51</w:t>
      </w:r>
      <w:r w:rsidR="004214C2">
        <w:t>.</w:t>
      </w:r>
      <w:r w:rsidR="004214C2">
        <w:tab/>
        <w:t>After discussion, the Sub-Committee recognized that a better assessment of the specific transport conditions applicable to Na-NiCl</w:t>
      </w:r>
      <w:r w:rsidR="004214C2">
        <w:rPr>
          <w:vertAlign w:val="subscript"/>
        </w:rPr>
        <w:t>2</w:t>
      </w:r>
      <w:r w:rsidR="004214C2">
        <w:t xml:space="preserve"> batteries might be needed and that, based on the information and experience available so far, a partial exemption from some of the current requirements could be justified, at least for completely discharged batteries. However, it considered that additional factors should be carefully examined before granting such exemption. For instance, the intrinsic hazards of the Na-NiCl</w:t>
      </w:r>
      <w:r w:rsidR="004214C2">
        <w:rPr>
          <w:vertAlign w:val="subscript"/>
        </w:rPr>
        <w:t>2</w:t>
      </w:r>
      <w:r w:rsidR="004214C2">
        <w:t xml:space="preserve"> batteries, their behaviour in a fire; the state of charge; the provisions addressing electrical hazard; the quantity or size limits to be covered by the exemption; the applicable hazard communication provisions; and the relevance and impact in safety of any proposed exemptions.</w:t>
      </w:r>
    </w:p>
    <w:p w14:paraId="1A519A87" w14:textId="4D2D8EB6" w:rsidR="004214C2" w:rsidRDefault="00555602" w:rsidP="004214C2">
      <w:pPr>
        <w:pStyle w:val="SingleTxtG"/>
      </w:pPr>
      <w:r>
        <w:t>52</w:t>
      </w:r>
      <w:r w:rsidR="004214C2">
        <w:t>.</w:t>
      </w:r>
      <w:r w:rsidR="004214C2">
        <w:tab/>
        <w:t>The expert from Switzerland said that he would revise the proposal in the light of the comments made and would submit a new document for the next session. As regards testing, he volunteered to provide the appropriate references to the Sub-Committee for consideration.</w:t>
      </w:r>
    </w:p>
    <w:p w14:paraId="71F41663" w14:textId="77777777" w:rsidR="008B5281" w:rsidRPr="00FC3974" w:rsidRDefault="008B5281" w:rsidP="008B5281">
      <w:pPr>
        <w:pStyle w:val="H23G"/>
        <w:rPr>
          <w:lang w:val="en-US"/>
        </w:rPr>
      </w:pPr>
      <w:r>
        <w:rPr>
          <w:lang w:val="en-US"/>
        </w:rPr>
        <w:tab/>
        <w:t>2.</w:t>
      </w:r>
      <w:r>
        <w:rPr>
          <w:lang w:val="en-US"/>
        </w:rPr>
        <w:tab/>
      </w:r>
      <w:r>
        <w:rPr>
          <w:lang w:val="en-US"/>
        </w:rPr>
        <w:tab/>
        <w:t>Hazard-based classification of lithium cells and batteries</w:t>
      </w:r>
    </w:p>
    <w:p w14:paraId="3C0BD238" w14:textId="77777777" w:rsidR="008B5281" w:rsidRPr="00FC24C9" w:rsidRDefault="008B5281" w:rsidP="008B5281">
      <w:pPr>
        <w:pStyle w:val="SingleTxtG"/>
        <w:tabs>
          <w:tab w:val="left" w:pos="3119"/>
        </w:tabs>
        <w:jc w:val="left"/>
        <w:rPr>
          <w:lang w:val="en-US"/>
        </w:rPr>
      </w:pPr>
      <w:r>
        <w:rPr>
          <w:i/>
          <w:iCs/>
        </w:rPr>
        <w:t>Informal document</w:t>
      </w:r>
      <w:r w:rsidRPr="00EF030F">
        <w:rPr>
          <w:i/>
          <w:iCs/>
        </w:rPr>
        <w:t>:</w:t>
      </w:r>
      <w:r w:rsidRPr="00634742">
        <w:tab/>
      </w:r>
      <w:r>
        <w:rPr>
          <w:lang w:val="en-US"/>
        </w:rPr>
        <w:t xml:space="preserve">INF.12 (IATA) </w:t>
      </w:r>
      <w:r>
        <w:rPr>
          <w:lang w:val="en-US"/>
        </w:rPr>
        <w:br/>
      </w:r>
      <w:r>
        <w:rPr>
          <w:i/>
          <w:iCs/>
        </w:rPr>
        <w:tab/>
      </w:r>
      <w:r>
        <w:t>INF.42 (</w:t>
      </w:r>
      <w:r>
        <w:rPr>
          <w:lang w:val="en-US"/>
        </w:rPr>
        <w:t>France, RECHARGE)</w:t>
      </w:r>
    </w:p>
    <w:p w14:paraId="2C8C8ABB" w14:textId="67C8C923" w:rsidR="008B5281" w:rsidRDefault="00555602" w:rsidP="008B5281">
      <w:pPr>
        <w:pStyle w:val="SingleTxtG"/>
      </w:pPr>
      <w:r>
        <w:t>53</w:t>
      </w:r>
      <w:r w:rsidR="008B5281" w:rsidRPr="00496038">
        <w:t>.</w:t>
      </w:r>
      <w:r w:rsidR="008B5281" w:rsidRPr="00496038">
        <w:tab/>
      </w:r>
      <w:r w:rsidR="008B5281">
        <w:t xml:space="preserve">The Sub-Committee took note of the information related to the meeting of the informal working group on classification of lithium batteries, to be held after the Sub-Committee session, on 5 and 6 December 2018 at the IATA offices in Geneva. </w:t>
      </w:r>
    </w:p>
    <w:p w14:paraId="26B3005A" w14:textId="1CD92892" w:rsidR="008B5281" w:rsidRDefault="00555602" w:rsidP="008B5281">
      <w:pPr>
        <w:pStyle w:val="SingleTxtG"/>
        <w:spacing w:line="240" w:lineRule="auto"/>
      </w:pPr>
      <w:r>
        <w:t>54</w:t>
      </w:r>
      <w:r w:rsidR="008B5281">
        <w:t>.</w:t>
      </w:r>
      <w:r w:rsidR="008B5281">
        <w:tab/>
        <w:t xml:space="preserve">The expert from France, in his capacity as chairman of the informal working group, informed the Sub-Committee that informal document INF.42 would be considered during the meeting. He invited experts that would be unable to attend to share their comments on this document with him before 5 December, either personally during the Sub-Committee session or by email, so that they could be considered during the discussion. </w:t>
      </w:r>
    </w:p>
    <w:p w14:paraId="70740BFC" w14:textId="77777777" w:rsidR="004E0F31" w:rsidRPr="0038006D" w:rsidRDefault="004E0F31" w:rsidP="004E0F31">
      <w:pPr>
        <w:pStyle w:val="H23G"/>
        <w:rPr>
          <w:lang w:val="en-US"/>
        </w:rPr>
      </w:pPr>
      <w:r>
        <w:rPr>
          <w:color w:val="FF0000"/>
          <w:lang w:val="en-US"/>
        </w:rPr>
        <w:tab/>
      </w:r>
      <w:r w:rsidRPr="0038006D">
        <w:rPr>
          <w:lang w:val="en-US"/>
        </w:rPr>
        <w:t>3.</w:t>
      </w:r>
      <w:r w:rsidRPr="0038006D">
        <w:rPr>
          <w:lang w:val="en-US"/>
        </w:rPr>
        <w:tab/>
        <w:t>Dimensions of the lithium battery mark</w:t>
      </w:r>
    </w:p>
    <w:p w14:paraId="2EFCB111" w14:textId="77777777" w:rsidR="004E0F31" w:rsidRPr="0038006D" w:rsidRDefault="004E0F31" w:rsidP="004E0F31">
      <w:pPr>
        <w:pStyle w:val="SingleTxtG"/>
        <w:tabs>
          <w:tab w:val="left" w:pos="3119"/>
        </w:tabs>
        <w:rPr>
          <w:lang w:val="en-US"/>
        </w:rPr>
      </w:pPr>
      <w:r w:rsidRPr="0038006D">
        <w:rPr>
          <w:i/>
          <w:iCs/>
        </w:rPr>
        <w:t>Document:</w:t>
      </w:r>
      <w:r w:rsidRPr="0038006D">
        <w:tab/>
      </w:r>
      <w:r w:rsidRPr="0038006D">
        <w:rPr>
          <w:lang w:val="en-US"/>
        </w:rPr>
        <w:t>ST/SG/AC.10/C.3/2018/115 (PRBA, RECHARGE)</w:t>
      </w:r>
    </w:p>
    <w:p w14:paraId="3A6A774C" w14:textId="77AD36B4" w:rsidR="004E0F31" w:rsidRPr="0038006D" w:rsidRDefault="004E0F31" w:rsidP="008C5256">
      <w:pPr>
        <w:pStyle w:val="SingleTxtG"/>
        <w:tabs>
          <w:tab w:val="left" w:pos="3119"/>
        </w:tabs>
        <w:jc w:val="left"/>
        <w:rPr>
          <w:lang w:val="en-US"/>
        </w:rPr>
      </w:pPr>
      <w:r w:rsidRPr="0038006D">
        <w:rPr>
          <w:i/>
          <w:iCs/>
        </w:rPr>
        <w:t>Informal documents:</w:t>
      </w:r>
      <w:r w:rsidRPr="0038006D">
        <w:tab/>
      </w:r>
      <w:r w:rsidRPr="0038006D">
        <w:rPr>
          <w:lang w:val="en-US"/>
        </w:rPr>
        <w:t>INF.20 (MDBTC)</w:t>
      </w:r>
      <w:r w:rsidR="008C5256">
        <w:rPr>
          <w:lang w:val="en-US"/>
        </w:rPr>
        <w:br/>
      </w:r>
      <w:r w:rsidRPr="0038006D">
        <w:rPr>
          <w:lang w:val="en-US"/>
        </w:rPr>
        <w:tab/>
        <w:t>INF.51 and INF.55 (PRBA, RECHARGE)</w:t>
      </w:r>
    </w:p>
    <w:p w14:paraId="216F8364" w14:textId="1C37B8F7" w:rsidR="004E0F31" w:rsidRDefault="00555602" w:rsidP="004E0F31">
      <w:pPr>
        <w:pStyle w:val="SingleTxtG"/>
        <w:tabs>
          <w:tab w:val="left" w:pos="1701"/>
        </w:tabs>
        <w:rPr>
          <w:lang w:val="en-US"/>
        </w:rPr>
      </w:pPr>
      <w:r>
        <w:rPr>
          <w:lang w:val="en-US"/>
        </w:rPr>
        <w:t>55</w:t>
      </w:r>
      <w:r w:rsidR="004E0F31">
        <w:rPr>
          <w:lang w:val="en-US"/>
        </w:rPr>
        <w:t>.</w:t>
      </w:r>
      <w:r w:rsidR="004E0F31">
        <w:rPr>
          <w:lang w:val="en-US"/>
        </w:rPr>
        <w:tab/>
        <w:t xml:space="preserve">The Sub-Committee took note of the additional information in informal document INF.55 on the savings and benefits expected from the reduction of the dimensions of the label. Noting that the proposed change would not have a negative impact on safety and would contribute to reduce the quantity of empty packagings sent to disposal or recycling, </w:t>
      </w:r>
      <w:r w:rsidR="0088473C">
        <w:rPr>
          <w:lang w:val="en-US"/>
        </w:rPr>
        <w:t xml:space="preserve">the Sub-Committee </w:t>
      </w:r>
      <w:r w:rsidR="004E0F31">
        <w:rPr>
          <w:lang w:val="en-US"/>
        </w:rPr>
        <w:t>adopted by majority the proposal in paragraph 3 of that document (see annex</w:t>
      </w:r>
      <w:r w:rsidR="006A7D31">
        <w:rPr>
          <w:lang w:val="en-US"/>
        </w:rPr>
        <w:t xml:space="preserve"> I</w:t>
      </w:r>
      <w:r w:rsidR="004E0F31">
        <w:rPr>
          <w:lang w:val="en-US"/>
        </w:rPr>
        <w:t>).</w:t>
      </w:r>
    </w:p>
    <w:p w14:paraId="4E105291" w14:textId="1F953CF2" w:rsidR="004E0F31" w:rsidRPr="00D6609E" w:rsidRDefault="00555602" w:rsidP="004E0F31">
      <w:pPr>
        <w:pStyle w:val="SingleTxtG"/>
        <w:rPr>
          <w:lang w:val="en-US"/>
        </w:rPr>
      </w:pPr>
      <w:r>
        <w:rPr>
          <w:lang w:val="en-US"/>
        </w:rPr>
        <w:t>56</w:t>
      </w:r>
      <w:r w:rsidR="004E0F31">
        <w:rPr>
          <w:lang w:val="en-US"/>
        </w:rPr>
        <w:t>.</w:t>
      </w:r>
      <w:r w:rsidR="004E0F31">
        <w:rPr>
          <w:lang w:val="en-US"/>
        </w:rPr>
        <w:tab/>
        <w:t xml:space="preserve">The representative of the United States </w:t>
      </w:r>
      <w:r w:rsidR="0088473C">
        <w:rPr>
          <w:lang w:val="en-US"/>
        </w:rPr>
        <w:t xml:space="preserve">of America </w:t>
      </w:r>
      <w:r w:rsidR="004E0F31">
        <w:rPr>
          <w:lang w:val="en-US"/>
        </w:rPr>
        <w:t xml:space="preserve">indicated that consultation with other modes (particularly with the air mode) should be considered to ensure consistent implementation of the provisions. The representative of PRBA </w:t>
      </w:r>
      <w:r w:rsidR="003F0264">
        <w:rPr>
          <w:lang w:val="en-US"/>
        </w:rPr>
        <w:t xml:space="preserve">added </w:t>
      </w:r>
      <w:r w:rsidR="004E0F31">
        <w:rPr>
          <w:lang w:val="en-US"/>
        </w:rPr>
        <w:t>that the proposal did not prevent industry to continue using current packagings.</w:t>
      </w:r>
    </w:p>
    <w:p w14:paraId="4DEAA10C" w14:textId="77777777" w:rsidR="00FC1FE2" w:rsidRDefault="00FC1FE2" w:rsidP="00FC1FE2">
      <w:pPr>
        <w:pStyle w:val="H1G"/>
      </w:pPr>
      <w:r>
        <w:lastRenderedPageBreak/>
        <w:tab/>
        <w:t>E.</w:t>
      </w:r>
      <w:r w:rsidRPr="00B30333">
        <w:tab/>
        <w:t>Transport of gases</w:t>
      </w:r>
    </w:p>
    <w:p w14:paraId="3D311783" w14:textId="77777777" w:rsidR="00FC1FE2" w:rsidRDefault="00FC1FE2" w:rsidP="00FC1FE2">
      <w:pPr>
        <w:pStyle w:val="H23G"/>
        <w:rPr>
          <w:lang w:val="en-US"/>
        </w:rPr>
      </w:pPr>
      <w:r>
        <w:rPr>
          <w:lang w:val="en-US"/>
        </w:rPr>
        <w:tab/>
        <w:t>1.</w:t>
      </w:r>
      <w:r>
        <w:rPr>
          <w:lang w:val="en-US"/>
        </w:rPr>
        <w:tab/>
      </w:r>
      <w:r w:rsidRPr="00B30333">
        <w:rPr>
          <w:lang w:val="en-US"/>
        </w:rPr>
        <w:t xml:space="preserve">Provision for the </w:t>
      </w:r>
      <w:r>
        <w:rPr>
          <w:lang w:val="en-US"/>
        </w:rPr>
        <w:t>transport</w:t>
      </w:r>
      <w:r w:rsidRPr="00B30333">
        <w:rPr>
          <w:lang w:val="en-US"/>
        </w:rPr>
        <w:t xml:space="preserve"> of waste gas cartridges (UN</w:t>
      </w:r>
      <w:r>
        <w:rPr>
          <w:lang w:val="en-US"/>
        </w:rPr>
        <w:t> </w:t>
      </w:r>
      <w:r w:rsidRPr="00B30333">
        <w:rPr>
          <w:lang w:val="en-US"/>
        </w:rPr>
        <w:t>2037)</w:t>
      </w:r>
    </w:p>
    <w:p w14:paraId="1F5FC160" w14:textId="77777777" w:rsidR="00FC1FE2" w:rsidRDefault="00FC1FE2" w:rsidP="00FC1FE2">
      <w:pPr>
        <w:pStyle w:val="SingleTxtG"/>
        <w:tabs>
          <w:tab w:val="left" w:pos="3119"/>
        </w:tabs>
        <w:rPr>
          <w:lang w:val="en-US"/>
        </w:rPr>
      </w:pPr>
      <w:r w:rsidRPr="00EF030F">
        <w:rPr>
          <w:i/>
          <w:iCs/>
        </w:rPr>
        <w:t>Document:</w:t>
      </w:r>
      <w:r w:rsidRPr="00634742">
        <w:tab/>
      </w:r>
      <w:r>
        <w:rPr>
          <w:lang w:val="en-US"/>
        </w:rPr>
        <w:t>ST/SG/AC.10/C.3/2018/106 (Ireland)</w:t>
      </w:r>
    </w:p>
    <w:p w14:paraId="378A4FF9" w14:textId="7346EEFF" w:rsidR="00FC1FE2" w:rsidRDefault="00555602" w:rsidP="00FC1FE2">
      <w:pPr>
        <w:pStyle w:val="SingleTxtG"/>
      </w:pPr>
      <w:r>
        <w:t>57</w:t>
      </w:r>
      <w:r w:rsidR="00FC1FE2" w:rsidRPr="00E01C32">
        <w:t>.</w:t>
      </w:r>
      <w:r w:rsidR="00FC1FE2" w:rsidRPr="00E01C32">
        <w:tab/>
        <w:t xml:space="preserve">The proposal to introduce </w:t>
      </w:r>
      <w:r w:rsidR="00FC1FE2">
        <w:t>in the Model Regulations provisions for the transport of w</w:t>
      </w:r>
      <w:r w:rsidR="00FC1FE2" w:rsidRPr="00E01C32">
        <w:t>aste</w:t>
      </w:r>
      <w:r w:rsidR="00FC1FE2">
        <w:t>,</w:t>
      </w:r>
      <w:r w:rsidR="00FC1FE2" w:rsidRPr="00E01C32">
        <w:t xml:space="preserve"> non-refillable gas cartridges of U</w:t>
      </w:r>
      <w:r w:rsidR="00FC1FE2">
        <w:t xml:space="preserve">N 2037 without a release device, </w:t>
      </w:r>
      <w:r w:rsidR="00FC1FE2" w:rsidRPr="00E01C32">
        <w:t>was adopted with some modifications (see annex</w:t>
      </w:r>
      <w:r w:rsidR="006A7D31">
        <w:t xml:space="preserve"> I</w:t>
      </w:r>
      <w:r w:rsidR="00FC1FE2" w:rsidRPr="00E01C32">
        <w:t>).</w:t>
      </w:r>
    </w:p>
    <w:p w14:paraId="502AE3F7" w14:textId="28C3D862" w:rsidR="00FC1FE2" w:rsidRDefault="00555602" w:rsidP="00FC1FE2">
      <w:pPr>
        <w:pStyle w:val="SingleTxtG"/>
      </w:pPr>
      <w:r>
        <w:t>58</w:t>
      </w:r>
      <w:r w:rsidR="00FC1FE2">
        <w:t>.</w:t>
      </w:r>
      <w:r w:rsidR="00FC1FE2">
        <w:tab/>
        <w:t xml:space="preserve">It was noted that transport of empty gas cartridges and gas cylinders for reprocessing or disposal needed to be addressed in detail and it was suggested that this matter be addressed by modal regulations. Based on their experience, the Sub-Committee may wish to consider including provisions for the transport of these articles in the Model Regulations. </w:t>
      </w:r>
    </w:p>
    <w:p w14:paraId="187852C6" w14:textId="77777777" w:rsidR="00FC1FE2" w:rsidRDefault="00FC1FE2" w:rsidP="00FC1FE2">
      <w:pPr>
        <w:pStyle w:val="H23G"/>
        <w:rPr>
          <w:lang w:val="en-US"/>
        </w:rPr>
      </w:pPr>
      <w:r>
        <w:rPr>
          <w:lang w:val="en-US"/>
        </w:rPr>
        <w:tab/>
        <w:t>2.</w:t>
      </w:r>
      <w:r>
        <w:rPr>
          <w:lang w:val="en-US"/>
        </w:rPr>
        <w:tab/>
      </w:r>
      <w:r w:rsidRPr="00B30333">
        <w:rPr>
          <w:lang w:val="en-US"/>
        </w:rPr>
        <w:t>Review of standards in Chapter 6.2</w:t>
      </w:r>
    </w:p>
    <w:p w14:paraId="5B0C39D0" w14:textId="77777777" w:rsidR="00FC1FE2" w:rsidRDefault="00FC1FE2" w:rsidP="00FC1FE2">
      <w:pPr>
        <w:pStyle w:val="SingleTxtG"/>
        <w:tabs>
          <w:tab w:val="left" w:pos="3119"/>
        </w:tabs>
        <w:rPr>
          <w:lang w:val="en-US"/>
        </w:rPr>
      </w:pPr>
      <w:r>
        <w:rPr>
          <w:i/>
          <w:iCs/>
        </w:rPr>
        <w:t>Informal document</w:t>
      </w:r>
      <w:r w:rsidRPr="00EF030F">
        <w:rPr>
          <w:i/>
          <w:iCs/>
        </w:rPr>
        <w:t>:</w:t>
      </w:r>
      <w:r w:rsidRPr="00634742">
        <w:tab/>
      </w:r>
      <w:r>
        <w:rPr>
          <w:lang w:val="en-US"/>
        </w:rPr>
        <w:t>INF.32 (ISO)</w:t>
      </w:r>
    </w:p>
    <w:p w14:paraId="7F12D021" w14:textId="7C51014A" w:rsidR="00FC1FE2" w:rsidRDefault="00555602" w:rsidP="00FC1FE2">
      <w:pPr>
        <w:pStyle w:val="SingleTxtG"/>
      </w:pPr>
      <w:r>
        <w:t>59</w:t>
      </w:r>
      <w:r w:rsidR="00FC1FE2">
        <w:t>.</w:t>
      </w:r>
      <w:r w:rsidR="00FC1FE2">
        <w:tab/>
        <w:t xml:space="preserve">The representative of ISO informed the Sub-Committee that the review of references requested at the fifty-third session (see ST/SG/AC.10/C.3/106, para.91) was completed and confirmed the absence of redundant standards in Chapter 6.2. </w:t>
      </w:r>
    </w:p>
    <w:p w14:paraId="0FC76D97" w14:textId="4AAB5DFB" w:rsidR="00FC1FE2" w:rsidRDefault="00555602" w:rsidP="00FC1FE2">
      <w:pPr>
        <w:pStyle w:val="SingleTxtG"/>
      </w:pPr>
      <w:r>
        <w:t>60</w:t>
      </w:r>
      <w:r w:rsidR="00FC1FE2">
        <w:t>.</w:t>
      </w:r>
      <w:r w:rsidR="00FC1FE2">
        <w:tab/>
        <w:t xml:space="preserve">The Sub-Committee took note of the information in paragraphs 8 and 9 of informal document INF.32, namely that ISO intends to submit a proposal for the next session to introduce a reference to ISO 18119:2018 in the Model Regulations. </w:t>
      </w:r>
    </w:p>
    <w:p w14:paraId="70C3E709" w14:textId="77777777" w:rsidR="00FC1FE2" w:rsidRDefault="00FC1FE2" w:rsidP="00FC1FE2">
      <w:pPr>
        <w:pStyle w:val="H23G"/>
        <w:rPr>
          <w:lang w:val="en-US"/>
        </w:rPr>
      </w:pPr>
      <w:r>
        <w:rPr>
          <w:lang w:val="en-US"/>
        </w:rPr>
        <w:tab/>
        <w:t>3.</w:t>
      </w:r>
      <w:r>
        <w:rPr>
          <w:lang w:val="en-US"/>
        </w:rPr>
        <w:tab/>
        <w:t>Reference to</w:t>
      </w:r>
      <w:r w:rsidRPr="008248C1">
        <w:rPr>
          <w:lang w:val="en-US"/>
        </w:rPr>
        <w:t xml:space="preserve"> ISO </w:t>
      </w:r>
      <w:r>
        <w:t>17879:2017</w:t>
      </w:r>
    </w:p>
    <w:p w14:paraId="2683326A" w14:textId="77777777" w:rsidR="00FC1FE2" w:rsidRDefault="00FC1FE2" w:rsidP="00FC1FE2">
      <w:pPr>
        <w:pStyle w:val="SingleTxtG"/>
        <w:tabs>
          <w:tab w:val="left" w:pos="3119"/>
        </w:tabs>
        <w:rPr>
          <w:lang w:val="en-US"/>
        </w:rPr>
      </w:pPr>
      <w:r>
        <w:rPr>
          <w:i/>
          <w:iCs/>
        </w:rPr>
        <w:t>Informal document</w:t>
      </w:r>
      <w:r w:rsidRPr="00EF030F">
        <w:rPr>
          <w:i/>
          <w:iCs/>
        </w:rPr>
        <w:t>:</w:t>
      </w:r>
      <w:r w:rsidRPr="00634742">
        <w:tab/>
      </w:r>
      <w:r>
        <w:rPr>
          <w:lang w:val="en-US"/>
        </w:rPr>
        <w:t>INF.39 (ISO)</w:t>
      </w:r>
    </w:p>
    <w:p w14:paraId="1231E6F3" w14:textId="034B9F95" w:rsidR="00FC1FE2" w:rsidRDefault="00555602" w:rsidP="00FC1FE2">
      <w:pPr>
        <w:pStyle w:val="SingleTxtG"/>
      </w:pPr>
      <w:r>
        <w:t>61</w:t>
      </w:r>
      <w:r w:rsidR="00FC1FE2">
        <w:t>.</w:t>
      </w:r>
      <w:r w:rsidR="00FC1FE2">
        <w:tab/>
        <w:t>The proposal to insert a reference to ISO 17879:2017 in Chapter 6.2 and to amend 4.1.6.1.8 accordingly was adopted with some changes (see annex</w:t>
      </w:r>
      <w:r w:rsidR="006A7D31">
        <w:t xml:space="preserve"> I</w:t>
      </w:r>
      <w:r w:rsidR="00FC1FE2">
        <w:t>).</w:t>
      </w:r>
    </w:p>
    <w:p w14:paraId="1F75B4F9" w14:textId="77777777" w:rsidR="00FC1FE2" w:rsidRPr="00F4110C" w:rsidRDefault="00FC1FE2" w:rsidP="00FC1FE2">
      <w:pPr>
        <w:pStyle w:val="H23G"/>
        <w:rPr>
          <w:lang w:val="en-US"/>
        </w:rPr>
      </w:pPr>
      <w:r>
        <w:rPr>
          <w:lang w:val="en-US"/>
        </w:rPr>
        <w:tab/>
        <w:t>4.</w:t>
      </w:r>
      <w:r>
        <w:rPr>
          <w:lang w:val="en-US"/>
        </w:rPr>
        <w:tab/>
      </w:r>
      <w:r w:rsidRPr="00F4110C">
        <w:rPr>
          <w:lang w:val="en-US"/>
        </w:rPr>
        <w:t>Update of LC</w:t>
      </w:r>
      <w:r w:rsidRPr="00F4110C">
        <w:rPr>
          <w:vertAlign w:val="subscript"/>
          <w:lang w:val="en-US"/>
        </w:rPr>
        <w:t>50</w:t>
      </w:r>
      <w:r w:rsidRPr="00F4110C">
        <w:rPr>
          <w:lang w:val="en-US"/>
        </w:rPr>
        <w:t xml:space="preserve"> values in P200</w:t>
      </w:r>
    </w:p>
    <w:p w14:paraId="01AC6CE2" w14:textId="77777777" w:rsidR="00FC1FE2" w:rsidRPr="00F4110C" w:rsidRDefault="00FC1FE2" w:rsidP="00FC1FE2">
      <w:pPr>
        <w:pStyle w:val="SingleTxtG"/>
        <w:tabs>
          <w:tab w:val="left" w:pos="3119"/>
        </w:tabs>
        <w:rPr>
          <w:lang w:val="en-US"/>
        </w:rPr>
      </w:pPr>
      <w:r w:rsidRPr="00F4110C">
        <w:rPr>
          <w:i/>
          <w:iCs/>
        </w:rPr>
        <w:t>Document:</w:t>
      </w:r>
      <w:r w:rsidRPr="00F4110C">
        <w:tab/>
      </w:r>
      <w:r w:rsidRPr="00F4110C">
        <w:rPr>
          <w:lang w:val="en-US"/>
        </w:rPr>
        <w:t>ST/SG/AC.10/C.3/2018/66 (ISO)</w:t>
      </w:r>
    </w:p>
    <w:p w14:paraId="4ED9C4F6" w14:textId="77777777" w:rsidR="00FC1FE2" w:rsidRPr="00F4110C" w:rsidRDefault="00FC1FE2" w:rsidP="00FC1FE2">
      <w:pPr>
        <w:pStyle w:val="SingleTxtG"/>
        <w:tabs>
          <w:tab w:val="left" w:pos="3119"/>
        </w:tabs>
        <w:rPr>
          <w:lang w:val="en-US"/>
        </w:rPr>
      </w:pPr>
      <w:r w:rsidRPr="00F4110C">
        <w:rPr>
          <w:i/>
          <w:iCs/>
        </w:rPr>
        <w:t>Informal document:</w:t>
      </w:r>
      <w:r w:rsidRPr="00F4110C">
        <w:tab/>
      </w:r>
      <w:r w:rsidRPr="00F4110C">
        <w:rPr>
          <w:lang w:val="en-US"/>
        </w:rPr>
        <w:t>INF.31 (ISO)</w:t>
      </w:r>
    </w:p>
    <w:p w14:paraId="1365E751" w14:textId="73152357" w:rsidR="00FC1FE2" w:rsidRDefault="00555602" w:rsidP="00FC1FE2">
      <w:pPr>
        <w:pStyle w:val="SingleTxtG"/>
      </w:pPr>
      <w:r>
        <w:t>62</w:t>
      </w:r>
      <w:r w:rsidR="00FC1FE2">
        <w:t>.</w:t>
      </w:r>
      <w:r w:rsidR="00FC1FE2">
        <w:tab/>
      </w:r>
      <w:r w:rsidR="00FC1FE2" w:rsidRPr="00F4110C">
        <w:t xml:space="preserve">Several experts pointed out that the toxicity data relating to UN Nos. 2196 and 2198 was not publicly available and therefore they had been unable to study the proposed </w:t>
      </w:r>
      <w:r w:rsidR="003F0264" w:rsidRPr="00F4110C">
        <w:t>L</w:t>
      </w:r>
      <w:r w:rsidR="003F0264">
        <w:t>C</w:t>
      </w:r>
      <w:r w:rsidR="003F0264" w:rsidRPr="00C8636A">
        <w:rPr>
          <w:vertAlign w:val="subscript"/>
        </w:rPr>
        <w:t>50</w:t>
      </w:r>
      <w:r w:rsidR="003F0264" w:rsidRPr="00F4110C">
        <w:t xml:space="preserve"> </w:t>
      </w:r>
      <w:r w:rsidR="00FC1FE2" w:rsidRPr="00F4110C">
        <w:t xml:space="preserve">values. The expert from the United States of America indicated that national experts had confirmed that the </w:t>
      </w:r>
      <w:r w:rsidR="003F0264">
        <w:t>LC</w:t>
      </w:r>
      <w:r w:rsidR="003F0264" w:rsidRPr="00C8636A">
        <w:rPr>
          <w:vertAlign w:val="subscript"/>
        </w:rPr>
        <w:t>50</w:t>
      </w:r>
      <w:r w:rsidR="003F0264">
        <w:t xml:space="preserve"> </w:t>
      </w:r>
      <w:r w:rsidR="00FC1FE2">
        <w:t xml:space="preserve">values </w:t>
      </w:r>
      <w:r w:rsidR="00FC1FE2" w:rsidRPr="00F4110C">
        <w:t xml:space="preserve">for these UN numbers was not based on testing but derived from other </w:t>
      </w:r>
      <w:r w:rsidR="00FC1FE2">
        <w:t>data</w:t>
      </w:r>
      <w:r w:rsidR="00FC1FE2" w:rsidRPr="00F4110C">
        <w:t xml:space="preserve">. He noted in addition that their adoption would imply </w:t>
      </w:r>
      <w:r w:rsidR="00FC1FE2">
        <w:t xml:space="preserve">deletion of the </w:t>
      </w:r>
      <w:r w:rsidR="00FC1FE2" w:rsidRPr="00F4110C">
        <w:t xml:space="preserve">requirements in special provision </w:t>
      </w:r>
      <w:r w:rsidR="00FC1FE2">
        <w:t>“k”</w:t>
      </w:r>
      <w:r w:rsidR="00FC1FE2" w:rsidRPr="00F4110C">
        <w:t xml:space="preserve"> in packing instruction P200 as </w:t>
      </w:r>
      <w:r w:rsidR="00FC1FE2">
        <w:t>proposed</w:t>
      </w:r>
      <w:r w:rsidR="00FC1FE2" w:rsidRPr="00F4110C">
        <w:t xml:space="preserve"> in </w:t>
      </w:r>
      <w:r w:rsidR="003F0264">
        <w:t xml:space="preserve">informal </w:t>
      </w:r>
      <w:r w:rsidR="00FC1FE2">
        <w:t>document INF.31</w:t>
      </w:r>
      <w:r w:rsidR="00FC1FE2" w:rsidRPr="00F4110C">
        <w:t xml:space="preserve"> and considered </w:t>
      </w:r>
      <w:r w:rsidR="00BD1F38">
        <w:t xml:space="preserve">that </w:t>
      </w:r>
      <w:r w:rsidR="00FC1FE2" w:rsidRPr="00F4110C">
        <w:t xml:space="preserve">it was not appropriate to take such decision </w:t>
      </w:r>
      <w:r w:rsidR="00FC1FE2">
        <w:t>based on derived data</w:t>
      </w:r>
      <w:r w:rsidR="00FC1FE2" w:rsidRPr="00F4110C">
        <w:t xml:space="preserve">. </w:t>
      </w:r>
    </w:p>
    <w:p w14:paraId="4767BFA7" w14:textId="15A72E84" w:rsidR="00FC1FE2" w:rsidRPr="00F4110C" w:rsidRDefault="00555602" w:rsidP="00FC1FE2">
      <w:pPr>
        <w:pStyle w:val="SingleTxtG"/>
        <w:tabs>
          <w:tab w:val="left" w:pos="1701"/>
          <w:tab w:val="left" w:pos="3119"/>
        </w:tabs>
      </w:pPr>
      <w:r>
        <w:t>63</w:t>
      </w:r>
      <w:r w:rsidR="00FC1FE2">
        <w:t>.</w:t>
      </w:r>
      <w:r w:rsidR="00FC1FE2">
        <w:tab/>
        <w:t>On UN </w:t>
      </w:r>
      <w:r w:rsidR="00FC1FE2" w:rsidRPr="00F4110C">
        <w:t xml:space="preserve">1008, the expert from Sweden </w:t>
      </w:r>
      <w:r w:rsidR="00FC1FE2">
        <w:t>indicated</w:t>
      </w:r>
      <w:r w:rsidR="00FC1FE2" w:rsidRPr="00F4110C">
        <w:t xml:space="preserve"> that the toxicity data given in the document differed significantly f</w:t>
      </w:r>
      <w:r w:rsidR="00FC1FE2">
        <w:t>rom that supporting the harmoniz</w:t>
      </w:r>
      <w:r w:rsidR="00FC1FE2" w:rsidRPr="00F4110C">
        <w:t xml:space="preserve">ed classification </w:t>
      </w:r>
      <w:r w:rsidR="00FC1FE2">
        <w:t>contained in Table 3.1 of Annex </w:t>
      </w:r>
      <w:r w:rsidR="00FC1FE2" w:rsidRPr="000F4DEB">
        <w:t>VI to the CLP Regulation</w:t>
      </w:r>
      <w:r w:rsidR="00FC1FE2">
        <w:rPr>
          <w:rStyle w:val="FootnoteReference"/>
        </w:rPr>
        <w:footnoteReference w:id="3"/>
      </w:r>
      <w:r w:rsidR="00FC1FE2">
        <w:t xml:space="preserve">. On these grounds, she did not support the proposal to amend the current </w:t>
      </w:r>
      <w:r w:rsidR="003F0264">
        <w:t>LC</w:t>
      </w:r>
      <w:r w:rsidR="003F0264" w:rsidRPr="009D22AC">
        <w:rPr>
          <w:vertAlign w:val="subscript"/>
        </w:rPr>
        <w:t>50</w:t>
      </w:r>
      <w:r w:rsidR="003F0264">
        <w:t xml:space="preserve"> </w:t>
      </w:r>
      <w:r w:rsidR="00FC1FE2">
        <w:t>values for UN </w:t>
      </w:r>
      <w:r w:rsidR="00FC1FE2" w:rsidRPr="00F4110C">
        <w:t>1008</w:t>
      </w:r>
      <w:r w:rsidR="00FC1FE2">
        <w:t>.</w:t>
      </w:r>
    </w:p>
    <w:p w14:paraId="72305078" w14:textId="15AAB36E" w:rsidR="00FC1FE2" w:rsidRDefault="00555602" w:rsidP="00FC1FE2">
      <w:pPr>
        <w:pStyle w:val="SingleTxtG"/>
        <w:tabs>
          <w:tab w:val="left" w:pos="1701"/>
          <w:tab w:val="left" w:pos="3119"/>
        </w:tabs>
      </w:pPr>
      <w:r>
        <w:lastRenderedPageBreak/>
        <w:t>64</w:t>
      </w:r>
      <w:r w:rsidR="00FC1FE2">
        <w:t>.</w:t>
      </w:r>
      <w:r w:rsidR="00FC1FE2">
        <w:tab/>
      </w:r>
      <w:r w:rsidR="00FC1FE2" w:rsidRPr="00F4110C">
        <w:t>In view of the above, the Sub-Committee adopt</w:t>
      </w:r>
      <w:r w:rsidR="00FC1FE2">
        <w:t>ed</w:t>
      </w:r>
      <w:r w:rsidR="00FC1FE2" w:rsidRPr="00F4110C">
        <w:t xml:space="preserve"> the amendments relating to UN </w:t>
      </w:r>
      <w:r w:rsidR="00FC1FE2">
        <w:t>Nos. </w:t>
      </w:r>
      <w:r w:rsidR="00FC1FE2" w:rsidRPr="00F4110C">
        <w:t>1859, 2188, 2202, 2534 and 2676</w:t>
      </w:r>
      <w:r w:rsidR="00FC1FE2">
        <w:t xml:space="preserve"> (see annex</w:t>
      </w:r>
      <w:r w:rsidR="00A73612">
        <w:t xml:space="preserve"> I</w:t>
      </w:r>
      <w:r w:rsidR="00FC1FE2">
        <w:t>). The amendments relating to UN </w:t>
      </w:r>
      <w:r w:rsidR="00FC1FE2" w:rsidRPr="00F4110C">
        <w:t>Nos. 1008, 2196 and 2198</w:t>
      </w:r>
      <w:r w:rsidR="00FC1FE2">
        <w:t xml:space="preserve"> were not adopted. </w:t>
      </w:r>
    </w:p>
    <w:p w14:paraId="428BED86" w14:textId="77777777" w:rsidR="00FC1FE2" w:rsidRPr="00DB747D" w:rsidRDefault="00FC1FE2" w:rsidP="00FC1FE2">
      <w:pPr>
        <w:pStyle w:val="H23G"/>
        <w:rPr>
          <w:lang w:val="en-US"/>
        </w:rPr>
      </w:pPr>
      <w:r w:rsidRPr="00DB747D">
        <w:rPr>
          <w:lang w:val="en-US"/>
        </w:rPr>
        <w:tab/>
      </w:r>
      <w:r>
        <w:rPr>
          <w:lang w:val="en-US"/>
        </w:rPr>
        <w:t>5.</w:t>
      </w:r>
      <w:r w:rsidRPr="00DB747D">
        <w:rPr>
          <w:lang w:val="en-US"/>
        </w:rPr>
        <w:tab/>
        <w:t>Chemicals under pressure: extinguishing agents (UN 3500)</w:t>
      </w:r>
    </w:p>
    <w:p w14:paraId="0D24171B" w14:textId="77777777" w:rsidR="00FC1FE2" w:rsidRDefault="00FC1FE2" w:rsidP="00FC1FE2">
      <w:pPr>
        <w:pStyle w:val="SingleTxtG"/>
        <w:tabs>
          <w:tab w:val="left" w:pos="3119"/>
        </w:tabs>
        <w:rPr>
          <w:lang w:val="en-US"/>
        </w:rPr>
      </w:pPr>
      <w:r w:rsidRPr="00DB747D">
        <w:rPr>
          <w:i/>
          <w:iCs/>
        </w:rPr>
        <w:t>Document:</w:t>
      </w:r>
      <w:r w:rsidRPr="00DB747D">
        <w:tab/>
      </w:r>
      <w:r w:rsidRPr="00DB747D">
        <w:rPr>
          <w:lang w:val="en-US"/>
        </w:rPr>
        <w:t>ST/SG/AC.10/C.3/2018/77 (CEFIC)</w:t>
      </w:r>
    </w:p>
    <w:p w14:paraId="3C973017" w14:textId="77777777" w:rsidR="00FC1FE2" w:rsidRPr="00F4110C" w:rsidRDefault="00FC1FE2" w:rsidP="00FC1FE2">
      <w:pPr>
        <w:pStyle w:val="SingleTxtG"/>
        <w:tabs>
          <w:tab w:val="left" w:pos="3119"/>
        </w:tabs>
        <w:rPr>
          <w:lang w:val="en-US"/>
        </w:rPr>
      </w:pPr>
      <w:r w:rsidRPr="00F4110C">
        <w:rPr>
          <w:i/>
          <w:iCs/>
        </w:rPr>
        <w:t>Informal document:</w:t>
      </w:r>
      <w:r w:rsidRPr="00F4110C">
        <w:tab/>
      </w:r>
      <w:r w:rsidRPr="00F4110C">
        <w:rPr>
          <w:lang w:val="en-US"/>
        </w:rPr>
        <w:t>INF.</w:t>
      </w:r>
      <w:r>
        <w:rPr>
          <w:lang w:val="en-US"/>
        </w:rPr>
        <w:t>46</w:t>
      </w:r>
      <w:r w:rsidRPr="00F4110C">
        <w:rPr>
          <w:lang w:val="en-US"/>
        </w:rPr>
        <w:t xml:space="preserve"> (</w:t>
      </w:r>
      <w:r>
        <w:rPr>
          <w:lang w:val="en-US"/>
        </w:rPr>
        <w:t>CEFIC</w:t>
      </w:r>
      <w:r w:rsidRPr="00F4110C">
        <w:rPr>
          <w:lang w:val="en-US"/>
        </w:rPr>
        <w:t>)</w:t>
      </w:r>
    </w:p>
    <w:p w14:paraId="0F1CAE90" w14:textId="50B252C2" w:rsidR="00FC1FE2" w:rsidRDefault="00555602" w:rsidP="00A73612">
      <w:pPr>
        <w:pStyle w:val="SingleTxtG"/>
        <w:tabs>
          <w:tab w:val="left" w:pos="1701"/>
          <w:tab w:val="left" w:pos="3119"/>
        </w:tabs>
        <w:rPr>
          <w:lang w:val="en-US"/>
        </w:rPr>
      </w:pPr>
      <w:r>
        <w:rPr>
          <w:lang w:val="en-US"/>
        </w:rPr>
        <w:t>65</w:t>
      </w:r>
      <w:r w:rsidR="00FC1FE2">
        <w:rPr>
          <w:lang w:val="en-US"/>
        </w:rPr>
        <w:t>.</w:t>
      </w:r>
      <w:r w:rsidR="00FC1FE2">
        <w:rPr>
          <w:lang w:val="en-US"/>
        </w:rPr>
        <w:tab/>
        <w:t>The Sub-Committee adopted proposal 1 in informal document INF.46 with some changes (see annex</w:t>
      </w:r>
      <w:r w:rsidR="00A73612">
        <w:rPr>
          <w:lang w:val="en-US"/>
        </w:rPr>
        <w:t xml:space="preserve"> I</w:t>
      </w:r>
      <w:r w:rsidR="00FC1FE2">
        <w:rPr>
          <w:lang w:val="en-US"/>
        </w:rPr>
        <w:t xml:space="preserve">). </w:t>
      </w:r>
    </w:p>
    <w:p w14:paraId="43DC24BC" w14:textId="77777777" w:rsidR="008001FA" w:rsidRDefault="008001FA" w:rsidP="008001FA">
      <w:pPr>
        <w:pStyle w:val="H1G"/>
      </w:pPr>
      <w:r>
        <w:tab/>
        <w:t>F.</w:t>
      </w:r>
      <w:r>
        <w:tab/>
        <w:t>Miscellaneous pending issues</w:t>
      </w:r>
    </w:p>
    <w:p w14:paraId="6F7A162A" w14:textId="77777777" w:rsidR="008001FA" w:rsidRDefault="008001FA" w:rsidP="008001FA">
      <w:pPr>
        <w:pStyle w:val="H23G"/>
      </w:pPr>
      <w:r>
        <w:tab/>
        <w:t xml:space="preserve">1. </w:t>
      </w:r>
      <w:r>
        <w:tab/>
        <w:t>Fibre reinforced plastics (FRP) tanks</w:t>
      </w:r>
    </w:p>
    <w:p w14:paraId="39B1293E" w14:textId="77777777" w:rsidR="008001FA" w:rsidRDefault="008001FA" w:rsidP="008001FA">
      <w:pPr>
        <w:pStyle w:val="SingleTxtG"/>
        <w:tabs>
          <w:tab w:val="left" w:pos="3119"/>
        </w:tabs>
        <w:spacing w:after="0"/>
        <w:ind w:left="3119" w:hanging="1985"/>
        <w:rPr>
          <w:lang w:val="en-US"/>
        </w:rPr>
      </w:pPr>
      <w:r w:rsidRPr="00EF030F">
        <w:rPr>
          <w:i/>
          <w:iCs/>
        </w:rPr>
        <w:t>Document</w:t>
      </w:r>
      <w:r>
        <w:rPr>
          <w:i/>
          <w:iCs/>
        </w:rPr>
        <w:t>s</w:t>
      </w:r>
      <w:r w:rsidRPr="00EF030F">
        <w:rPr>
          <w:i/>
          <w:iCs/>
        </w:rPr>
        <w:t>:</w:t>
      </w:r>
      <w:r w:rsidRPr="00634742">
        <w:tab/>
      </w:r>
      <w:r>
        <w:rPr>
          <w:lang w:val="en-US"/>
        </w:rPr>
        <w:t>ST/SG/AC.10/C.3/2018/111 (Chairman of the informal working group)</w:t>
      </w:r>
    </w:p>
    <w:p w14:paraId="5C87FD39" w14:textId="77777777" w:rsidR="008001FA" w:rsidRDefault="008001FA" w:rsidP="008001FA">
      <w:pPr>
        <w:pStyle w:val="SingleTxtG"/>
        <w:tabs>
          <w:tab w:val="left" w:pos="3119"/>
        </w:tabs>
        <w:spacing w:after="0"/>
        <w:rPr>
          <w:lang w:val="en-US"/>
        </w:rPr>
      </w:pPr>
      <w:r>
        <w:rPr>
          <w:i/>
          <w:iCs/>
        </w:rPr>
        <w:tab/>
      </w:r>
      <w:r>
        <w:rPr>
          <w:lang w:val="en-US"/>
        </w:rPr>
        <w:t>ST/SG/AC.10/C.3/2018/99 (AEISG)</w:t>
      </w:r>
    </w:p>
    <w:p w14:paraId="680A5B68" w14:textId="77777777" w:rsidR="008001FA" w:rsidRDefault="008001FA" w:rsidP="008001FA">
      <w:pPr>
        <w:pStyle w:val="SingleTxtG"/>
        <w:tabs>
          <w:tab w:val="left" w:pos="3119"/>
        </w:tabs>
        <w:rPr>
          <w:lang w:val="en-US"/>
        </w:rPr>
      </w:pPr>
      <w:r>
        <w:rPr>
          <w:lang w:val="en-US"/>
        </w:rPr>
        <w:tab/>
        <w:t>ST/SG/AC.10/C.3/2018/91 (Russian Federation)</w:t>
      </w:r>
    </w:p>
    <w:p w14:paraId="70618D9A" w14:textId="77777777" w:rsidR="008001FA" w:rsidRDefault="008001FA" w:rsidP="008001FA">
      <w:pPr>
        <w:pStyle w:val="SingleTxtG"/>
        <w:tabs>
          <w:tab w:val="left" w:pos="3119"/>
        </w:tabs>
        <w:spacing w:after="0"/>
        <w:rPr>
          <w:lang w:val="en-US"/>
        </w:rPr>
      </w:pPr>
      <w:r>
        <w:rPr>
          <w:i/>
          <w:iCs/>
        </w:rPr>
        <w:t>Informal documents</w:t>
      </w:r>
      <w:r w:rsidRPr="00EF030F">
        <w:rPr>
          <w:i/>
          <w:iCs/>
        </w:rPr>
        <w:t>:</w:t>
      </w:r>
      <w:r w:rsidRPr="00634742">
        <w:tab/>
      </w:r>
      <w:r>
        <w:rPr>
          <w:lang w:val="en-US"/>
        </w:rPr>
        <w:t>INF.10 (Chairman of the informal working group)</w:t>
      </w:r>
    </w:p>
    <w:p w14:paraId="69825191" w14:textId="6D5A6E8E" w:rsidR="008001FA" w:rsidRDefault="008001FA" w:rsidP="002B25AF">
      <w:pPr>
        <w:pStyle w:val="SingleTxtG"/>
        <w:tabs>
          <w:tab w:val="left" w:pos="3119"/>
        </w:tabs>
        <w:spacing w:after="0"/>
        <w:rPr>
          <w:lang w:val="en-US"/>
        </w:rPr>
      </w:pPr>
      <w:r>
        <w:rPr>
          <w:lang w:val="en-US"/>
        </w:rPr>
        <w:tab/>
        <w:t>INF.11 (Germany)</w:t>
      </w:r>
    </w:p>
    <w:p w14:paraId="41502B22" w14:textId="24B1F372" w:rsidR="002B25AF" w:rsidRDefault="002B25AF" w:rsidP="002B25AF">
      <w:pPr>
        <w:pStyle w:val="SingleTxtG"/>
        <w:tabs>
          <w:tab w:val="left" w:pos="3119"/>
        </w:tabs>
        <w:spacing w:after="240"/>
        <w:rPr>
          <w:lang w:val="en-US"/>
        </w:rPr>
      </w:pPr>
      <w:r>
        <w:rPr>
          <w:color w:val="000000" w:themeColor="text1"/>
          <w:lang w:val="en-US"/>
        </w:rPr>
        <w:tab/>
      </w:r>
      <w:r w:rsidRPr="002F428B">
        <w:rPr>
          <w:color w:val="000000" w:themeColor="text1"/>
          <w:lang w:val="en-US"/>
        </w:rPr>
        <w:t>INF.45 (Chairman of the informal working group)</w:t>
      </w:r>
    </w:p>
    <w:p w14:paraId="478014FF" w14:textId="0A005941" w:rsidR="008001FA" w:rsidRDefault="00555602" w:rsidP="008001FA">
      <w:pPr>
        <w:pStyle w:val="SingleTxtG"/>
        <w:tabs>
          <w:tab w:val="left" w:pos="1701"/>
        </w:tabs>
      </w:pPr>
      <w:r>
        <w:t>66</w:t>
      </w:r>
      <w:r w:rsidR="008001FA">
        <w:t>.</w:t>
      </w:r>
      <w:r w:rsidR="008001FA">
        <w:tab/>
        <w:t xml:space="preserve">After preliminary consideration in plenary, all documents related to this matter were referred to the working group on FRP tanks, which met on 26 and 27 November 2018 under the chairmanship of Mr. S. Webb (United States of America). </w:t>
      </w:r>
    </w:p>
    <w:p w14:paraId="66087E7F" w14:textId="426D1797" w:rsidR="00D038CB" w:rsidRPr="00462639" w:rsidRDefault="00555602" w:rsidP="00D038CB">
      <w:pPr>
        <w:pStyle w:val="SingleTxtG"/>
      </w:pPr>
      <w:r>
        <w:rPr>
          <w:color w:val="000000" w:themeColor="text1"/>
          <w:lang w:val="en-US"/>
        </w:rPr>
        <w:t>67</w:t>
      </w:r>
      <w:r w:rsidR="00D038CB" w:rsidRPr="00462639">
        <w:t>.</w:t>
      </w:r>
      <w:r w:rsidR="00D038CB" w:rsidRPr="00462639">
        <w:tab/>
        <w:t xml:space="preserve">The Sub-Committee </w:t>
      </w:r>
      <w:r w:rsidR="00D038CB">
        <w:t xml:space="preserve">took note of the progress of the work and </w:t>
      </w:r>
      <w:r w:rsidR="00D038CB" w:rsidRPr="00462639">
        <w:t>endorsed the conclusions and recommendations of the informal working group in informal document INF.45. In particular:</w:t>
      </w:r>
    </w:p>
    <w:p w14:paraId="6EE9C532" w14:textId="77777777" w:rsidR="00D038CB" w:rsidRPr="00462639" w:rsidRDefault="00D038CB" w:rsidP="00D038CB">
      <w:pPr>
        <w:pStyle w:val="SingleTxtG"/>
        <w:ind w:left="2127" w:hanging="426"/>
      </w:pPr>
      <w:r w:rsidRPr="00462639">
        <w:t>(a)</w:t>
      </w:r>
      <w:r w:rsidRPr="00462639">
        <w:tab/>
      </w:r>
      <w:r>
        <w:t>it</w:t>
      </w:r>
      <w:r w:rsidRPr="00462639">
        <w:t xml:space="preserve"> took note of the progress of the work on the development of Chapter 6.9 </w:t>
      </w:r>
      <w:r>
        <w:t xml:space="preserve">and </w:t>
      </w:r>
      <w:r w:rsidRPr="00462639">
        <w:t>the ongoing discussions on general design construction provisions and specific design criteria requirements</w:t>
      </w:r>
      <w:r>
        <w:t>,</w:t>
      </w:r>
      <w:r w:rsidRPr="00462639">
        <w:t xml:space="preserve"> as summarized in paragraphs 6 and 7 of informal document INF.45. </w:t>
      </w:r>
    </w:p>
    <w:p w14:paraId="193F010F" w14:textId="6E2EC92E" w:rsidR="00D038CB" w:rsidRPr="00462639" w:rsidRDefault="00D038CB" w:rsidP="00D038CB">
      <w:pPr>
        <w:pStyle w:val="SingleTxtG"/>
        <w:ind w:left="2127" w:hanging="426"/>
      </w:pPr>
      <w:r w:rsidRPr="00462639">
        <w:t>(b)</w:t>
      </w:r>
      <w:r w:rsidRPr="00462639">
        <w:tab/>
      </w:r>
      <w:r>
        <w:t>i</w:t>
      </w:r>
      <w:r w:rsidRPr="00462639">
        <w:t xml:space="preserve">t endorsed </w:t>
      </w:r>
      <w:r>
        <w:t>the</w:t>
      </w:r>
      <w:r w:rsidRPr="00462639">
        <w:t xml:space="preserve"> recommendation to continue work on this matter during the period 2019-2020 in accordance with the terms of reference agreed at the fifty-third session (</w:t>
      </w:r>
      <w:r w:rsidR="00BD1F38">
        <w:t>see</w:t>
      </w:r>
      <w:r w:rsidRPr="00462639">
        <w:t xml:space="preserve"> informal document INF.64). On the requests by AEISG (document ST/SG/AC.10/C.3/2018/99) and the Russian Federation (document ST/SG/AC.10/C.3/2018/91) to extend the scope of the work to cover transport of explosives and non-refrigerated liquefied gases in FRP tanks, the Sub-Committee noted that:</w:t>
      </w:r>
    </w:p>
    <w:p w14:paraId="21185386" w14:textId="1B1BEB61" w:rsidR="00D038CB" w:rsidRDefault="00CD3300" w:rsidP="00D038CB">
      <w:pPr>
        <w:pStyle w:val="SingleTxtG"/>
        <w:tabs>
          <w:tab w:val="left" w:pos="3119"/>
        </w:tabs>
        <w:ind w:left="2694" w:hanging="567"/>
      </w:pPr>
      <w:r>
        <w:t>(i)</w:t>
      </w:r>
      <w:r w:rsidR="00D038CB">
        <w:tab/>
        <w:t>the informal working group acknowledged the view of the Working Group on Explosives that Class 1 dangerous goods should be authorized for transport in FRP portable tanks. Some experts expressed concerns about the behaviour of explosives in a fire and the management of static electricity when placed in FRP tanks. The informal working group agreed to consider explosives when considering the design parameters for FRP portable tanks and to continue to seek advice from the Working Group on Explosives as provisions are developed;</w:t>
      </w:r>
    </w:p>
    <w:p w14:paraId="781B6566" w14:textId="77777777" w:rsidR="0031479D" w:rsidRDefault="0031479D">
      <w:pPr>
        <w:suppressAutoHyphens w:val="0"/>
        <w:spacing w:line="240" w:lineRule="auto"/>
      </w:pPr>
      <w:r>
        <w:br w:type="page"/>
      </w:r>
    </w:p>
    <w:p w14:paraId="3D490290" w14:textId="5527EF7D" w:rsidR="00D038CB" w:rsidRDefault="00D038CB" w:rsidP="00D038CB">
      <w:pPr>
        <w:pStyle w:val="SingleTxtG"/>
        <w:tabs>
          <w:tab w:val="left" w:pos="3119"/>
        </w:tabs>
        <w:ind w:left="2694" w:hanging="567"/>
      </w:pPr>
      <w:r>
        <w:lastRenderedPageBreak/>
        <w:t>(ii)</w:t>
      </w:r>
      <w:r>
        <w:tab/>
        <w:t>the informal working group acknowledged the ability of FRP portable tanks to carry dangerous goods of Class 2, but noting the additional complexities involved in the transport of these goods it decided to prioritize and finalize work on the development of provisions for transport of goods of other classes in FRP portable tanks before addressing transport of gases.</w:t>
      </w:r>
    </w:p>
    <w:p w14:paraId="20EE223B" w14:textId="66FB0615" w:rsidR="00D038CB" w:rsidRDefault="00555602" w:rsidP="00D038CB">
      <w:pPr>
        <w:pStyle w:val="SingleTxtG"/>
        <w:tabs>
          <w:tab w:val="left" w:pos="1701"/>
          <w:tab w:val="left" w:pos="3119"/>
        </w:tabs>
      </w:pPr>
      <w:r>
        <w:t>68</w:t>
      </w:r>
      <w:r w:rsidR="00D038CB">
        <w:t>.</w:t>
      </w:r>
      <w:r w:rsidR="00D038CB">
        <w:tab/>
        <w:t xml:space="preserve">Finally, it was noted that the informal working group would meet from 1 to 3 July 2019 in parallel to the fifty-fifth session of the Sub-Committee. </w:t>
      </w:r>
    </w:p>
    <w:p w14:paraId="2F73BD17" w14:textId="77777777" w:rsidR="008001FA" w:rsidRDefault="008001FA" w:rsidP="008001FA">
      <w:pPr>
        <w:pStyle w:val="H23G"/>
        <w:rPr>
          <w:lang w:val="en-US"/>
        </w:rPr>
      </w:pPr>
      <w:r>
        <w:tab/>
        <w:t>2.</w:t>
      </w:r>
      <w:r>
        <w:rPr>
          <w:lang w:val="en-US"/>
        </w:rPr>
        <w:tab/>
        <w:t>Alignment of the English and French versions of 5.4.1.5.1</w:t>
      </w:r>
    </w:p>
    <w:p w14:paraId="0629D7E7" w14:textId="77777777" w:rsidR="008001FA" w:rsidRPr="008248C1" w:rsidRDefault="008001FA" w:rsidP="008001FA">
      <w:pPr>
        <w:pStyle w:val="SingleTxtG"/>
        <w:tabs>
          <w:tab w:val="left" w:pos="3119"/>
        </w:tabs>
        <w:rPr>
          <w:i/>
          <w:iCs/>
        </w:rPr>
      </w:pPr>
      <w:r w:rsidRPr="00EF030F">
        <w:rPr>
          <w:i/>
          <w:iCs/>
        </w:rPr>
        <w:t>Document:</w:t>
      </w:r>
      <w:r w:rsidRPr="008248C1">
        <w:rPr>
          <w:i/>
          <w:iCs/>
        </w:rPr>
        <w:tab/>
      </w:r>
      <w:r w:rsidRPr="008248C1">
        <w:t>ST/SG/AC.10/C.3/2018/69 (Belgium)</w:t>
      </w:r>
    </w:p>
    <w:p w14:paraId="0E4C6368" w14:textId="641DC779" w:rsidR="008001FA" w:rsidRPr="003E7377" w:rsidRDefault="00555602" w:rsidP="008001FA">
      <w:pPr>
        <w:pStyle w:val="SingleTxtG"/>
        <w:tabs>
          <w:tab w:val="left" w:pos="1701"/>
        </w:tabs>
      </w:pPr>
      <w:r>
        <w:rPr>
          <w:lang w:val="en-US"/>
        </w:rPr>
        <w:t>69</w:t>
      </w:r>
      <w:r w:rsidR="008001FA">
        <w:rPr>
          <w:lang w:val="en-US"/>
        </w:rPr>
        <w:t>.</w:t>
      </w:r>
      <w:r w:rsidR="008001FA">
        <w:rPr>
          <w:lang w:val="en-US"/>
        </w:rPr>
        <w:tab/>
        <w:t>The Sub-Committee adopted the amendment to the French version of 5.4.1.5.1 in paragraph 5 of the document (see annex</w:t>
      </w:r>
      <w:r w:rsidR="00A73612">
        <w:rPr>
          <w:lang w:val="en-US"/>
        </w:rPr>
        <w:t xml:space="preserve"> I</w:t>
      </w:r>
      <w:r w:rsidR="008001FA">
        <w:rPr>
          <w:lang w:val="en-US"/>
        </w:rPr>
        <w:t>).</w:t>
      </w:r>
    </w:p>
    <w:p w14:paraId="4A018651" w14:textId="4B023548" w:rsidR="00F723E2" w:rsidRPr="00922D86" w:rsidRDefault="00F723E2" w:rsidP="00F723E2">
      <w:pPr>
        <w:pStyle w:val="H23G"/>
        <w:rPr>
          <w:lang w:val="en-US"/>
        </w:rPr>
      </w:pPr>
      <w:r>
        <w:rPr>
          <w:lang w:val="en-US"/>
        </w:rPr>
        <w:tab/>
      </w:r>
      <w:r w:rsidRPr="00922D86">
        <w:rPr>
          <w:lang w:val="en-US"/>
        </w:rPr>
        <w:t>3.</w:t>
      </w:r>
      <w:r w:rsidRPr="00922D86">
        <w:rPr>
          <w:lang w:val="en-US"/>
        </w:rPr>
        <w:tab/>
        <w:t xml:space="preserve">Proposal to include special provision 653 of the ADR in the Model </w:t>
      </w:r>
      <w:r w:rsidRPr="00F723E2">
        <w:t>Regulations</w:t>
      </w:r>
    </w:p>
    <w:p w14:paraId="378ABBD3" w14:textId="77777777" w:rsidR="00F723E2" w:rsidRDefault="00F723E2" w:rsidP="00F723E2">
      <w:pPr>
        <w:pStyle w:val="SingleTxtG"/>
        <w:tabs>
          <w:tab w:val="left" w:pos="3119"/>
        </w:tabs>
        <w:rPr>
          <w:lang w:val="en-US"/>
        </w:rPr>
      </w:pPr>
      <w:r w:rsidRPr="00EF030F">
        <w:rPr>
          <w:i/>
          <w:iCs/>
        </w:rPr>
        <w:t>Document:</w:t>
      </w:r>
      <w:r w:rsidRPr="00634742">
        <w:tab/>
      </w:r>
      <w:r>
        <w:rPr>
          <w:lang w:val="en-US"/>
        </w:rPr>
        <w:t>ST/SG/AC.10/C.3/2018/71 (EIGA)</w:t>
      </w:r>
    </w:p>
    <w:p w14:paraId="605464CB" w14:textId="77777777" w:rsidR="00F723E2" w:rsidRDefault="00F723E2" w:rsidP="00F723E2">
      <w:pPr>
        <w:pStyle w:val="SingleTxtG"/>
        <w:tabs>
          <w:tab w:val="left" w:pos="3119"/>
        </w:tabs>
        <w:rPr>
          <w:lang w:val="en-US"/>
        </w:rPr>
      </w:pPr>
      <w:r>
        <w:rPr>
          <w:i/>
          <w:iCs/>
        </w:rPr>
        <w:t>Informal document</w:t>
      </w:r>
      <w:r w:rsidRPr="00EF030F">
        <w:rPr>
          <w:i/>
          <w:iCs/>
        </w:rPr>
        <w:t>:</w:t>
      </w:r>
      <w:r w:rsidRPr="00634742">
        <w:tab/>
      </w:r>
      <w:r>
        <w:rPr>
          <w:lang w:val="en-US"/>
        </w:rPr>
        <w:t>INF.36 (Switzerland)</w:t>
      </w:r>
    </w:p>
    <w:p w14:paraId="20ABA31A" w14:textId="03E617D6" w:rsidR="00F723E2" w:rsidRDefault="00555602" w:rsidP="00F723E2">
      <w:pPr>
        <w:pStyle w:val="SingleTxtG"/>
        <w:tabs>
          <w:tab w:val="left" w:pos="1701"/>
          <w:tab w:val="left" w:pos="3119"/>
        </w:tabs>
      </w:pPr>
      <w:r>
        <w:t>70</w:t>
      </w:r>
      <w:r w:rsidR="00F723E2">
        <w:t>.</w:t>
      </w:r>
      <w:r w:rsidR="00F723E2">
        <w:tab/>
        <w:t xml:space="preserve">Opinions differed on the suitability of the proposal for multimodal transport. Some experts pointed out that since special provision 653 of ADR was </w:t>
      </w:r>
      <w:r w:rsidR="00BC4F4D">
        <w:t xml:space="preserve">not </w:t>
      </w:r>
      <w:r w:rsidR="00F723E2">
        <w:t xml:space="preserve">suitable for </w:t>
      </w:r>
      <w:r w:rsidR="00BC4F4D">
        <w:t xml:space="preserve">all </w:t>
      </w:r>
      <w:r w:rsidR="00F723E2">
        <w:t>modes, it would not be appropriate to include it in the Model Regulations as its provisions were intended to address all modes of transport. They considered that transport of these cylinders should be addressed individually by applicable modal regulations, either nationally or internationally. Others considered on the contrary that as these cylinders were transported internationally in large quantities by more than one means of transport, the Model Regulations could include general provisions to ensure their safe transport by these modes.</w:t>
      </w:r>
    </w:p>
    <w:p w14:paraId="739CF0BD" w14:textId="2D2D1129" w:rsidR="00F723E2" w:rsidRDefault="00555602" w:rsidP="00F723E2">
      <w:pPr>
        <w:pStyle w:val="SingleTxtG"/>
        <w:tabs>
          <w:tab w:val="left" w:pos="1701"/>
          <w:tab w:val="left" w:pos="3119"/>
        </w:tabs>
      </w:pPr>
      <w:r>
        <w:t>71</w:t>
      </w:r>
      <w:r w:rsidR="00F723E2">
        <w:t>.</w:t>
      </w:r>
      <w:r w:rsidR="00F723E2">
        <w:tab/>
        <w:t>Some experts expressed concerns about the technical aspects of the proposal, e.g.: the absence of some key requirements for hazard communication, training and filling provisions; or the rationale behind the exemption for gas cylinders with a test pressure capacity product of 15.2 Mpa.litre when compared to more restrictive transport conditions applicable to other gas receptacles (e.g.: 5 bar aerosols). Others considered that construction and testing provisions should not be included as they were already addressed in Chapter 6.2.</w:t>
      </w:r>
    </w:p>
    <w:p w14:paraId="32767478" w14:textId="2B8B0CD2" w:rsidR="008001FA" w:rsidRDefault="00555602" w:rsidP="00F723E2">
      <w:pPr>
        <w:pStyle w:val="SingleTxtG"/>
      </w:pPr>
      <w:r>
        <w:t>72</w:t>
      </w:r>
      <w:r w:rsidR="00F723E2">
        <w:t>.</w:t>
      </w:r>
      <w:r w:rsidR="00F723E2">
        <w:tab/>
        <w:t xml:space="preserve">In view of the comments made, the representative of EIGA withdrew the proposal and said that he would consider the technical aspects raised during the discussion and would come back with a revised proposal </w:t>
      </w:r>
      <w:r w:rsidR="00B0571E">
        <w:t xml:space="preserve">during </w:t>
      </w:r>
      <w:r w:rsidR="00F723E2">
        <w:t>the next biennium.</w:t>
      </w:r>
    </w:p>
    <w:p w14:paraId="5934F6F9" w14:textId="77777777" w:rsidR="00F723E2" w:rsidRPr="00686978" w:rsidRDefault="00F723E2" w:rsidP="00F723E2">
      <w:pPr>
        <w:pStyle w:val="H23G"/>
      </w:pPr>
      <w:r w:rsidRPr="00686978">
        <w:tab/>
        <w:t>4.</w:t>
      </w:r>
      <w:r w:rsidRPr="00686978">
        <w:tab/>
      </w:r>
      <w:bookmarkStart w:id="2" w:name="_Hlk531010214"/>
      <w:r w:rsidRPr="00686978">
        <w:t>Harmonization with the International Atomic Energy Agency regulation for the safe transport of radioactive material: arrangements for preparedness and response</w:t>
      </w:r>
    </w:p>
    <w:p w14:paraId="5FF399C1" w14:textId="77777777" w:rsidR="00F723E2" w:rsidRPr="00686978" w:rsidRDefault="00F723E2" w:rsidP="00F723E2">
      <w:pPr>
        <w:pStyle w:val="SingleTxtG"/>
        <w:keepNext/>
        <w:keepLines/>
        <w:tabs>
          <w:tab w:val="left" w:pos="3119"/>
        </w:tabs>
        <w:rPr>
          <w:bCs/>
          <w:lang w:val="en-US"/>
        </w:rPr>
      </w:pPr>
      <w:r w:rsidRPr="00686978">
        <w:rPr>
          <w:bCs/>
          <w:i/>
          <w:iCs/>
        </w:rPr>
        <w:t>Document:</w:t>
      </w:r>
      <w:r w:rsidRPr="00686978">
        <w:rPr>
          <w:bCs/>
        </w:rPr>
        <w:tab/>
      </w:r>
      <w:r w:rsidRPr="00686978">
        <w:rPr>
          <w:bCs/>
          <w:lang w:val="en-US"/>
        </w:rPr>
        <w:t>ST/SG/AC.10/C.3/2018/108 (IAEA)</w:t>
      </w:r>
    </w:p>
    <w:p w14:paraId="1F5E5F27" w14:textId="77777777" w:rsidR="00F723E2" w:rsidRPr="00686978" w:rsidRDefault="00F723E2" w:rsidP="00F723E2">
      <w:pPr>
        <w:pStyle w:val="SingleTxtG"/>
        <w:keepNext/>
        <w:keepLines/>
        <w:tabs>
          <w:tab w:val="left" w:pos="3119"/>
        </w:tabs>
        <w:rPr>
          <w:bCs/>
          <w:lang w:val="en-US"/>
        </w:rPr>
      </w:pPr>
      <w:r w:rsidRPr="00686978">
        <w:rPr>
          <w:bCs/>
          <w:i/>
          <w:iCs/>
        </w:rPr>
        <w:t>Informal document:</w:t>
      </w:r>
      <w:r w:rsidRPr="00686978">
        <w:rPr>
          <w:bCs/>
        </w:rPr>
        <w:tab/>
      </w:r>
      <w:r w:rsidRPr="00686978">
        <w:rPr>
          <w:bCs/>
          <w:lang w:val="en-US"/>
        </w:rPr>
        <w:t>INF.41 (IAEA)</w:t>
      </w:r>
    </w:p>
    <w:bookmarkEnd w:id="2"/>
    <w:p w14:paraId="02750D13" w14:textId="1077A3F1" w:rsidR="00F723E2" w:rsidRPr="00582686" w:rsidRDefault="00555602" w:rsidP="00F723E2">
      <w:pPr>
        <w:pStyle w:val="SingleTxtG"/>
        <w:tabs>
          <w:tab w:val="left" w:pos="1701"/>
          <w:tab w:val="left" w:pos="3119"/>
        </w:tabs>
      </w:pPr>
      <w:r>
        <w:t>73</w:t>
      </w:r>
      <w:r w:rsidR="00F723E2">
        <w:t>.</w:t>
      </w:r>
      <w:r w:rsidR="00F723E2" w:rsidRPr="00582686">
        <w:tab/>
        <w:t xml:space="preserve">The representative of IATA </w:t>
      </w:r>
      <w:r w:rsidR="00F723E2">
        <w:t xml:space="preserve">reiterated the concerns expressed at the fifty-third session </w:t>
      </w:r>
      <w:r w:rsidR="00F723E2" w:rsidRPr="00582686">
        <w:t xml:space="preserve">about the second sentence </w:t>
      </w:r>
      <w:r w:rsidR="00F723E2">
        <w:t>in</w:t>
      </w:r>
      <w:r w:rsidR="00F723E2" w:rsidRPr="00582686">
        <w:t xml:space="preserve"> 1.5.2.5. He considered that it could be misinterpreted as imposing an additional obligation on carriers and consignors. Some experts shared his concern. </w:t>
      </w:r>
    </w:p>
    <w:p w14:paraId="5F834454" w14:textId="657A557B" w:rsidR="00F723E2" w:rsidRPr="00582686" w:rsidRDefault="00555602" w:rsidP="00F723E2">
      <w:pPr>
        <w:pStyle w:val="SingleTxtG"/>
        <w:tabs>
          <w:tab w:val="left" w:pos="1701"/>
          <w:tab w:val="left" w:pos="3119"/>
        </w:tabs>
      </w:pPr>
      <w:bookmarkStart w:id="3" w:name="_Hlk531021483"/>
      <w:r>
        <w:t>74</w:t>
      </w:r>
      <w:r w:rsidR="00F723E2">
        <w:t>.</w:t>
      </w:r>
      <w:r w:rsidR="00F723E2">
        <w:tab/>
      </w:r>
      <w:r w:rsidR="00F723E2" w:rsidRPr="00582686">
        <w:t>After discussion, the Sub-Committee adopted the proposed text for 1.5.2.5 and 1.5.2.6 in informal document INF.41 with some additional changes (see annex</w:t>
      </w:r>
      <w:r w:rsidR="00F723E2">
        <w:t xml:space="preserve"> </w:t>
      </w:r>
      <w:r w:rsidR="00A73612">
        <w:t>I</w:t>
      </w:r>
      <w:r w:rsidR="00F723E2" w:rsidRPr="00582686">
        <w:t xml:space="preserve">) to avoid misunderstandings </w:t>
      </w:r>
      <w:r w:rsidR="00F723E2">
        <w:t>about</w:t>
      </w:r>
      <w:r w:rsidR="00F723E2" w:rsidRPr="00582686">
        <w:t xml:space="preserve"> the responsibilities of consignors and carriers as regards the </w:t>
      </w:r>
      <w:r w:rsidR="00F723E2" w:rsidRPr="00582686">
        <w:lastRenderedPageBreak/>
        <w:t>establishment of arrangements for preparedness and response in case of a nuclear or radiological emergency during the transport of radioactive material.</w:t>
      </w:r>
    </w:p>
    <w:bookmarkEnd w:id="3"/>
    <w:p w14:paraId="49E12DB9" w14:textId="77777777" w:rsidR="00F723E2" w:rsidRPr="00922D86" w:rsidRDefault="00F723E2" w:rsidP="00F723E2">
      <w:pPr>
        <w:pStyle w:val="H23G"/>
        <w:rPr>
          <w:lang w:val="en-US"/>
        </w:rPr>
      </w:pPr>
      <w:r>
        <w:rPr>
          <w:color w:val="FF0000"/>
          <w:lang w:val="en-US"/>
        </w:rPr>
        <w:tab/>
      </w:r>
      <w:r>
        <w:rPr>
          <w:lang w:val="en-US"/>
        </w:rPr>
        <w:t>5</w:t>
      </w:r>
      <w:r w:rsidRPr="00922D86">
        <w:rPr>
          <w:lang w:val="en-US"/>
        </w:rPr>
        <w:t>.</w:t>
      </w:r>
      <w:r w:rsidRPr="00922D86">
        <w:rPr>
          <w:lang w:val="en-US"/>
        </w:rPr>
        <w:tab/>
        <w:t>Multiple marking of packagings (including IBCs and large packagings) indicating conformity with more than one successfully tested design type</w:t>
      </w:r>
    </w:p>
    <w:p w14:paraId="5EA3EF91" w14:textId="77777777" w:rsidR="00F723E2" w:rsidRPr="00922D86" w:rsidRDefault="00F723E2" w:rsidP="00F723E2">
      <w:pPr>
        <w:pStyle w:val="SingleTxtG"/>
        <w:tabs>
          <w:tab w:val="left" w:pos="3119"/>
        </w:tabs>
        <w:rPr>
          <w:lang w:val="en-US"/>
        </w:rPr>
      </w:pPr>
      <w:r w:rsidRPr="00922D86">
        <w:rPr>
          <w:i/>
          <w:iCs/>
        </w:rPr>
        <w:t>Document:</w:t>
      </w:r>
      <w:r w:rsidRPr="00922D86">
        <w:tab/>
      </w:r>
      <w:r w:rsidRPr="00922D86">
        <w:rPr>
          <w:lang w:val="en-US"/>
        </w:rPr>
        <w:t>ST/SG/AC.10/C.3/2018/74 (Germany)</w:t>
      </w:r>
    </w:p>
    <w:p w14:paraId="522A73F4" w14:textId="77777777" w:rsidR="00F723E2" w:rsidRDefault="00F723E2" w:rsidP="00F723E2">
      <w:pPr>
        <w:pStyle w:val="SingleTxtG"/>
        <w:tabs>
          <w:tab w:val="left" w:pos="3119"/>
        </w:tabs>
        <w:rPr>
          <w:lang w:val="en-US"/>
        </w:rPr>
      </w:pPr>
      <w:r w:rsidRPr="00922D86">
        <w:rPr>
          <w:i/>
          <w:iCs/>
        </w:rPr>
        <w:t>Informal document:</w:t>
      </w:r>
      <w:r w:rsidRPr="00922D86">
        <w:tab/>
      </w:r>
      <w:r w:rsidRPr="00922D86">
        <w:rPr>
          <w:lang w:val="en-US"/>
        </w:rPr>
        <w:t>INF.34 (ICCR)</w:t>
      </w:r>
    </w:p>
    <w:p w14:paraId="41AF2F28" w14:textId="199160A8" w:rsidR="00F723E2" w:rsidRDefault="00555602" w:rsidP="00F723E2">
      <w:pPr>
        <w:pStyle w:val="SingleTxtG"/>
        <w:tabs>
          <w:tab w:val="left" w:pos="1701"/>
          <w:tab w:val="left" w:pos="3119"/>
        </w:tabs>
      </w:pPr>
      <w:r>
        <w:t>75</w:t>
      </w:r>
      <w:r w:rsidR="00F723E2">
        <w:t>.</w:t>
      </w:r>
      <w:r w:rsidR="00F723E2">
        <w:tab/>
        <w:t>Views were divided on the proposal. Some experts considered that there was no need to amend the existing text. Others on the contrary, felt that the current text could be further improved and expressed some sympathy for the proposal but did not support it as drafted. Some considered that the reference to “design type” packagings was misleading and one expert suggested to replace this generic reference by specific design types.</w:t>
      </w:r>
    </w:p>
    <w:p w14:paraId="50E0399B" w14:textId="7935CEAA" w:rsidR="008001FA" w:rsidRDefault="00555602" w:rsidP="00F723E2">
      <w:pPr>
        <w:pStyle w:val="SingleTxtG"/>
      </w:pPr>
      <w:r>
        <w:t>76</w:t>
      </w:r>
      <w:r w:rsidR="00F723E2">
        <w:t>.</w:t>
      </w:r>
      <w:r w:rsidR="00F723E2">
        <w:tab/>
      </w:r>
      <w:r w:rsidR="00F723E2" w:rsidRPr="002133F5">
        <w:t xml:space="preserve">In </w:t>
      </w:r>
      <w:r w:rsidR="00F723E2">
        <w:t xml:space="preserve">the light of the </w:t>
      </w:r>
      <w:r w:rsidR="00F723E2" w:rsidRPr="002133F5">
        <w:t>comments made the representative of Germany</w:t>
      </w:r>
      <w:r w:rsidR="00F723E2">
        <w:t xml:space="preserve"> withdrew the proposal</w:t>
      </w:r>
      <w:r w:rsidR="00F723E2" w:rsidRPr="002133F5">
        <w:t>.</w:t>
      </w:r>
    </w:p>
    <w:p w14:paraId="67FEF9E0" w14:textId="77777777" w:rsidR="000B031F" w:rsidRDefault="000B031F" w:rsidP="000B031F">
      <w:pPr>
        <w:pStyle w:val="H23G"/>
        <w:rPr>
          <w:lang w:val="en-US"/>
        </w:rPr>
      </w:pPr>
      <w:r>
        <w:tab/>
      </w:r>
      <w:bookmarkStart w:id="4" w:name="_Hlk531010664"/>
      <w:r>
        <w:t>6.</w:t>
      </w:r>
      <w:r>
        <w:tab/>
      </w:r>
      <w:r>
        <w:rPr>
          <w:lang w:val="en-US"/>
        </w:rPr>
        <w:t>Toxicity through oral ingestion and/or dermal contact</w:t>
      </w:r>
    </w:p>
    <w:p w14:paraId="3BC4FC03" w14:textId="77777777" w:rsidR="000B031F" w:rsidRDefault="000B031F" w:rsidP="000B031F">
      <w:pPr>
        <w:pStyle w:val="SingleTxtG"/>
        <w:tabs>
          <w:tab w:val="left" w:pos="3119"/>
        </w:tabs>
        <w:rPr>
          <w:lang w:val="en-US"/>
        </w:rPr>
      </w:pPr>
      <w:r>
        <w:rPr>
          <w:i/>
          <w:iCs/>
        </w:rPr>
        <w:t>Informal document:</w:t>
      </w:r>
      <w:r>
        <w:tab/>
      </w:r>
      <w:r>
        <w:rPr>
          <w:lang w:val="en-US"/>
        </w:rPr>
        <w:t>INF.16 (Secretariat)</w:t>
      </w:r>
    </w:p>
    <w:p w14:paraId="0F04DFAD" w14:textId="20465475" w:rsidR="000B031F" w:rsidRDefault="00555602" w:rsidP="000B031F">
      <w:pPr>
        <w:pStyle w:val="SingleTxtG"/>
        <w:tabs>
          <w:tab w:val="left" w:pos="1701"/>
          <w:tab w:val="left" w:pos="3119"/>
        </w:tabs>
        <w:rPr>
          <w:lang w:val="en-US"/>
        </w:rPr>
      </w:pPr>
      <w:r>
        <w:rPr>
          <w:lang w:val="en-US"/>
        </w:rPr>
        <w:t>77</w:t>
      </w:r>
      <w:r w:rsidR="000B031F">
        <w:rPr>
          <w:lang w:val="en-US"/>
        </w:rPr>
        <w:t xml:space="preserve">. </w:t>
      </w:r>
      <w:r w:rsidR="000B031F">
        <w:rPr>
          <w:lang w:val="en-US"/>
        </w:rPr>
        <w:tab/>
        <w:t xml:space="preserve">The Sub-Committee took note of the information provided by the secretariat. </w:t>
      </w:r>
    </w:p>
    <w:bookmarkEnd w:id="4"/>
    <w:p w14:paraId="224CA3A5" w14:textId="5EA65AE0" w:rsidR="003B1F39" w:rsidRDefault="000B031F" w:rsidP="003B1F39">
      <w:pPr>
        <w:pStyle w:val="H23G"/>
        <w:rPr>
          <w:lang w:val="en-US"/>
        </w:rPr>
      </w:pPr>
      <w:r>
        <w:tab/>
      </w:r>
      <w:r w:rsidR="005D4954">
        <w:rPr>
          <w:lang w:val="en-US"/>
        </w:rPr>
        <w:t>7</w:t>
      </w:r>
      <w:r w:rsidR="003B1F39">
        <w:rPr>
          <w:lang w:val="en-US"/>
        </w:rPr>
        <w:t>.</w:t>
      </w:r>
      <w:r w:rsidR="003B1F39">
        <w:rPr>
          <w:lang w:val="en-US"/>
        </w:rPr>
        <w:tab/>
        <w:t>Provisions for data loggers and other equipment</w:t>
      </w:r>
      <w:r w:rsidR="009A1363" w:rsidRPr="009A1363">
        <w:rPr>
          <w:lang w:val="en-US"/>
        </w:rPr>
        <w:t xml:space="preserve"> </w:t>
      </w:r>
      <w:r w:rsidR="009A1363">
        <w:rPr>
          <w:lang w:val="en-US"/>
        </w:rPr>
        <w:t>in use during transport</w:t>
      </w:r>
      <w:r w:rsidR="003B1F39">
        <w:rPr>
          <w:lang w:val="en-US"/>
        </w:rPr>
        <w:t>, containing electric energy storage and production systems</w:t>
      </w:r>
      <w:r w:rsidR="00542F3D">
        <w:rPr>
          <w:lang w:val="en-US"/>
        </w:rPr>
        <w:t xml:space="preserve"> a</w:t>
      </w:r>
      <w:r w:rsidR="005D4954">
        <w:rPr>
          <w:lang w:val="en-US"/>
        </w:rPr>
        <w:t>nd scope of the exemption under </w:t>
      </w:r>
      <w:r w:rsidR="00542F3D">
        <w:rPr>
          <w:lang w:val="en-US"/>
        </w:rPr>
        <w:t>1.1.1.2</w:t>
      </w:r>
    </w:p>
    <w:p w14:paraId="712EBF8A" w14:textId="77777777" w:rsidR="003B1F39" w:rsidRDefault="003B1F39" w:rsidP="003B1F39">
      <w:pPr>
        <w:pStyle w:val="SingleTxtG"/>
        <w:tabs>
          <w:tab w:val="left" w:pos="3119"/>
        </w:tabs>
        <w:spacing w:after="0"/>
        <w:rPr>
          <w:lang w:val="en-US"/>
        </w:rPr>
      </w:pPr>
      <w:r>
        <w:rPr>
          <w:i/>
          <w:iCs/>
        </w:rPr>
        <w:t>Documents:</w:t>
      </w:r>
      <w:r>
        <w:tab/>
      </w:r>
      <w:r>
        <w:rPr>
          <w:lang w:val="en-US"/>
        </w:rPr>
        <w:t>ST/SG/AC.10/C.3/2018/109 (Netherlands)</w:t>
      </w:r>
    </w:p>
    <w:p w14:paraId="2976FFBB" w14:textId="77777777" w:rsidR="003B1F39" w:rsidRDefault="003B1F39" w:rsidP="003B1F39">
      <w:pPr>
        <w:pStyle w:val="SingleTxtG"/>
        <w:tabs>
          <w:tab w:val="left" w:pos="3119"/>
        </w:tabs>
        <w:spacing w:after="0"/>
        <w:rPr>
          <w:lang w:val="en-US"/>
        </w:rPr>
      </w:pPr>
      <w:r>
        <w:rPr>
          <w:i/>
          <w:iCs/>
        </w:rPr>
        <w:tab/>
      </w:r>
      <w:r>
        <w:rPr>
          <w:lang w:val="en-US"/>
        </w:rPr>
        <w:t>ST/SG/AC.10/C.3/2018/117 (Switzerland)</w:t>
      </w:r>
    </w:p>
    <w:p w14:paraId="553D604E" w14:textId="77777777" w:rsidR="003B1F39" w:rsidRDefault="003B1F39" w:rsidP="003B1F39">
      <w:pPr>
        <w:pStyle w:val="SingleTxtG"/>
        <w:tabs>
          <w:tab w:val="left" w:pos="3119"/>
        </w:tabs>
        <w:rPr>
          <w:lang w:val="en-US"/>
        </w:rPr>
      </w:pPr>
      <w:r>
        <w:rPr>
          <w:lang w:val="en-US"/>
        </w:rPr>
        <w:tab/>
        <w:t>ST/SG/AC.10/C.3/2018/118 (Switzerland)</w:t>
      </w:r>
    </w:p>
    <w:p w14:paraId="75E022A0" w14:textId="01E6D998" w:rsidR="003B1F39" w:rsidRDefault="003B1F39" w:rsidP="00035D90">
      <w:pPr>
        <w:pStyle w:val="SingleTxtG"/>
        <w:tabs>
          <w:tab w:val="left" w:pos="3119"/>
        </w:tabs>
        <w:jc w:val="left"/>
      </w:pPr>
      <w:r>
        <w:rPr>
          <w:i/>
          <w:iCs/>
        </w:rPr>
        <w:t>Informal documents:</w:t>
      </w:r>
      <w:r>
        <w:tab/>
      </w:r>
      <w:r>
        <w:rPr>
          <w:lang w:val="en-US"/>
        </w:rPr>
        <w:t>INF.28 (Switzerland)</w:t>
      </w:r>
      <w:r w:rsidR="00035D90">
        <w:rPr>
          <w:lang w:val="en-US"/>
        </w:rPr>
        <w:br/>
      </w:r>
      <w:r>
        <w:rPr>
          <w:i/>
          <w:iCs/>
        </w:rPr>
        <w:tab/>
      </w:r>
      <w:r>
        <w:t>INF.52 (Netherlands)</w:t>
      </w:r>
    </w:p>
    <w:p w14:paraId="27F83562" w14:textId="27BA0372" w:rsidR="00542F3D" w:rsidRDefault="00555602" w:rsidP="00542F3D">
      <w:pPr>
        <w:pStyle w:val="SingleTxtG"/>
        <w:tabs>
          <w:tab w:val="left" w:pos="1701"/>
          <w:tab w:val="left" w:pos="3119"/>
        </w:tabs>
        <w:rPr>
          <w:lang w:val="en-US"/>
        </w:rPr>
      </w:pPr>
      <w:r>
        <w:rPr>
          <w:lang w:val="en-US"/>
        </w:rPr>
        <w:t>78</w:t>
      </w:r>
      <w:r w:rsidR="00542F3D">
        <w:rPr>
          <w:lang w:val="en-US"/>
        </w:rPr>
        <w:t>.</w:t>
      </w:r>
      <w:r w:rsidR="00542F3D">
        <w:rPr>
          <w:lang w:val="en-US"/>
        </w:rPr>
        <w:tab/>
        <w:t xml:space="preserve">Most experts considered that “means of transport” was used in 1.1.1.2 as a general term and it should be interpreted as such in the context of this paragraph. However, it was pointed out that as the French version refers to “engins de transport”, which corresponds to “conveyance” as defined in 1.2.1, the scope of 1.1.1.2 could be interpreted differently depending on the linguistic version used. Several experts stressed the importance of solving this discrepancy to avoid different interpretations when transposing the recommendations into legal texts. While acknowledging the existing discrepancies in 1.1.1.2, several English speaking delegations were reluctant to replace “means of transport” with “conveyance” as proposed. They considered that as “conveyance” was currently almost exclusively used in the Model Regulations in the context of transport of radioactive material, using it in the broader context of 1.1.1.2 could have unintended consequences that should be carefully evaluated before taking a decision. </w:t>
      </w:r>
    </w:p>
    <w:p w14:paraId="7824CB30" w14:textId="04C1ABF4" w:rsidR="00542F3D" w:rsidRPr="00A224C6" w:rsidRDefault="00555602" w:rsidP="000B031F">
      <w:pPr>
        <w:pStyle w:val="SingleTxtG"/>
        <w:tabs>
          <w:tab w:val="left" w:pos="1701"/>
          <w:tab w:val="left" w:pos="3119"/>
        </w:tabs>
        <w:rPr>
          <w:lang w:val="en-US"/>
        </w:rPr>
      </w:pPr>
      <w:r>
        <w:rPr>
          <w:lang w:val="en-US"/>
        </w:rPr>
        <w:t>79</w:t>
      </w:r>
      <w:r w:rsidR="00542F3D" w:rsidRPr="00A224C6">
        <w:rPr>
          <w:lang w:val="en-US"/>
        </w:rPr>
        <w:t>.</w:t>
      </w:r>
      <w:r w:rsidR="00542F3D" w:rsidRPr="00A224C6">
        <w:rPr>
          <w:lang w:val="en-US"/>
        </w:rPr>
        <w:tab/>
        <w:t xml:space="preserve">On the alternative suggestion made by the expert from France to use “matériel de transport” in the French version instead of “engins de transport”, other French speaking experts agreed in principle that this could solve the inconsistency in 1.1.1.2, provided that, if needed, an equivalent English term could be found and considered acceptable by English speaking experts. It was also noted that this change would entail consequential amendments in other parts of the Model Regulations and the Manual of Tests and Criteria. </w:t>
      </w:r>
    </w:p>
    <w:p w14:paraId="352B99D6" w14:textId="573375BD" w:rsidR="00542F3D" w:rsidRDefault="00555602">
      <w:pPr>
        <w:pStyle w:val="SingleTxtG"/>
        <w:tabs>
          <w:tab w:val="left" w:pos="1701"/>
          <w:tab w:val="left" w:pos="3119"/>
        </w:tabs>
        <w:rPr>
          <w:lang w:val="en-US"/>
        </w:rPr>
      </w:pPr>
      <w:r>
        <w:rPr>
          <w:lang w:val="en-US"/>
        </w:rPr>
        <w:t>80</w:t>
      </w:r>
      <w:r w:rsidR="00542F3D">
        <w:rPr>
          <w:lang w:val="en-US"/>
        </w:rPr>
        <w:t>.</w:t>
      </w:r>
      <w:r w:rsidR="00542F3D">
        <w:rPr>
          <w:lang w:val="en-US"/>
        </w:rPr>
        <w:tab/>
        <w:t xml:space="preserve">As regards proposal 2 in document ST/SG/AC.10/C.3/2018/118, several delegations were not in favour of placing the text of current 1.1.1.2 (c) in a definition under Chapter 1.2, on the grounds that requirements should not be included in definitions. </w:t>
      </w:r>
    </w:p>
    <w:p w14:paraId="0FB7D4DD" w14:textId="56D1E8BF" w:rsidR="00542F3D" w:rsidRPr="00A224C6" w:rsidDel="00FE6579" w:rsidRDefault="00555602" w:rsidP="00542F3D">
      <w:pPr>
        <w:pStyle w:val="SingleTxtG"/>
        <w:tabs>
          <w:tab w:val="left" w:pos="1701"/>
          <w:tab w:val="left" w:pos="3119"/>
        </w:tabs>
        <w:rPr>
          <w:lang w:val="en-US"/>
        </w:rPr>
      </w:pPr>
      <w:r>
        <w:rPr>
          <w:lang w:val="en-US"/>
        </w:rPr>
        <w:lastRenderedPageBreak/>
        <w:t>81</w:t>
      </w:r>
      <w:r w:rsidR="00542F3D" w:rsidRPr="00A224C6" w:rsidDel="00FE6579">
        <w:rPr>
          <w:lang w:val="en-US"/>
        </w:rPr>
        <w:t>.</w:t>
      </w:r>
      <w:r w:rsidR="00542F3D" w:rsidRPr="00A224C6" w:rsidDel="00FE6579">
        <w:rPr>
          <w:lang w:val="en-US"/>
        </w:rPr>
        <w:tab/>
        <w:t xml:space="preserve">The representative of MDBTC expressed his preference for the text previously adopted by the Sub-Committee in </w:t>
      </w:r>
      <w:r w:rsidR="00542F3D" w:rsidRPr="00A224C6">
        <w:rPr>
          <w:lang w:val="en-US"/>
        </w:rPr>
        <w:t xml:space="preserve">document </w:t>
      </w:r>
      <w:r w:rsidR="00542F3D" w:rsidRPr="00A224C6" w:rsidDel="00FE6579">
        <w:rPr>
          <w:lang w:val="en-US"/>
        </w:rPr>
        <w:t xml:space="preserve">ST/SG/AC.10/C.3/2018/65. He felt that the proposed revised texts for 1.1.1.2 in </w:t>
      </w:r>
      <w:r w:rsidR="00542F3D" w:rsidRPr="00A224C6">
        <w:rPr>
          <w:lang w:val="en-US"/>
        </w:rPr>
        <w:t xml:space="preserve">document </w:t>
      </w:r>
      <w:r w:rsidR="00542F3D" w:rsidRPr="00A224C6" w:rsidDel="00FE6579">
        <w:rPr>
          <w:lang w:val="en-US"/>
        </w:rPr>
        <w:t xml:space="preserve">ST/SG/AC.10/C.3/2018/109 were unclear and could be misinterpreted.  </w:t>
      </w:r>
    </w:p>
    <w:p w14:paraId="2CD70CA8" w14:textId="14AC178F" w:rsidR="00542F3D" w:rsidRDefault="00555602" w:rsidP="00542F3D">
      <w:pPr>
        <w:pStyle w:val="SingleTxtG"/>
        <w:rPr>
          <w:lang w:val="en-US"/>
        </w:rPr>
      </w:pPr>
      <w:r>
        <w:t>82</w:t>
      </w:r>
      <w:r w:rsidR="005D4954">
        <w:t>.</w:t>
      </w:r>
      <w:r w:rsidR="005D4954">
        <w:tab/>
      </w:r>
      <w:r w:rsidR="00880C8C">
        <w:t xml:space="preserve">Consideration of the comments made during the discussion in plenary on the proposals </w:t>
      </w:r>
      <w:r w:rsidR="00542F3D">
        <w:t xml:space="preserve">in </w:t>
      </w:r>
      <w:r w:rsidR="00542F3D">
        <w:rPr>
          <w:lang w:val="en-US"/>
        </w:rPr>
        <w:t>ST/SG/AC.10/C.3/2018/109, ST/SG/AC.10/C.3/2018/117, ST/SG/AC.10/C.3/2018/118 and informal document INF.28</w:t>
      </w:r>
      <w:r w:rsidR="00542F3D">
        <w:t>, was entrusted to a</w:t>
      </w:r>
      <w:r w:rsidR="00BD1F38">
        <w:t>n informal group</w:t>
      </w:r>
      <w:r w:rsidR="00542F3D">
        <w:t xml:space="preserve"> that met during the breaks and developed the proposals in informal document INF.52. </w:t>
      </w:r>
    </w:p>
    <w:p w14:paraId="5E731A31" w14:textId="7B621229" w:rsidR="005D4954" w:rsidRDefault="00555602" w:rsidP="00A224C6">
      <w:pPr>
        <w:pStyle w:val="SingleTxtG"/>
        <w:rPr>
          <w:lang w:val="en-US"/>
        </w:rPr>
      </w:pPr>
      <w:r>
        <w:t>83</w:t>
      </w:r>
      <w:r w:rsidR="00542F3D">
        <w:t>.</w:t>
      </w:r>
      <w:r w:rsidR="00542F3D">
        <w:tab/>
        <w:t xml:space="preserve">After consideration in plenary, the Sub-Committee adopted proposals 1, 2, 3 and 4 in informal document INF.52 with some amendments, as well as </w:t>
      </w:r>
      <w:r w:rsidR="00B5433E">
        <w:t xml:space="preserve">the </w:t>
      </w:r>
      <w:r w:rsidR="00542F3D">
        <w:t>consequential amendments to 2.8.1.1 (see annex</w:t>
      </w:r>
      <w:r w:rsidR="00A73612">
        <w:t>es I and II</w:t>
      </w:r>
      <w:r w:rsidR="00542F3D">
        <w:t>). Consequently, the amendment to 1.1.1.2 (c) in document ST/SG/AC.10/C.3/2018/65 was withdrawn.</w:t>
      </w:r>
    </w:p>
    <w:p w14:paraId="1C88A341" w14:textId="35F3A0F8" w:rsidR="00FC1FE2" w:rsidRDefault="005D4954">
      <w:pPr>
        <w:pStyle w:val="H23G"/>
        <w:rPr>
          <w:lang w:val="en-US"/>
        </w:rPr>
      </w:pPr>
      <w:r>
        <w:rPr>
          <w:lang w:val="en-US"/>
        </w:rPr>
        <w:tab/>
      </w:r>
      <w:r w:rsidR="00FC1FE2">
        <w:rPr>
          <w:lang w:val="en-US"/>
        </w:rPr>
        <w:t>8.</w:t>
      </w:r>
      <w:r w:rsidR="00FC1FE2">
        <w:rPr>
          <w:lang w:val="en-US"/>
        </w:rPr>
        <w:tab/>
      </w:r>
      <w:r w:rsidR="00FC1FE2" w:rsidRPr="008248C1">
        <w:rPr>
          <w:lang w:val="en-US"/>
        </w:rPr>
        <w:t>Design pressure calculations</w:t>
      </w:r>
    </w:p>
    <w:p w14:paraId="40EBC5C3" w14:textId="77777777" w:rsidR="00FC1FE2" w:rsidRDefault="00FC1FE2" w:rsidP="00FC1FE2">
      <w:pPr>
        <w:pStyle w:val="SingleTxtG"/>
        <w:tabs>
          <w:tab w:val="left" w:pos="3119"/>
        </w:tabs>
        <w:rPr>
          <w:lang w:val="en-US"/>
        </w:rPr>
      </w:pPr>
      <w:r w:rsidRPr="00EF030F">
        <w:rPr>
          <w:i/>
          <w:iCs/>
        </w:rPr>
        <w:t>Document:</w:t>
      </w:r>
      <w:r w:rsidRPr="00634742">
        <w:tab/>
      </w:r>
      <w:r>
        <w:rPr>
          <w:lang w:val="en-US"/>
        </w:rPr>
        <w:t>ST/SG/AC.10/C.3/2018/92 (Russian Federation)</w:t>
      </w:r>
    </w:p>
    <w:p w14:paraId="300E98D1" w14:textId="0F4B7630" w:rsidR="00FC1FE2" w:rsidRDefault="00555602" w:rsidP="00FC1FE2">
      <w:pPr>
        <w:pStyle w:val="SingleTxtG"/>
        <w:tabs>
          <w:tab w:val="left" w:pos="1701"/>
          <w:tab w:val="left" w:pos="3119"/>
        </w:tabs>
        <w:rPr>
          <w:lang w:val="en-US"/>
        </w:rPr>
      </w:pPr>
      <w:r>
        <w:rPr>
          <w:lang w:val="en-US"/>
        </w:rPr>
        <w:t>84</w:t>
      </w:r>
      <w:r w:rsidR="00FC1FE2">
        <w:rPr>
          <w:lang w:val="en-US"/>
        </w:rPr>
        <w:t>.</w:t>
      </w:r>
      <w:r w:rsidR="00FC1FE2">
        <w:rPr>
          <w:lang w:val="en-US"/>
        </w:rPr>
        <w:tab/>
        <w:t xml:space="preserve">Some experts were not in favour of the proposal. They felt that if adopted, it would result in thinner tanks being allowed and raised safety concerns. </w:t>
      </w:r>
    </w:p>
    <w:p w14:paraId="3B094EA3" w14:textId="28AD9086" w:rsidR="00FC1FE2" w:rsidRDefault="00555602" w:rsidP="00FC1FE2">
      <w:pPr>
        <w:pStyle w:val="SingleTxtG"/>
        <w:tabs>
          <w:tab w:val="left" w:pos="1701"/>
          <w:tab w:val="left" w:pos="3119"/>
        </w:tabs>
        <w:rPr>
          <w:lang w:val="en-US"/>
        </w:rPr>
      </w:pPr>
      <w:r>
        <w:rPr>
          <w:lang w:val="en-US"/>
        </w:rPr>
        <w:t>85</w:t>
      </w:r>
      <w:r w:rsidR="00FC1FE2">
        <w:rPr>
          <w:lang w:val="en-US"/>
        </w:rPr>
        <w:t>.</w:t>
      </w:r>
      <w:r w:rsidR="00FC1FE2">
        <w:rPr>
          <w:lang w:val="en-US"/>
        </w:rPr>
        <w:tab/>
        <w:t>Others on the contrary felt that it would increase accuracy of the calculation and supported it in principle but considered that it required further development before it could be adopted. They noticed for instance that it could also apply to small portable tanks and those intended for the carriage of other substances addressed in 6.7.2 and 6.7.4.</w:t>
      </w:r>
    </w:p>
    <w:p w14:paraId="6F1A8C58" w14:textId="258E3A53" w:rsidR="00FC1FE2" w:rsidRDefault="00555602" w:rsidP="00FC1FE2">
      <w:pPr>
        <w:pStyle w:val="SingleTxtG"/>
        <w:tabs>
          <w:tab w:val="left" w:pos="1701"/>
          <w:tab w:val="left" w:pos="3119"/>
        </w:tabs>
        <w:rPr>
          <w:lang w:val="en-US"/>
        </w:rPr>
      </w:pPr>
      <w:r>
        <w:rPr>
          <w:lang w:val="en-US"/>
        </w:rPr>
        <w:t>86</w:t>
      </w:r>
      <w:r w:rsidR="00FC1FE2">
        <w:rPr>
          <w:lang w:val="en-US"/>
        </w:rPr>
        <w:t>.</w:t>
      </w:r>
      <w:r w:rsidR="00FC1FE2">
        <w:rPr>
          <w:lang w:val="en-US"/>
        </w:rPr>
        <w:tab/>
        <w:t xml:space="preserve">The expert from the Russian Federation said that he would submit a revised proposal for the next session that would take account of the comments made. </w:t>
      </w:r>
    </w:p>
    <w:p w14:paraId="6886F098" w14:textId="77777777" w:rsidR="00FC1FE2" w:rsidRDefault="00FC1FE2" w:rsidP="00FC1FE2">
      <w:pPr>
        <w:pStyle w:val="H23G"/>
        <w:rPr>
          <w:lang w:val="en-US"/>
        </w:rPr>
      </w:pPr>
      <w:r>
        <w:rPr>
          <w:lang w:val="en-US"/>
        </w:rPr>
        <w:tab/>
        <w:t>9.</w:t>
      </w:r>
      <w:r>
        <w:rPr>
          <w:lang w:val="en-US"/>
        </w:rPr>
        <w:tab/>
      </w:r>
      <w:r w:rsidRPr="008248C1">
        <w:rPr>
          <w:lang w:val="en-US"/>
        </w:rPr>
        <w:t>Harmoni</w:t>
      </w:r>
      <w:r>
        <w:rPr>
          <w:lang w:val="en-US"/>
        </w:rPr>
        <w:t>z</w:t>
      </w:r>
      <w:r w:rsidRPr="008248C1">
        <w:rPr>
          <w:lang w:val="en-US"/>
        </w:rPr>
        <w:t>ation of the requirement “structurally serviceable”</w:t>
      </w:r>
    </w:p>
    <w:p w14:paraId="1BC8F553" w14:textId="77777777" w:rsidR="00FC1FE2" w:rsidRDefault="00FC1FE2" w:rsidP="00FC1FE2">
      <w:pPr>
        <w:pStyle w:val="SingleTxtG"/>
        <w:tabs>
          <w:tab w:val="left" w:pos="3119"/>
        </w:tabs>
        <w:rPr>
          <w:lang w:val="en-US"/>
        </w:rPr>
      </w:pPr>
      <w:r w:rsidRPr="00EF030F">
        <w:rPr>
          <w:i/>
          <w:iCs/>
        </w:rPr>
        <w:t>Document:</w:t>
      </w:r>
      <w:r w:rsidRPr="00634742">
        <w:tab/>
      </w:r>
      <w:r>
        <w:rPr>
          <w:lang w:val="en-US"/>
        </w:rPr>
        <w:t>ST/SG/AC.10/C.3/2018/98 (Germany, CEFIC)</w:t>
      </w:r>
    </w:p>
    <w:p w14:paraId="07783F88" w14:textId="5C604D3B" w:rsidR="00FC1FE2" w:rsidRDefault="00555602" w:rsidP="00FC1FE2">
      <w:pPr>
        <w:pStyle w:val="SingleTxtG"/>
        <w:tabs>
          <w:tab w:val="left" w:pos="1701"/>
          <w:tab w:val="left" w:pos="3119"/>
        </w:tabs>
        <w:rPr>
          <w:lang w:val="en-US"/>
        </w:rPr>
      </w:pPr>
      <w:r>
        <w:rPr>
          <w:lang w:val="en-US"/>
        </w:rPr>
        <w:t>87</w:t>
      </w:r>
      <w:r w:rsidR="00FC1FE2">
        <w:rPr>
          <w:lang w:val="en-US"/>
        </w:rPr>
        <w:t>.</w:t>
      </w:r>
      <w:r w:rsidR="00FC1FE2">
        <w:rPr>
          <w:lang w:val="en-US"/>
        </w:rPr>
        <w:tab/>
        <w:t>Most of the delegations who expressed an opinion considered that the current text could be improved and supported the proposal in principle. In the light of the detailed comments provided orally during the discussion</w:t>
      </w:r>
      <w:r w:rsidR="00BD1F38">
        <w:rPr>
          <w:lang w:val="en-US"/>
        </w:rPr>
        <w:t>,</w:t>
      </w:r>
      <w:r w:rsidR="00FC1FE2">
        <w:rPr>
          <w:lang w:val="en-US"/>
        </w:rPr>
        <w:t xml:space="preserve"> the expert from Germany invited experts to send them to her in writing. She informed the Sub-Committee that she would work with CEFIC and any other interested delegations in revising the proposal to take account of the comments made with the aim to submitting a revised document for the next session.</w:t>
      </w:r>
    </w:p>
    <w:p w14:paraId="2B29F7BC" w14:textId="3DB9D0D8" w:rsidR="00FC1FE2" w:rsidRDefault="00555602" w:rsidP="00FC1FE2">
      <w:pPr>
        <w:pStyle w:val="SingleTxtG"/>
        <w:rPr>
          <w:lang w:val="en-US"/>
        </w:rPr>
      </w:pPr>
      <w:r>
        <w:rPr>
          <w:lang w:val="en-US"/>
        </w:rPr>
        <w:t>88</w:t>
      </w:r>
      <w:r w:rsidR="00FC1FE2">
        <w:rPr>
          <w:lang w:val="en-US"/>
        </w:rPr>
        <w:t>.</w:t>
      </w:r>
      <w:r w:rsidR="00FC1FE2">
        <w:rPr>
          <w:lang w:val="en-US"/>
        </w:rPr>
        <w:tab/>
        <w:t xml:space="preserve">On a comment </w:t>
      </w:r>
      <w:r w:rsidR="00B0571E">
        <w:rPr>
          <w:lang w:val="en-US"/>
        </w:rPr>
        <w:t xml:space="preserve">questioning </w:t>
      </w:r>
      <w:r w:rsidR="00FC1FE2">
        <w:rPr>
          <w:lang w:val="en-US"/>
        </w:rPr>
        <w:t xml:space="preserve">whether this issue should be addressed individually by each of the modes, the expert from Germany recalled that the need to harmonize this requirement had been raised first for land transport at the RID/ADR/ADN Joint Meeting and that, noting the multimodal nature of the issue, she had been requested to address it within the Sub-Committee. </w:t>
      </w:r>
    </w:p>
    <w:p w14:paraId="0411AB09" w14:textId="77777777" w:rsidR="00FC1FE2" w:rsidRDefault="00FC1FE2" w:rsidP="00FC1FE2">
      <w:pPr>
        <w:pStyle w:val="H23G"/>
        <w:rPr>
          <w:lang w:val="en-US"/>
        </w:rPr>
      </w:pPr>
      <w:r>
        <w:rPr>
          <w:lang w:val="en-US"/>
        </w:rPr>
        <w:tab/>
        <w:t>10.</w:t>
      </w:r>
      <w:r>
        <w:rPr>
          <w:lang w:val="en-US"/>
        </w:rPr>
        <w:tab/>
      </w:r>
      <w:r w:rsidRPr="008248C1">
        <w:rPr>
          <w:lang w:val="en-US"/>
        </w:rPr>
        <w:t>Chapter 6.7 and portable tank special provisions</w:t>
      </w:r>
    </w:p>
    <w:p w14:paraId="34DB338A" w14:textId="77777777" w:rsidR="00FC1FE2" w:rsidRDefault="00FC1FE2" w:rsidP="00FC1FE2">
      <w:pPr>
        <w:pStyle w:val="SingleTxtG"/>
        <w:tabs>
          <w:tab w:val="left" w:pos="3119"/>
        </w:tabs>
        <w:rPr>
          <w:lang w:val="en-US"/>
        </w:rPr>
      </w:pPr>
      <w:r w:rsidRPr="00EF030F">
        <w:rPr>
          <w:i/>
          <w:iCs/>
        </w:rPr>
        <w:t>Document:</w:t>
      </w:r>
      <w:r w:rsidRPr="00634742">
        <w:tab/>
      </w:r>
      <w:r>
        <w:rPr>
          <w:lang w:val="en-US"/>
        </w:rPr>
        <w:t>ST/SG/AC.10/C.3/2018/100 (Belgium)</w:t>
      </w:r>
    </w:p>
    <w:p w14:paraId="5855029C" w14:textId="7C5F9B76" w:rsidR="00FC1FE2" w:rsidRDefault="00555602" w:rsidP="00FC1FE2">
      <w:pPr>
        <w:pStyle w:val="SingleTxtG"/>
        <w:tabs>
          <w:tab w:val="left" w:pos="1701"/>
          <w:tab w:val="left" w:pos="3119"/>
        </w:tabs>
        <w:rPr>
          <w:lang w:val="en-US"/>
        </w:rPr>
      </w:pPr>
      <w:r>
        <w:rPr>
          <w:lang w:val="en-US"/>
        </w:rPr>
        <w:t>89</w:t>
      </w:r>
      <w:r w:rsidR="00FC1FE2" w:rsidRPr="00B81072">
        <w:rPr>
          <w:lang w:val="en-US"/>
        </w:rPr>
        <w:t>.</w:t>
      </w:r>
      <w:r w:rsidR="00FC1FE2" w:rsidRPr="00B81072">
        <w:rPr>
          <w:lang w:val="en-US"/>
        </w:rPr>
        <w:tab/>
        <w:t>The Sub-</w:t>
      </w:r>
      <w:r w:rsidR="00FC1FE2" w:rsidRPr="0017055C">
        <w:rPr>
          <w:lang w:val="en-US"/>
        </w:rPr>
        <w:t>Committee adopted proposals 1, 2 and 4 (see annex</w:t>
      </w:r>
      <w:r w:rsidR="00A73612">
        <w:rPr>
          <w:lang w:val="en-US"/>
        </w:rPr>
        <w:t xml:space="preserve"> I</w:t>
      </w:r>
      <w:r w:rsidR="00FC1FE2" w:rsidRPr="0017055C">
        <w:rPr>
          <w:lang w:val="en-US"/>
        </w:rPr>
        <w:t xml:space="preserve">). The amendments in proposal 3 were </w:t>
      </w:r>
      <w:r w:rsidR="00FC1FE2">
        <w:rPr>
          <w:lang w:val="en-US"/>
        </w:rPr>
        <w:t>deemed u</w:t>
      </w:r>
      <w:r w:rsidR="00FC1FE2" w:rsidRPr="0017055C">
        <w:rPr>
          <w:lang w:val="en-US"/>
        </w:rPr>
        <w:t>nnecessary and were not adopted.</w:t>
      </w:r>
    </w:p>
    <w:p w14:paraId="089CEF48" w14:textId="77777777" w:rsidR="0031479D" w:rsidRDefault="0031479D">
      <w:pPr>
        <w:suppressAutoHyphens w:val="0"/>
        <w:spacing w:line="240" w:lineRule="auto"/>
        <w:rPr>
          <w:b/>
          <w:lang w:val="en-US"/>
        </w:rPr>
      </w:pPr>
      <w:r>
        <w:rPr>
          <w:lang w:val="en-US"/>
        </w:rPr>
        <w:br w:type="page"/>
      </w:r>
    </w:p>
    <w:p w14:paraId="5051ED78" w14:textId="4E0DF5D6" w:rsidR="00FC1FE2" w:rsidRPr="0091675D" w:rsidRDefault="00FC1FE2" w:rsidP="00FC1FE2">
      <w:pPr>
        <w:pStyle w:val="H23G"/>
        <w:rPr>
          <w:lang w:val="en-US"/>
        </w:rPr>
      </w:pPr>
      <w:r>
        <w:rPr>
          <w:lang w:val="en-US"/>
        </w:rPr>
        <w:lastRenderedPageBreak/>
        <w:tab/>
        <w:t>11.</w:t>
      </w:r>
      <w:r>
        <w:rPr>
          <w:lang w:val="en-US"/>
        </w:rPr>
        <w:tab/>
        <w:t>Portable tanks with expired inspection dates and portable tanks switched from general cargo to dangerous goods content</w:t>
      </w:r>
    </w:p>
    <w:p w14:paraId="720FE36A" w14:textId="77777777" w:rsidR="00FC1FE2" w:rsidRDefault="00FC1FE2" w:rsidP="00FC1FE2">
      <w:pPr>
        <w:pStyle w:val="SingleTxtG"/>
        <w:tabs>
          <w:tab w:val="left" w:pos="3119"/>
        </w:tabs>
        <w:spacing w:after="0"/>
        <w:ind w:left="3119" w:hanging="1985"/>
        <w:rPr>
          <w:lang w:val="en-US"/>
        </w:rPr>
      </w:pPr>
      <w:r w:rsidRPr="00EF030F">
        <w:rPr>
          <w:i/>
          <w:iCs/>
        </w:rPr>
        <w:t>Document:</w:t>
      </w:r>
      <w:r w:rsidRPr="00634742">
        <w:tab/>
      </w:r>
      <w:r>
        <w:rPr>
          <w:lang w:val="en-US"/>
        </w:rPr>
        <w:t>ST/SG/AC.10/C.3/2018/112 (United Kingdom)</w:t>
      </w:r>
    </w:p>
    <w:p w14:paraId="64C0E72C" w14:textId="7ADC05B5" w:rsidR="00FC1FE2" w:rsidRPr="0017055C" w:rsidRDefault="00555602" w:rsidP="00871E01">
      <w:pPr>
        <w:pStyle w:val="SingleTxtG"/>
        <w:tabs>
          <w:tab w:val="left" w:pos="1701"/>
          <w:tab w:val="left" w:pos="3119"/>
        </w:tabs>
        <w:spacing w:before="120"/>
        <w:rPr>
          <w:lang w:val="en-US"/>
        </w:rPr>
      </w:pPr>
      <w:r>
        <w:rPr>
          <w:lang w:val="en-US"/>
        </w:rPr>
        <w:t>90</w:t>
      </w:r>
      <w:r w:rsidR="00FC1FE2" w:rsidRPr="004B1A41">
        <w:rPr>
          <w:lang w:val="en-US"/>
        </w:rPr>
        <w:t>.</w:t>
      </w:r>
      <w:r w:rsidR="00FC1FE2" w:rsidRPr="004B1A41">
        <w:rPr>
          <w:lang w:val="en-US"/>
        </w:rPr>
        <w:tab/>
        <w:t>The proposal in paragraph 4 of the document was adopted with some changes</w:t>
      </w:r>
      <w:r w:rsidR="00B0571E">
        <w:rPr>
          <w:lang w:val="en-US"/>
        </w:rPr>
        <w:t xml:space="preserve"> as well as</w:t>
      </w:r>
      <w:r w:rsidR="00FC1FE2" w:rsidRPr="004B1A41">
        <w:rPr>
          <w:lang w:val="en-US"/>
        </w:rPr>
        <w:t xml:space="preserve"> the consequential amendments to 6.7.3.15.6 and 6.7.4.14.6, proposed orally by the expert from the United Kingdom (see annex</w:t>
      </w:r>
      <w:r w:rsidR="00A73612">
        <w:rPr>
          <w:lang w:val="en-US"/>
        </w:rPr>
        <w:t xml:space="preserve"> I</w:t>
      </w:r>
      <w:r w:rsidR="00FC1FE2" w:rsidRPr="004B1A41">
        <w:rPr>
          <w:lang w:val="en-US"/>
        </w:rPr>
        <w:t>).</w:t>
      </w:r>
    </w:p>
    <w:p w14:paraId="502BBEED" w14:textId="265A6931" w:rsidR="008B5281" w:rsidRPr="00352D63" w:rsidRDefault="00FC1FE2" w:rsidP="003B1F39">
      <w:pPr>
        <w:pStyle w:val="H23G"/>
        <w:rPr>
          <w:lang w:val="en-US"/>
        </w:rPr>
      </w:pPr>
      <w:r>
        <w:rPr>
          <w:color w:val="FF0000"/>
          <w:lang w:val="en-US"/>
        </w:rPr>
        <w:tab/>
      </w:r>
      <w:r w:rsidR="008B5281">
        <w:rPr>
          <w:lang w:val="en-US"/>
        </w:rPr>
        <w:t>12.</w:t>
      </w:r>
      <w:r w:rsidR="008B5281">
        <w:rPr>
          <w:lang w:val="en-US"/>
        </w:rPr>
        <w:tab/>
      </w:r>
      <w:r w:rsidR="008B5281" w:rsidRPr="00352D63">
        <w:rPr>
          <w:lang w:val="en-US"/>
        </w:rPr>
        <w:t>Minimum wall thickness for metal IBCs</w:t>
      </w:r>
    </w:p>
    <w:p w14:paraId="39485BB2" w14:textId="77777777" w:rsidR="008B5281" w:rsidRDefault="008B5281" w:rsidP="008B5281">
      <w:pPr>
        <w:pStyle w:val="SingleTxtG"/>
        <w:tabs>
          <w:tab w:val="left" w:pos="3119"/>
        </w:tabs>
        <w:rPr>
          <w:lang w:val="en-US"/>
        </w:rPr>
      </w:pPr>
      <w:r w:rsidRPr="00352D63">
        <w:rPr>
          <w:i/>
          <w:iCs/>
        </w:rPr>
        <w:t>Document:</w:t>
      </w:r>
      <w:r w:rsidRPr="00352D63">
        <w:tab/>
      </w:r>
      <w:r w:rsidRPr="00352D63">
        <w:rPr>
          <w:lang w:val="en-US"/>
        </w:rPr>
        <w:t>ST/SG/AC.10/C.3/2018/96 (SSCA)</w:t>
      </w:r>
    </w:p>
    <w:p w14:paraId="27F28E16" w14:textId="77777777" w:rsidR="008B5281" w:rsidRDefault="008B5281" w:rsidP="008B5281">
      <w:pPr>
        <w:pStyle w:val="SingleTxtG"/>
        <w:tabs>
          <w:tab w:val="left" w:pos="3119"/>
        </w:tabs>
        <w:rPr>
          <w:color w:val="000000" w:themeColor="text1"/>
        </w:rPr>
      </w:pPr>
      <w:r w:rsidRPr="00796456">
        <w:rPr>
          <w:i/>
          <w:iCs/>
          <w:color w:val="000000" w:themeColor="text1"/>
        </w:rPr>
        <w:t xml:space="preserve">Informal document: </w:t>
      </w:r>
      <w:r>
        <w:rPr>
          <w:i/>
          <w:iCs/>
          <w:color w:val="000000" w:themeColor="text1"/>
        </w:rPr>
        <w:tab/>
      </w:r>
      <w:r w:rsidRPr="00796456">
        <w:rPr>
          <w:color w:val="000000" w:themeColor="text1"/>
        </w:rPr>
        <w:t>INF.4</w:t>
      </w:r>
      <w:r>
        <w:rPr>
          <w:color w:val="000000" w:themeColor="text1"/>
        </w:rPr>
        <w:t>7</w:t>
      </w:r>
      <w:r w:rsidRPr="00796456">
        <w:rPr>
          <w:color w:val="000000" w:themeColor="text1"/>
        </w:rPr>
        <w:t xml:space="preserve"> (</w:t>
      </w:r>
      <w:r w:rsidRPr="00352D63">
        <w:rPr>
          <w:lang w:val="en-US"/>
        </w:rPr>
        <w:t>SSCA</w:t>
      </w:r>
      <w:r w:rsidRPr="00796456">
        <w:rPr>
          <w:color w:val="000000" w:themeColor="text1"/>
        </w:rPr>
        <w:t>)</w:t>
      </w:r>
    </w:p>
    <w:p w14:paraId="1F41B457" w14:textId="52141912" w:rsidR="008B5281" w:rsidRDefault="00555602" w:rsidP="008B5281">
      <w:pPr>
        <w:pStyle w:val="SingleTxtG"/>
        <w:spacing w:line="240" w:lineRule="auto"/>
      </w:pPr>
      <w:r>
        <w:t>91</w:t>
      </w:r>
      <w:r w:rsidR="008B5281" w:rsidRPr="003C139F">
        <w:t>.</w:t>
      </w:r>
      <w:r w:rsidR="008B5281">
        <w:tab/>
        <w:t xml:space="preserve">The expert from Australia did not support the proposal. She indicated that given the road and extreme heat conditions in some parts of the country, several incidents involving metal IBCs had been reported. These included for instance, failure of metal IBCs (e.g.: leaks, cracks) due, among other factors, to the high amplitude of vibration during transport. She pointed out that these metal IBCs had passed all the required tests and complied with the current requirements and was concerned that the metal IBCs with thinner walls that would be allowed following the adoption of the proposal by SSCA would be even more vulnerable than the current ones when exposed to extreme conditions. </w:t>
      </w:r>
    </w:p>
    <w:p w14:paraId="36B038FC" w14:textId="681295E9" w:rsidR="008B5281" w:rsidRDefault="00555602" w:rsidP="008B5281">
      <w:pPr>
        <w:pStyle w:val="SingleTxtG"/>
        <w:spacing w:line="240" w:lineRule="auto"/>
      </w:pPr>
      <w:r>
        <w:t>92</w:t>
      </w:r>
      <w:r w:rsidR="008B5281">
        <w:t>.</w:t>
      </w:r>
      <w:r w:rsidR="008B5281">
        <w:tab/>
        <w:t xml:space="preserve">A few others expressed some reluctance to adopt the proposal at this time as they considered that parameters such as the performance </w:t>
      </w:r>
      <w:r w:rsidR="008B5281" w:rsidRPr="006B4498">
        <w:rPr>
          <w:i/>
          <w:iCs/>
        </w:rPr>
        <w:t>versus</w:t>
      </w:r>
      <w:r w:rsidR="008B5281">
        <w:t xml:space="preserve"> the structural criteria, or the results of the penetration and corrosion resistance tests of thinner metal IBCs should be evaluated. </w:t>
      </w:r>
    </w:p>
    <w:p w14:paraId="2186EB0C" w14:textId="31E395C4" w:rsidR="008B5281" w:rsidRDefault="00555602" w:rsidP="008B5281">
      <w:pPr>
        <w:pStyle w:val="SingleTxtG"/>
        <w:tabs>
          <w:tab w:val="left" w:pos="1701"/>
        </w:tabs>
        <w:spacing w:line="240" w:lineRule="auto"/>
      </w:pPr>
      <w:r>
        <w:t>93</w:t>
      </w:r>
      <w:r w:rsidR="008B5281">
        <w:t xml:space="preserve">. </w:t>
      </w:r>
      <w:r w:rsidR="008B5281">
        <w:tab/>
        <w:t xml:space="preserve">Several others on the contrary were in favour of the proposal as they considered </w:t>
      </w:r>
      <w:r w:rsidR="00BC4F4D">
        <w:t xml:space="preserve">it </w:t>
      </w:r>
      <w:r w:rsidR="008B5281">
        <w:t xml:space="preserve">was consistent with technological progress in the manufacturing industry, while maintaining the current level of safety. They also pointed out </w:t>
      </w:r>
      <w:r w:rsidR="00BD1F38">
        <w:t xml:space="preserve">that </w:t>
      </w:r>
      <w:r w:rsidR="008B5281">
        <w:t xml:space="preserve">there was no minimum thickness requirement for other types of packagings. </w:t>
      </w:r>
    </w:p>
    <w:p w14:paraId="4FF3FA7C" w14:textId="65D3FD18" w:rsidR="008B5281" w:rsidRDefault="00555602" w:rsidP="008B5281">
      <w:pPr>
        <w:pStyle w:val="SingleTxtG"/>
        <w:spacing w:line="240" w:lineRule="auto"/>
      </w:pPr>
      <w:r>
        <w:t>94</w:t>
      </w:r>
      <w:r w:rsidR="008B5281">
        <w:t>.</w:t>
      </w:r>
      <w:r w:rsidR="008B5281">
        <w:tab/>
      </w:r>
      <w:r w:rsidR="00BC4F4D">
        <w:t>T</w:t>
      </w:r>
      <w:r w:rsidR="008B5281">
        <w:t>he Sub-Committee adopted by majority the amendments to 6.5.5.1.6 in informal document INF.47</w:t>
      </w:r>
      <w:r w:rsidR="00BC4F4D">
        <w:t xml:space="preserve"> (see annex</w:t>
      </w:r>
      <w:r w:rsidR="00A73612">
        <w:t xml:space="preserve"> I</w:t>
      </w:r>
      <w:r w:rsidR="00BC4F4D">
        <w:t>). T</w:t>
      </w:r>
      <w:r w:rsidR="008B5281">
        <w:t xml:space="preserve">he deletion of “minimum” from the additional marks requirements on the fifth row of the table in 6.5.2.2.1 </w:t>
      </w:r>
      <w:r w:rsidR="00BC4F4D">
        <w:t>was not adopted</w:t>
      </w:r>
      <w:r w:rsidR="008B5281">
        <w:t xml:space="preserve">. </w:t>
      </w:r>
    </w:p>
    <w:p w14:paraId="0CB82647" w14:textId="42F19BFD" w:rsidR="008001FA" w:rsidRDefault="005F4B09" w:rsidP="005F4B09">
      <w:pPr>
        <w:pStyle w:val="HChG"/>
      </w:pPr>
      <w:r>
        <w:tab/>
        <w:t>IV.</w:t>
      </w:r>
      <w:r>
        <w:tab/>
        <w:t>Global harmonization of transport of dangerous goods regulations with the Model Regulations (agenda item 3)</w:t>
      </w:r>
    </w:p>
    <w:p w14:paraId="5AC8AF87" w14:textId="77777777" w:rsidR="008B5281" w:rsidRDefault="008B5281" w:rsidP="008B5281">
      <w:pPr>
        <w:pStyle w:val="H23G"/>
      </w:pPr>
      <w:r>
        <w:tab/>
      </w:r>
      <w:r>
        <w:tab/>
        <w:t>Recommendations made by the ICAO Dangerous Goods Panel</w:t>
      </w:r>
    </w:p>
    <w:p w14:paraId="6002B571" w14:textId="77777777" w:rsidR="008B5281" w:rsidRDefault="008B5281" w:rsidP="008B5281">
      <w:pPr>
        <w:pStyle w:val="SingleTxtG"/>
        <w:tabs>
          <w:tab w:val="left" w:pos="3119"/>
        </w:tabs>
        <w:rPr>
          <w:lang w:val="en-US"/>
        </w:rPr>
      </w:pPr>
      <w:r>
        <w:rPr>
          <w:i/>
          <w:iCs/>
        </w:rPr>
        <w:t>Informal document</w:t>
      </w:r>
      <w:r w:rsidRPr="00EF030F">
        <w:rPr>
          <w:i/>
          <w:iCs/>
        </w:rPr>
        <w:t>:</w:t>
      </w:r>
      <w:r w:rsidRPr="00634742">
        <w:tab/>
      </w:r>
      <w:r>
        <w:rPr>
          <w:lang w:val="en-US"/>
        </w:rPr>
        <w:t>INF.38 (ICAO)</w:t>
      </w:r>
    </w:p>
    <w:p w14:paraId="62F7A35D" w14:textId="10A163CE" w:rsidR="008B5281" w:rsidRPr="0004560E" w:rsidRDefault="00555602" w:rsidP="008B5281">
      <w:pPr>
        <w:pStyle w:val="SingleTxtG"/>
      </w:pPr>
      <w:r>
        <w:t>95</w:t>
      </w:r>
      <w:r w:rsidR="008B5281">
        <w:t>.</w:t>
      </w:r>
      <w:r w:rsidR="008B5281">
        <w:tab/>
      </w:r>
      <w:r w:rsidR="008B5281" w:rsidRPr="0004560E">
        <w:t xml:space="preserve">The amendments to </w:t>
      </w:r>
      <w:r w:rsidR="00344881">
        <w:t xml:space="preserve">5.2.1.1, </w:t>
      </w:r>
      <w:r w:rsidR="008B5281" w:rsidRPr="0004560E">
        <w:t>6.1.3.1 and 6.3.4.1 were adopted (see annex</w:t>
      </w:r>
      <w:r w:rsidR="00A73612">
        <w:t xml:space="preserve"> I</w:t>
      </w:r>
      <w:r w:rsidR="008B5281">
        <w:t>).</w:t>
      </w:r>
    </w:p>
    <w:p w14:paraId="0FE0FC25" w14:textId="4F140DD2" w:rsidR="005F4B09" w:rsidRDefault="005F4B09" w:rsidP="005F4B09">
      <w:pPr>
        <w:pStyle w:val="HChG"/>
      </w:pPr>
      <w:r>
        <w:tab/>
        <w:t>V.</w:t>
      </w:r>
      <w:r>
        <w:tab/>
        <w:t>Guiding principles for the Model Regulations (agenda item 4)</w:t>
      </w:r>
    </w:p>
    <w:p w14:paraId="7E221DEC" w14:textId="14611C72" w:rsidR="008B5281" w:rsidRPr="0030648C" w:rsidRDefault="00555602" w:rsidP="008B5281">
      <w:pPr>
        <w:pStyle w:val="SingleTxtG"/>
      </w:pPr>
      <w:r>
        <w:t>96</w:t>
      </w:r>
      <w:r w:rsidR="008B5281">
        <w:t>.</w:t>
      </w:r>
      <w:r w:rsidR="008B5281">
        <w:tab/>
        <w:t xml:space="preserve">A member of the secretariat recalled the importance of keeping the guiding principles up to date and invited experts to submit proposals, as need be, to this end. </w:t>
      </w:r>
    </w:p>
    <w:p w14:paraId="3AC5FCEF" w14:textId="2BBAC4DF" w:rsidR="005F4B09" w:rsidRDefault="005F4B09" w:rsidP="005F4B09">
      <w:pPr>
        <w:pStyle w:val="HChG"/>
      </w:pPr>
      <w:r>
        <w:lastRenderedPageBreak/>
        <w:tab/>
        <w:t>VI.</w:t>
      </w:r>
      <w:r>
        <w:tab/>
        <w:t>Cooperation with the International Atomic Energy Agency (agenda item 5)</w:t>
      </w:r>
    </w:p>
    <w:p w14:paraId="62D3161D" w14:textId="0B9C89D0" w:rsidR="008B5281" w:rsidRPr="00CB710B" w:rsidRDefault="00555602" w:rsidP="008B5281">
      <w:pPr>
        <w:pStyle w:val="SingleTxtG"/>
      </w:pPr>
      <w:r>
        <w:t>97</w:t>
      </w:r>
      <w:r w:rsidR="008B5281" w:rsidRPr="00CB710B">
        <w:t>.</w:t>
      </w:r>
      <w:r w:rsidR="008B5281" w:rsidRPr="00CB710B">
        <w:tab/>
        <w:t xml:space="preserve">Document </w:t>
      </w:r>
      <w:r w:rsidR="008B5281" w:rsidRPr="003224CC">
        <w:t xml:space="preserve">ST/SG/AC.10/C.3/2018/108 </w:t>
      </w:r>
      <w:r w:rsidR="008B5281">
        <w:t>was discussed under agenda item 2 </w:t>
      </w:r>
      <w:r w:rsidR="0031479D">
        <w:t>(f) (see </w:t>
      </w:r>
      <w:r w:rsidR="008B5281" w:rsidRPr="003224CC">
        <w:t>paragraphs</w:t>
      </w:r>
      <w:r w:rsidR="00B0571E">
        <w:t xml:space="preserve"> </w:t>
      </w:r>
      <w:r w:rsidR="00BD1F38">
        <w:t>73</w:t>
      </w:r>
      <w:r w:rsidR="00B0571E">
        <w:t xml:space="preserve"> and </w:t>
      </w:r>
      <w:r w:rsidR="00BD1F38">
        <w:t>74</w:t>
      </w:r>
      <w:r w:rsidR="008B5281" w:rsidRPr="003224CC">
        <w:t>)</w:t>
      </w:r>
      <w:r w:rsidR="008B5281">
        <w:t>.</w:t>
      </w:r>
    </w:p>
    <w:p w14:paraId="5FAFD620" w14:textId="60992B50" w:rsidR="005F4B09" w:rsidRDefault="005F4B09" w:rsidP="005F4B09">
      <w:pPr>
        <w:pStyle w:val="HChG"/>
      </w:pPr>
      <w:r>
        <w:tab/>
        <w:t>VII.</w:t>
      </w:r>
      <w:r>
        <w:tab/>
        <w:t>New proposals for amendments to the Model Regulations on the Transport of Dangerous Goods (agenda item 6)</w:t>
      </w:r>
    </w:p>
    <w:p w14:paraId="4364B797" w14:textId="1D616A48" w:rsidR="008B5281" w:rsidRDefault="00E22987" w:rsidP="00E22987">
      <w:pPr>
        <w:pStyle w:val="H1G"/>
      </w:pPr>
      <w:r>
        <w:tab/>
        <w:t>A</w:t>
      </w:r>
      <w:r w:rsidR="008B5281">
        <w:t>.</w:t>
      </w:r>
      <w:r w:rsidR="008B5281">
        <w:tab/>
      </w:r>
      <w:r w:rsidR="008B5281" w:rsidRPr="0001452E">
        <w:t>Bundles of cylinders</w:t>
      </w:r>
    </w:p>
    <w:p w14:paraId="09E3EC68" w14:textId="77777777" w:rsidR="008B5281" w:rsidRDefault="008B5281" w:rsidP="008B5281">
      <w:pPr>
        <w:pStyle w:val="SingleTxtG"/>
        <w:tabs>
          <w:tab w:val="left" w:pos="3119"/>
        </w:tabs>
        <w:spacing w:after="240"/>
        <w:ind w:left="3119" w:hanging="1985"/>
        <w:rPr>
          <w:lang w:val="en-US"/>
        </w:rPr>
      </w:pPr>
      <w:r w:rsidRPr="00EF030F">
        <w:rPr>
          <w:i/>
          <w:iCs/>
        </w:rPr>
        <w:t>Document:</w:t>
      </w:r>
      <w:r w:rsidRPr="00634742">
        <w:tab/>
      </w:r>
      <w:r>
        <w:rPr>
          <w:lang w:val="en-US"/>
        </w:rPr>
        <w:t>ST/SG/AC.10/C.3/2018/89 (Canada)</w:t>
      </w:r>
    </w:p>
    <w:p w14:paraId="07F10F60" w14:textId="6315A47A" w:rsidR="008B5281" w:rsidRPr="00CB710B" w:rsidRDefault="00555602" w:rsidP="008B5281">
      <w:pPr>
        <w:pStyle w:val="SingleTxtG"/>
      </w:pPr>
      <w:r>
        <w:t>98</w:t>
      </w:r>
      <w:r w:rsidR="008B5281" w:rsidRPr="00CB710B">
        <w:t>.</w:t>
      </w:r>
      <w:r w:rsidR="008B5281" w:rsidRPr="00CB710B">
        <w:tab/>
        <w:t xml:space="preserve">Most experts did not support the proposal. They considered that the current provisions were clear and provided an appropriate level of safety. </w:t>
      </w:r>
      <w:r w:rsidR="008B5281">
        <w:t>Additionally, i</w:t>
      </w:r>
      <w:r w:rsidR="008B5281" w:rsidRPr="00CB710B">
        <w:t>t was noted that with the adoption of the proposal from Canada</w:t>
      </w:r>
      <w:r w:rsidR="00B0571E">
        <w:t>,</w:t>
      </w:r>
      <w:r w:rsidR="008B5281" w:rsidRPr="00CB710B">
        <w:t xml:space="preserve"> non-UN cylinders and cylinders built in accordance with previous ISO standards would no longer be allowed. </w:t>
      </w:r>
    </w:p>
    <w:p w14:paraId="45E79530" w14:textId="5053CF56" w:rsidR="008B5281" w:rsidRPr="00CB710B" w:rsidRDefault="00555602" w:rsidP="008B5281">
      <w:pPr>
        <w:pStyle w:val="SingleTxtG"/>
      </w:pPr>
      <w:r>
        <w:t>99</w:t>
      </w:r>
      <w:r w:rsidR="008B5281" w:rsidRPr="00CB710B">
        <w:t>.</w:t>
      </w:r>
      <w:r w:rsidR="008B5281" w:rsidRPr="00CB710B">
        <w:tab/>
        <w:t xml:space="preserve">In the light of the comments made, the expert from Canada withdrew the proposal. </w:t>
      </w:r>
    </w:p>
    <w:p w14:paraId="60533EEF" w14:textId="10D4952E" w:rsidR="008B5281" w:rsidRDefault="008B5281" w:rsidP="00E22987">
      <w:pPr>
        <w:pStyle w:val="H1G"/>
      </w:pPr>
      <w:r>
        <w:tab/>
      </w:r>
      <w:r w:rsidR="00E22987">
        <w:t>B</w:t>
      </w:r>
      <w:r>
        <w:t>.</w:t>
      </w:r>
      <w:r>
        <w:tab/>
        <w:t>Classification of</w:t>
      </w:r>
      <w:r w:rsidRPr="006C5D1A">
        <w:t xml:space="preserve"> UN 2383 Dipropylamine</w:t>
      </w:r>
    </w:p>
    <w:p w14:paraId="74A23143" w14:textId="77777777" w:rsidR="008B5281" w:rsidRDefault="008B5281" w:rsidP="008B5281">
      <w:pPr>
        <w:pStyle w:val="SingleTxtG"/>
        <w:tabs>
          <w:tab w:val="left" w:pos="3119"/>
        </w:tabs>
        <w:ind w:left="3119" w:hanging="1985"/>
        <w:rPr>
          <w:lang w:val="en-US"/>
        </w:rPr>
      </w:pPr>
      <w:r w:rsidRPr="00EF030F">
        <w:rPr>
          <w:i/>
          <w:iCs/>
        </w:rPr>
        <w:t>Document:</w:t>
      </w:r>
      <w:r w:rsidRPr="00634742">
        <w:tab/>
      </w:r>
      <w:r>
        <w:rPr>
          <w:lang w:val="en-US"/>
        </w:rPr>
        <w:t>ST/SG/AC.10/C.3/2018/63 (Germany)</w:t>
      </w:r>
    </w:p>
    <w:p w14:paraId="0D48BA66" w14:textId="77777777" w:rsidR="008B5281" w:rsidRDefault="008B5281" w:rsidP="008B5281">
      <w:pPr>
        <w:pStyle w:val="SingleTxtG"/>
        <w:tabs>
          <w:tab w:val="left" w:pos="3119"/>
        </w:tabs>
        <w:rPr>
          <w:lang w:val="en-US"/>
        </w:rPr>
      </w:pPr>
      <w:r>
        <w:rPr>
          <w:i/>
          <w:iCs/>
        </w:rPr>
        <w:t>Informal document</w:t>
      </w:r>
      <w:r w:rsidRPr="00EF030F">
        <w:rPr>
          <w:i/>
          <w:iCs/>
        </w:rPr>
        <w:t>:</w:t>
      </w:r>
      <w:r w:rsidRPr="00634742">
        <w:tab/>
      </w:r>
      <w:r>
        <w:rPr>
          <w:lang w:val="en-US"/>
        </w:rPr>
        <w:t>INF.5 (Germany)</w:t>
      </w:r>
    </w:p>
    <w:p w14:paraId="3A2393A0" w14:textId="270CD354" w:rsidR="008B5281" w:rsidRDefault="00555602" w:rsidP="008B5281">
      <w:pPr>
        <w:pStyle w:val="SingleTxtG"/>
        <w:tabs>
          <w:tab w:val="left" w:pos="1701"/>
        </w:tabs>
      </w:pPr>
      <w:r>
        <w:t>100</w:t>
      </w:r>
      <w:r w:rsidR="008B5281">
        <w:t>.</w:t>
      </w:r>
      <w:r w:rsidR="008B5281">
        <w:tab/>
        <w:t xml:space="preserve">Several experts pointed out that the proposal did not take account of current toxicological data that might justify classification of this substance in class 8 (packing group I) with flammable and toxic subsidiary </w:t>
      </w:r>
      <w:r w:rsidR="00BC4F4D">
        <w:t xml:space="preserve">hazards </w:t>
      </w:r>
      <w:r w:rsidR="008B5281">
        <w:t xml:space="preserve">(3+6.1). </w:t>
      </w:r>
    </w:p>
    <w:p w14:paraId="01E3404A" w14:textId="7017BC01" w:rsidR="008B5281" w:rsidRDefault="00555602" w:rsidP="008B5281">
      <w:pPr>
        <w:pStyle w:val="SingleTxtG"/>
        <w:tabs>
          <w:tab w:val="left" w:pos="1701"/>
          <w:tab w:val="left" w:pos="3119"/>
        </w:tabs>
      </w:pPr>
      <w:r>
        <w:t>101</w:t>
      </w:r>
      <w:r w:rsidR="008B5281">
        <w:t>.</w:t>
      </w:r>
      <w:r w:rsidR="008B5281">
        <w:tab/>
        <w:t xml:space="preserve">The expert from China explained that for volatile substances, differentiation between toxicity by inhalation of vapours and inhalation of mists was made based on the saturated vapour concentration (SVC) and noted that this information was missing in the documents from Germany. Therefore, it was not clear whether the </w:t>
      </w:r>
      <w:r w:rsidR="00BC4F4D">
        <w:t>LC</w:t>
      </w:r>
      <w:r w:rsidR="00BC4F4D" w:rsidRPr="00FD7FE5">
        <w:rPr>
          <w:vertAlign w:val="subscript"/>
        </w:rPr>
        <w:t>50</w:t>
      </w:r>
      <w:r w:rsidR="00BC4F4D">
        <w:t xml:space="preserve"> </w:t>
      </w:r>
      <w:r w:rsidR="008B5281">
        <w:t>inhalation value referred to vapours or mists.</w:t>
      </w:r>
    </w:p>
    <w:p w14:paraId="0625FE39" w14:textId="677C9774" w:rsidR="008B5281" w:rsidRDefault="00555602" w:rsidP="00BC4F4D">
      <w:pPr>
        <w:pStyle w:val="SingleTxtG"/>
        <w:tabs>
          <w:tab w:val="left" w:pos="1701"/>
          <w:tab w:val="left" w:pos="3119"/>
        </w:tabs>
      </w:pPr>
      <w:r>
        <w:t>102</w:t>
      </w:r>
      <w:r w:rsidR="008B5281">
        <w:t>.</w:t>
      </w:r>
      <w:r w:rsidR="008B5281">
        <w:tab/>
        <w:t xml:space="preserve">The expert from the United States of America noted that for </w:t>
      </w:r>
      <w:r w:rsidR="00BC4F4D">
        <w:t xml:space="preserve">certain </w:t>
      </w:r>
      <w:r w:rsidR="008B5281">
        <w:t>Class 8 substances</w:t>
      </w:r>
      <w:r w:rsidR="00B0571E">
        <w:t>,</w:t>
      </w:r>
      <w:r w:rsidR="008B5281">
        <w:t xml:space="preserve"> </w:t>
      </w:r>
      <w:r w:rsidR="00BC4F4D">
        <w:t>a division 6.1 subsidiary hazard is not required to be identified</w:t>
      </w:r>
      <w:r w:rsidR="008B5281">
        <w:t xml:space="preserve">. He volunteered to work with others in the development of </w:t>
      </w:r>
      <w:r w:rsidR="00BC4F4D">
        <w:t xml:space="preserve">appropriate guiding </w:t>
      </w:r>
      <w:r w:rsidR="008B5281">
        <w:t xml:space="preserve">principles for </w:t>
      </w:r>
      <w:r w:rsidR="00BC4F4D">
        <w:t>the Model Regulations</w:t>
      </w:r>
      <w:r w:rsidR="008B5281">
        <w:t xml:space="preserve">. </w:t>
      </w:r>
    </w:p>
    <w:p w14:paraId="7A96920B" w14:textId="31CB2E35" w:rsidR="008B5281" w:rsidRDefault="00555602" w:rsidP="008B5281">
      <w:pPr>
        <w:pStyle w:val="SingleTxtG"/>
        <w:tabs>
          <w:tab w:val="left" w:pos="1701"/>
          <w:tab w:val="left" w:pos="3119"/>
        </w:tabs>
      </w:pPr>
      <w:r>
        <w:t>103</w:t>
      </w:r>
      <w:r w:rsidR="008B5281">
        <w:t>.</w:t>
      </w:r>
      <w:r w:rsidR="008B5281">
        <w:tab/>
        <w:t xml:space="preserve">The expert from Germany said that she would review the data as suggested by the Sub-Committee and would consider submitting a revised proposal in the future that would take account </w:t>
      </w:r>
      <w:r w:rsidR="00BD1F38">
        <w:t xml:space="preserve">of </w:t>
      </w:r>
      <w:r w:rsidR="008B5281">
        <w:t xml:space="preserve">the comments made. </w:t>
      </w:r>
    </w:p>
    <w:p w14:paraId="7D6DAFD0" w14:textId="04470E2B" w:rsidR="008B5281" w:rsidRDefault="008B5281" w:rsidP="00E22987">
      <w:pPr>
        <w:pStyle w:val="H1G"/>
      </w:pPr>
      <w:r>
        <w:tab/>
      </w:r>
      <w:r w:rsidR="00E22987">
        <w:t>C</w:t>
      </w:r>
      <w:r>
        <w:t>.</w:t>
      </w:r>
      <w:r>
        <w:tab/>
      </w:r>
      <w:r w:rsidRPr="006C5D1A">
        <w:t>Articles containing dangerous goods in excepted quantities</w:t>
      </w:r>
    </w:p>
    <w:p w14:paraId="73FEAAFB" w14:textId="77777777" w:rsidR="008B5281" w:rsidRDefault="008B5281" w:rsidP="008B5281">
      <w:pPr>
        <w:pStyle w:val="SingleTxtG"/>
        <w:tabs>
          <w:tab w:val="left" w:pos="3119"/>
        </w:tabs>
        <w:spacing w:after="240"/>
        <w:ind w:left="3119" w:hanging="1985"/>
        <w:rPr>
          <w:lang w:val="en-US"/>
        </w:rPr>
      </w:pPr>
      <w:r w:rsidRPr="00EF030F">
        <w:rPr>
          <w:i/>
          <w:iCs/>
        </w:rPr>
        <w:t>Document:</w:t>
      </w:r>
      <w:r w:rsidRPr="00634742">
        <w:tab/>
      </w:r>
      <w:r>
        <w:rPr>
          <w:lang w:val="en-US"/>
        </w:rPr>
        <w:t>ST/SG/AC.10/C.3/2018/72 (Germany)</w:t>
      </w:r>
    </w:p>
    <w:p w14:paraId="0BF25918" w14:textId="73CA210D" w:rsidR="008B5281" w:rsidRDefault="00555602" w:rsidP="008B5281">
      <w:pPr>
        <w:pStyle w:val="SingleTxtG"/>
        <w:tabs>
          <w:tab w:val="left" w:pos="1701"/>
          <w:tab w:val="left" w:pos="3119"/>
        </w:tabs>
        <w:spacing w:line="240" w:lineRule="auto"/>
      </w:pPr>
      <w:r>
        <w:t>104</w:t>
      </w:r>
      <w:r w:rsidR="008B5281">
        <w:t>.</w:t>
      </w:r>
      <w:r w:rsidR="008B5281">
        <w:tab/>
        <w:t>Only a</w:t>
      </w:r>
      <w:r w:rsidR="008B5281" w:rsidRPr="0094588C">
        <w:t xml:space="preserve"> few experts supported the proposal</w:t>
      </w:r>
      <w:r w:rsidR="008B5281">
        <w:t xml:space="preserve">. Many others on the contrary were not in favour. Some pointed out that UN 3363 articles were already allowed to be transported in limited quantities in accordance with special provision 301 and did not see a reason to introduce additional quantity exemptions.  Others were concerned about how the reference </w:t>
      </w:r>
      <w:r w:rsidR="008B5281">
        <w:lastRenderedPageBreak/>
        <w:t xml:space="preserve">to the codes in column 7b of the Dangerous Goods List in the proposal could be interpreted for dangerous goods in machinery and apparatus, as such codes provided maximum net quantities per inner and outer packagings. </w:t>
      </w:r>
    </w:p>
    <w:p w14:paraId="6B50B593" w14:textId="2C62E55D" w:rsidR="008B5281" w:rsidRPr="0094588C" w:rsidRDefault="00555602" w:rsidP="008B5281">
      <w:pPr>
        <w:pStyle w:val="SingleTxtG"/>
        <w:tabs>
          <w:tab w:val="left" w:pos="1701"/>
          <w:tab w:val="left" w:pos="3119"/>
        </w:tabs>
      </w:pPr>
      <w:r>
        <w:t>105</w:t>
      </w:r>
      <w:r w:rsidR="008B5281">
        <w:t>.</w:t>
      </w:r>
      <w:r w:rsidR="008B5281">
        <w:tab/>
        <w:t>Given the lack of support, the expert from Germany withdrew the proposal.</w:t>
      </w:r>
    </w:p>
    <w:p w14:paraId="1252A9AA" w14:textId="11A7FDBA" w:rsidR="008B5281" w:rsidRDefault="008B5281" w:rsidP="00E22987">
      <w:pPr>
        <w:pStyle w:val="H1G"/>
      </w:pPr>
      <w:r>
        <w:tab/>
      </w:r>
      <w:r w:rsidR="00E22987">
        <w:t>D</w:t>
      </w:r>
      <w:r>
        <w:t>.</w:t>
      </w:r>
      <w:r>
        <w:tab/>
      </w:r>
      <w:r w:rsidRPr="006C5D1A">
        <w:t xml:space="preserve">Corrections to </w:t>
      </w:r>
      <w:r>
        <w:t xml:space="preserve">P200 (3)(c), P301 (l) and (2) and special provision 172 (d) </w:t>
      </w:r>
    </w:p>
    <w:p w14:paraId="0843898C" w14:textId="77777777" w:rsidR="008B5281" w:rsidRDefault="008B5281" w:rsidP="008B5281">
      <w:pPr>
        <w:pStyle w:val="SingleTxtG"/>
        <w:tabs>
          <w:tab w:val="left" w:pos="3119"/>
        </w:tabs>
        <w:ind w:left="3119" w:hanging="1985"/>
        <w:rPr>
          <w:lang w:val="en-US"/>
        </w:rPr>
      </w:pPr>
      <w:r w:rsidRPr="00EF030F">
        <w:rPr>
          <w:i/>
          <w:iCs/>
        </w:rPr>
        <w:t>Document:</w:t>
      </w:r>
      <w:r w:rsidRPr="00634742">
        <w:tab/>
      </w:r>
      <w:r>
        <w:rPr>
          <w:lang w:val="en-US"/>
        </w:rPr>
        <w:t>ST/SG/AC.10/C.3/2018/73 (Germany)</w:t>
      </w:r>
    </w:p>
    <w:p w14:paraId="22006879" w14:textId="77777777" w:rsidR="008B5281" w:rsidRDefault="008B5281" w:rsidP="008B5281">
      <w:pPr>
        <w:pStyle w:val="SingleTxtG"/>
        <w:tabs>
          <w:tab w:val="left" w:pos="3119"/>
        </w:tabs>
        <w:rPr>
          <w:lang w:val="en-US"/>
        </w:rPr>
      </w:pPr>
      <w:r>
        <w:rPr>
          <w:i/>
          <w:iCs/>
        </w:rPr>
        <w:t>Informal document</w:t>
      </w:r>
      <w:r w:rsidRPr="00EF030F">
        <w:rPr>
          <w:i/>
          <w:iCs/>
        </w:rPr>
        <w:t>:</w:t>
      </w:r>
      <w:r w:rsidRPr="00634742">
        <w:tab/>
      </w:r>
      <w:r>
        <w:rPr>
          <w:lang w:val="en-US"/>
        </w:rPr>
        <w:t>INF.40 (IATA)</w:t>
      </w:r>
    </w:p>
    <w:p w14:paraId="04B4AEAC" w14:textId="1A7E8066" w:rsidR="008B5281" w:rsidRDefault="00555602" w:rsidP="008B5281">
      <w:pPr>
        <w:pStyle w:val="SingleTxtG"/>
        <w:tabs>
          <w:tab w:val="left" w:pos="1701"/>
          <w:tab w:val="left" w:pos="3119"/>
        </w:tabs>
      </w:pPr>
      <w:r>
        <w:t>106</w:t>
      </w:r>
      <w:r w:rsidR="008B5281">
        <w:t>.</w:t>
      </w:r>
      <w:r w:rsidR="008B5281">
        <w:tab/>
        <w:t>The Sub-Committee adopted the corrections to P200 (3)(c) and P301 (l) and (2) in the document from Germany. The correction to special provision 172 (d) was adopted as amended by informal document INF.40 (see annex</w:t>
      </w:r>
      <w:r w:rsidR="00A73612">
        <w:t xml:space="preserve"> I</w:t>
      </w:r>
      <w:r w:rsidR="008B5281">
        <w:t>).</w:t>
      </w:r>
    </w:p>
    <w:p w14:paraId="229D9F41" w14:textId="20B5541E" w:rsidR="008B5281" w:rsidRPr="00496038" w:rsidRDefault="00555602" w:rsidP="008B5281">
      <w:pPr>
        <w:pStyle w:val="SingleTxtG"/>
        <w:tabs>
          <w:tab w:val="left" w:pos="1701"/>
          <w:tab w:val="left" w:pos="3119"/>
        </w:tabs>
        <w:spacing w:after="240"/>
      </w:pPr>
      <w:r>
        <w:rPr>
          <w:lang w:val="en-US"/>
        </w:rPr>
        <w:t>107</w:t>
      </w:r>
      <w:r w:rsidR="008B5281">
        <w:rPr>
          <w:lang w:val="en-US"/>
        </w:rPr>
        <w:t>.</w:t>
      </w:r>
      <w:r w:rsidR="008B5281">
        <w:rPr>
          <w:lang w:val="en-US"/>
        </w:rPr>
        <w:tab/>
        <w:t>On the use of “rigid plastics” and “solid plastics” raised in paragraphs 4 and 8 in document ST/SG/AC.10/C.3/2018/73</w:t>
      </w:r>
      <w:r w:rsidR="00BD1F38">
        <w:rPr>
          <w:lang w:val="en-US"/>
        </w:rPr>
        <w:t>,</w:t>
      </w:r>
      <w:r w:rsidR="008B5281">
        <w:rPr>
          <w:lang w:val="en-US"/>
        </w:rPr>
        <w:t xml:space="preserve"> the Sub-Committee agreed that the terminology should be harmonized. The experts from the United Kingdom and Australia warned however that both terms were not necessarily equivalent as they designated different types of packagings (e.g. expanded plastics were “rigid plastics” not “solid plastics”). The expert from Germany took note of the comments made and said that she would consider submitting a proposal in the future to address this matter. </w:t>
      </w:r>
    </w:p>
    <w:p w14:paraId="7C2E97F6" w14:textId="3C4D243D" w:rsidR="002C277F" w:rsidRDefault="002C277F" w:rsidP="00E22987">
      <w:pPr>
        <w:pStyle w:val="H1G"/>
      </w:pPr>
      <w:r>
        <w:tab/>
      </w:r>
      <w:r w:rsidR="00E22987">
        <w:t>E</w:t>
      </w:r>
      <w:r>
        <w:t>.</w:t>
      </w:r>
      <w:r>
        <w:tab/>
      </w:r>
      <w:r w:rsidRPr="006C5D1A">
        <w:t>Applicability of LP906</w:t>
      </w:r>
    </w:p>
    <w:p w14:paraId="2288B5A6" w14:textId="111B401E" w:rsidR="002C277F" w:rsidRDefault="002C277F" w:rsidP="00035D90">
      <w:pPr>
        <w:pStyle w:val="SingleTxtG"/>
        <w:tabs>
          <w:tab w:val="left" w:pos="3119"/>
        </w:tabs>
        <w:spacing w:after="240"/>
        <w:ind w:left="2552" w:hanging="1418"/>
        <w:jc w:val="left"/>
        <w:rPr>
          <w:lang w:val="en-US"/>
        </w:rPr>
      </w:pPr>
      <w:r w:rsidRPr="00EF030F">
        <w:rPr>
          <w:i/>
          <w:iCs/>
        </w:rPr>
        <w:t>Document:</w:t>
      </w:r>
      <w:r w:rsidRPr="00634742">
        <w:tab/>
      </w:r>
      <w:r w:rsidR="00035D90">
        <w:tab/>
      </w:r>
      <w:r>
        <w:rPr>
          <w:lang w:val="en-US"/>
        </w:rPr>
        <w:t xml:space="preserve">ST/SG/AC.10/C.3/2018/83 (RECHARGE, OICA, PRBA, </w:t>
      </w:r>
      <w:r w:rsidR="00035D90">
        <w:rPr>
          <w:lang w:val="en-US"/>
        </w:rPr>
        <w:tab/>
      </w:r>
      <w:r>
        <w:rPr>
          <w:lang w:val="en-US"/>
        </w:rPr>
        <w:t>COSTHA)</w:t>
      </w:r>
    </w:p>
    <w:p w14:paraId="71AD6FC0" w14:textId="37C48B90" w:rsidR="002C277F" w:rsidRDefault="00555602" w:rsidP="002C277F">
      <w:pPr>
        <w:pStyle w:val="SingleTxtG"/>
        <w:tabs>
          <w:tab w:val="left" w:pos="1701"/>
          <w:tab w:val="left" w:pos="3119"/>
        </w:tabs>
        <w:spacing w:after="240"/>
        <w:rPr>
          <w:lang w:val="en-US"/>
        </w:rPr>
      </w:pPr>
      <w:r>
        <w:rPr>
          <w:lang w:val="en-US"/>
        </w:rPr>
        <w:t>108</w:t>
      </w:r>
      <w:r w:rsidR="002C277F" w:rsidRPr="00EE6D82">
        <w:rPr>
          <w:lang w:val="en-US"/>
        </w:rPr>
        <w:t>.</w:t>
      </w:r>
      <w:r w:rsidR="002C277F" w:rsidRPr="00EE6D82">
        <w:rPr>
          <w:lang w:val="en-US"/>
        </w:rPr>
        <w:tab/>
        <w:t>Although some experts supported the proposal in principle, the majority of those who</w:t>
      </w:r>
      <w:r w:rsidR="002C277F">
        <w:rPr>
          <w:lang w:val="en-US"/>
        </w:rPr>
        <w:t xml:space="preserve"> spoke expressed concerns about allowing the transport of more than one large battery in a large packaging. They recalled that LP906 had been developed to address transport of a single large battery only and not of multiple batteries, the latter being already covered by P911. They agreed that should LP906 be modified to allow transport of more than one large battery, it should specifically exclude batteries covered by P911 and contain segregation provisions to avoid the risk of dangerous reactions between them. It was also mentioned that LP904 could be amended accordingly. </w:t>
      </w:r>
    </w:p>
    <w:p w14:paraId="25A51FC6" w14:textId="0A2AF459" w:rsidR="002C277F" w:rsidRDefault="00555602" w:rsidP="002C277F">
      <w:pPr>
        <w:pStyle w:val="SingleTxtG"/>
        <w:tabs>
          <w:tab w:val="left" w:pos="1701"/>
          <w:tab w:val="left" w:pos="3119"/>
        </w:tabs>
        <w:spacing w:after="240"/>
        <w:rPr>
          <w:lang w:val="en-US"/>
        </w:rPr>
      </w:pPr>
      <w:r>
        <w:rPr>
          <w:lang w:val="en-US"/>
        </w:rPr>
        <w:t>109</w:t>
      </w:r>
      <w:r w:rsidR="002C277F">
        <w:rPr>
          <w:lang w:val="en-US"/>
        </w:rPr>
        <w:t>.</w:t>
      </w:r>
      <w:r w:rsidR="002C277F">
        <w:rPr>
          <w:lang w:val="en-US"/>
        </w:rPr>
        <w:tab/>
        <w:t>Others did not support the proposal. They believed that large damaged or defective batteries being</w:t>
      </w:r>
      <w:r w:rsidR="00B0571E">
        <w:rPr>
          <w:lang w:val="en-US"/>
        </w:rPr>
        <w:t>,</w:t>
      </w:r>
      <w:r w:rsidR="002C277F">
        <w:rPr>
          <w:lang w:val="en-US"/>
        </w:rPr>
        <w:t xml:space="preserve"> by nature, less safe than undamaged and non-defective ones, it would not be advisable to allow several of them being transported together in the same large packaging. </w:t>
      </w:r>
    </w:p>
    <w:p w14:paraId="4AC0AEB1" w14:textId="2CECB66D" w:rsidR="002C277F" w:rsidRDefault="00555602" w:rsidP="002C277F">
      <w:pPr>
        <w:pStyle w:val="SingleTxtG"/>
        <w:tabs>
          <w:tab w:val="left" w:pos="1701"/>
          <w:tab w:val="left" w:pos="3119"/>
        </w:tabs>
        <w:spacing w:after="240"/>
        <w:rPr>
          <w:lang w:val="en-US"/>
        </w:rPr>
      </w:pPr>
      <w:r>
        <w:rPr>
          <w:lang w:val="en-US"/>
        </w:rPr>
        <w:t>110</w:t>
      </w:r>
      <w:r w:rsidR="002C277F">
        <w:rPr>
          <w:lang w:val="en-US"/>
        </w:rPr>
        <w:t>.</w:t>
      </w:r>
      <w:r w:rsidR="002C277F">
        <w:rPr>
          <w:lang w:val="en-US"/>
        </w:rPr>
        <w:tab/>
        <w:t xml:space="preserve">Some others suggested that more information about the frequency of these type of transport would help to understand whether provisions should be included in the Model Regulations or dealt with at national level to the discretion of competent authorities. </w:t>
      </w:r>
    </w:p>
    <w:p w14:paraId="5CFAAC3E" w14:textId="101F4100" w:rsidR="002C277F" w:rsidRDefault="00555602" w:rsidP="002C277F">
      <w:pPr>
        <w:pStyle w:val="SingleTxtG"/>
        <w:tabs>
          <w:tab w:val="left" w:pos="1701"/>
          <w:tab w:val="left" w:pos="3119"/>
        </w:tabs>
        <w:spacing w:after="240"/>
        <w:rPr>
          <w:lang w:val="en-US"/>
        </w:rPr>
      </w:pPr>
      <w:r>
        <w:rPr>
          <w:lang w:val="en-US"/>
        </w:rPr>
        <w:t>111</w:t>
      </w:r>
      <w:r w:rsidR="002C277F">
        <w:rPr>
          <w:lang w:val="en-US"/>
        </w:rPr>
        <w:t>.</w:t>
      </w:r>
      <w:r w:rsidR="002C277F">
        <w:rPr>
          <w:lang w:val="en-US"/>
        </w:rPr>
        <w:tab/>
        <w:t xml:space="preserve">On the need for provisions for the transport of these large batteries, the representative of RECHARGE explained that with the current development towards e-mobility, it was expected that transport of these large damaged batteries would become more and more frequent in a near future. He concluded that he would take all comments made into account and come back with a revised proposal during the next biennium. </w:t>
      </w:r>
    </w:p>
    <w:p w14:paraId="17AEAE9A" w14:textId="3296E7E8" w:rsidR="002C277F" w:rsidRDefault="002C277F" w:rsidP="00E22987">
      <w:pPr>
        <w:pStyle w:val="H1G"/>
      </w:pPr>
      <w:r>
        <w:lastRenderedPageBreak/>
        <w:tab/>
      </w:r>
      <w:r w:rsidR="00E22987">
        <w:t>F</w:t>
      </w:r>
      <w:r>
        <w:t>.</w:t>
      </w:r>
      <w:r>
        <w:tab/>
      </w:r>
      <w:r w:rsidRPr="0001452E">
        <w:t>Transport of polymerizing substances as waste</w:t>
      </w:r>
    </w:p>
    <w:p w14:paraId="236D08E3" w14:textId="77777777" w:rsidR="002C277F" w:rsidRDefault="002C277F" w:rsidP="002C277F">
      <w:pPr>
        <w:pStyle w:val="SingleTxtG"/>
        <w:tabs>
          <w:tab w:val="left" w:pos="3119"/>
        </w:tabs>
        <w:spacing w:after="240"/>
        <w:ind w:left="3119" w:hanging="1985"/>
        <w:rPr>
          <w:lang w:val="en-US"/>
        </w:rPr>
      </w:pPr>
      <w:r w:rsidRPr="00EF030F">
        <w:rPr>
          <w:i/>
          <w:iCs/>
        </w:rPr>
        <w:t>Document:</w:t>
      </w:r>
      <w:r w:rsidRPr="00634742">
        <w:tab/>
      </w:r>
      <w:r>
        <w:rPr>
          <w:lang w:val="en-US"/>
        </w:rPr>
        <w:t>ST/SG/AC.10/C.3/2018/97 (Germany)</w:t>
      </w:r>
    </w:p>
    <w:p w14:paraId="28FAB61F" w14:textId="0F7B5FF7" w:rsidR="002C277F" w:rsidRDefault="00555602" w:rsidP="002C277F">
      <w:pPr>
        <w:pStyle w:val="SingleTxtG"/>
        <w:tabs>
          <w:tab w:val="left" w:pos="1701"/>
          <w:tab w:val="left" w:pos="3119"/>
        </w:tabs>
        <w:spacing w:after="240"/>
        <w:rPr>
          <w:lang w:val="en-US"/>
        </w:rPr>
      </w:pPr>
      <w:r>
        <w:rPr>
          <w:lang w:val="en-US"/>
        </w:rPr>
        <w:t>112</w:t>
      </w:r>
      <w:r w:rsidR="002C277F">
        <w:rPr>
          <w:lang w:val="en-US"/>
        </w:rPr>
        <w:t>.</w:t>
      </w:r>
      <w:r w:rsidR="002C277F">
        <w:rPr>
          <w:lang w:val="en-US"/>
        </w:rPr>
        <w:tab/>
        <w:t xml:space="preserve">Several experts considered that there was not enough experience with transport of these substances to consider the proposed exemptions. Others believed that the type of transport described by Germany should </w:t>
      </w:r>
      <w:r w:rsidR="00B0571E">
        <w:rPr>
          <w:lang w:val="en-US"/>
        </w:rPr>
        <w:t>comply</w:t>
      </w:r>
      <w:r w:rsidR="002C277F">
        <w:rPr>
          <w:lang w:val="en-US"/>
        </w:rPr>
        <w:t xml:space="preserve"> with the provisions established by competent authorities.</w:t>
      </w:r>
    </w:p>
    <w:p w14:paraId="35298BF1" w14:textId="7BBEEFE1" w:rsidR="002C277F" w:rsidRDefault="00555602" w:rsidP="002C277F">
      <w:pPr>
        <w:pStyle w:val="SingleTxtG"/>
        <w:tabs>
          <w:tab w:val="left" w:pos="1701"/>
          <w:tab w:val="left" w:pos="3119"/>
        </w:tabs>
        <w:spacing w:after="240"/>
        <w:rPr>
          <w:lang w:val="en-US"/>
        </w:rPr>
      </w:pPr>
      <w:r>
        <w:rPr>
          <w:lang w:val="en-US"/>
        </w:rPr>
        <w:t>113</w:t>
      </w:r>
      <w:r w:rsidR="002C277F">
        <w:rPr>
          <w:lang w:val="en-US"/>
        </w:rPr>
        <w:t>.</w:t>
      </w:r>
      <w:r w:rsidR="002C277F">
        <w:rPr>
          <w:lang w:val="en-US"/>
        </w:rPr>
        <w:tab/>
        <w:t>In the light of the comments made, the representative of Germany withdr</w:t>
      </w:r>
      <w:r w:rsidR="00BC4F4D">
        <w:rPr>
          <w:lang w:val="en-US"/>
        </w:rPr>
        <w:t>e</w:t>
      </w:r>
      <w:r w:rsidR="002C277F">
        <w:rPr>
          <w:lang w:val="en-US"/>
        </w:rPr>
        <w:t>w the proposal and, considering that the issue seemed to be more relevant for regional than for worldwide transport, said that she would bring it to the attention of the RID/ADR/ADN Joint Meeting.</w:t>
      </w:r>
    </w:p>
    <w:p w14:paraId="15EA7DBC" w14:textId="797D356C" w:rsidR="002C277F" w:rsidRDefault="002C277F" w:rsidP="00E22987">
      <w:pPr>
        <w:pStyle w:val="H1G"/>
      </w:pPr>
      <w:r>
        <w:tab/>
      </w:r>
      <w:r w:rsidR="00E22987">
        <w:t>G</w:t>
      </w:r>
      <w:r>
        <w:t>.</w:t>
      </w:r>
      <w:r>
        <w:tab/>
      </w:r>
      <w:r w:rsidRPr="0001452E">
        <w:t>Optical differentiation of labels for gases</w:t>
      </w:r>
    </w:p>
    <w:p w14:paraId="5FE65F53" w14:textId="77777777" w:rsidR="002C277F" w:rsidRDefault="002C277F" w:rsidP="002C277F">
      <w:pPr>
        <w:pStyle w:val="SingleTxtG"/>
        <w:tabs>
          <w:tab w:val="left" w:pos="3119"/>
        </w:tabs>
        <w:spacing w:after="240"/>
        <w:ind w:left="3119" w:hanging="1985"/>
        <w:rPr>
          <w:lang w:val="en-US"/>
        </w:rPr>
      </w:pPr>
      <w:r w:rsidRPr="00EF030F">
        <w:rPr>
          <w:i/>
          <w:iCs/>
        </w:rPr>
        <w:t>Document:</w:t>
      </w:r>
      <w:r w:rsidRPr="00634742">
        <w:tab/>
      </w:r>
      <w:r>
        <w:rPr>
          <w:lang w:val="en-US"/>
        </w:rPr>
        <w:t>ST/SG/AC.10/C.3/2018/102 (Spain)</w:t>
      </w:r>
    </w:p>
    <w:p w14:paraId="23E3DEAD" w14:textId="77777777" w:rsidR="002C277F" w:rsidRDefault="002C277F" w:rsidP="002C277F">
      <w:pPr>
        <w:pStyle w:val="SingleTxtG"/>
        <w:tabs>
          <w:tab w:val="left" w:pos="3119"/>
        </w:tabs>
        <w:rPr>
          <w:lang w:val="en-US"/>
        </w:rPr>
      </w:pPr>
      <w:r>
        <w:rPr>
          <w:i/>
          <w:iCs/>
        </w:rPr>
        <w:t>Informal document</w:t>
      </w:r>
      <w:r w:rsidRPr="00EF030F">
        <w:rPr>
          <w:i/>
          <w:iCs/>
        </w:rPr>
        <w:t>:</w:t>
      </w:r>
      <w:r w:rsidRPr="00634742">
        <w:tab/>
      </w:r>
      <w:r>
        <w:rPr>
          <w:lang w:val="en-US"/>
        </w:rPr>
        <w:t>INF.26 (Spain)</w:t>
      </w:r>
    </w:p>
    <w:p w14:paraId="77E25F6C" w14:textId="513CF65C" w:rsidR="002C277F" w:rsidRDefault="00555602" w:rsidP="002C277F">
      <w:pPr>
        <w:pStyle w:val="SingleTxtG"/>
        <w:tabs>
          <w:tab w:val="left" w:pos="1701"/>
          <w:tab w:val="left" w:pos="3119"/>
        </w:tabs>
      </w:pPr>
      <w:r>
        <w:t>114</w:t>
      </w:r>
      <w:r w:rsidR="002C277F">
        <w:t>.</w:t>
      </w:r>
      <w:r w:rsidR="002C277F">
        <w:tab/>
        <w:t>There was no</w:t>
      </w:r>
      <w:r w:rsidR="00BC4F4D">
        <w:t>t enough</w:t>
      </w:r>
      <w:r w:rsidR="002C277F">
        <w:t xml:space="preserve"> support for the proposal. Most experts considered that it did not provide any added value, would be costly and would generate problems and confusion for colour blind individuals. The benefits for emergency responders and fire-fighting brigades were also questioned as it was pointed out that they were trained to take information not only from the placards or labels but also from the orange plates displaying the UN number and, in some modes, the hazard identification code. </w:t>
      </w:r>
    </w:p>
    <w:p w14:paraId="3B151BD6" w14:textId="0CC2FF69" w:rsidR="00E35A4A" w:rsidRDefault="00555602" w:rsidP="00E35A4A">
      <w:pPr>
        <w:pStyle w:val="SingleTxtG"/>
        <w:tabs>
          <w:tab w:val="left" w:pos="1701"/>
          <w:tab w:val="left" w:pos="3119"/>
        </w:tabs>
      </w:pPr>
      <w:r>
        <w:t>115</w:t>
      </w:r>
      <w:r w:rsidR="002C277F">
        <w:t>.</w:t>
      </w:r>
      <w:r w:rsidR="002C277F">
        <w:tab/>
        <w:t xml:space="preserve">Some others expressed some sympathy for the principle behind the proposal. It was mentioned that an option for flammable and toxic gases labels and placards could be to keep the </w:t>
      </w:r>
      <w:r w:rsidR="00E35A4A">
        <w:t xml:space="preserve">same </w:t>
      </w:r>
      <w:r w:rsidR="002C277F">
        <w:t xml:space="preserve">colours </w:t>
      </w:r>
      <w:r w:rsidR="00E35A4A">
        <w:t xml:space="preserve">of the class 3 and division 6.1 labels </w:t>
      </w:r>
      <w:r w:rsidR="002C277F">
        <w:t xml:space="preserve">and use the </w:t>
      </w:r>
      <w:r w:rsidR="0088473C">
        <w:t xml:space="preserve">pressure receptacle </w:t>
      </w:r>
      <w:r w:rsidR="00E35A4A">
        <w:t xml:space="preserve">instead of the flame and skull and </w:t>
      </w:r>
      <w:r w:rsidR="005D111F">
        <w:t>cr</w:t>
      </w:r>
      <w:r w:rsidR="003547C3">
        <w:t>o</w:t>
      </w:r>
      <w:r w:rsidR="005D111F">
        <w:t>ss</w:t>
      </w:r>
      <w:r w:rsidR="00E35A4A">
        <w:t>bones</w:t>
      </w:r>
      <w:r w:rsidR="005D111F">
        <w:t xml:space="preserve"> </w:t>
      </w:r>
      <w:r w:rsidR="00E35A4A">
        <w:t>symbols</w:t>
      </w:r>
      <w:r w:rsidR="002C277F">
        <w:t>.</w:t>
      </w:r>
    </w:p>
    <w:p w14:paraId="697A9C7D" w14:textId="2F00DF42" w:rsidR="002C277F" w:rsidRDefault="00555602" w:rsidP="002C277F">
      <w:pPr>
        <w:pStyle w:val="SingleTxtG"/>
        <w:tabs>
          <w:tab w:val="left" w:pos="1701"/>
          <w:tab w:val="left" w:pos="3119"/>
        </w:tabs>
      </w:pPr>
      <w:r>
        <w:t>116</w:t>
      </w:r>
      <w:r w:rsidR="002C277F">
        <w:t>.</w:t>
      </w:r>
      <w:r w:rsidR="002C277F">
        <w:tab/>
        <w:t xml:space="preserve">The representative of RPMASA mentioned that the comprehensibility rate of the pressure cylinder symbol in some countries was very low and suggested the Sub-Committee to consider amending it slightly to improve its understanding. </w:t>
      </w:r>
    </w:p>
    <w:p w14:paraId="1FD24705" w14:textId="3BA193B5" w:rsidR="002C277F" w:rsidRDefault="00555602" w:rsidP="002C277F">
      <w:pPr>
        <w:pStyle w:val="SingleTxtG"/>
        <w:tabs>
          <w:tab w:val="left" w:pos="1701"/>
          <w:tab w:val="left" w:pos="3119"/>
        </w:tabs>
      </w:pPr>
      <w:r>
        <w:t>117</w:t>
      </w:r>
      <w:r w:rsidR="002C277F">
        <w:t>.</w:t>
      </w:r>
      <w:r w:rsidR="002C277F">
        <w:tab/>
        <w:t>Due to the lack of support the expert from Spain withdr</w:t>
      </w:r>
      <w:r w:rsidR="0088473C">
        <w:t>e</w:t>
      </w:r>
      <w:r w:rsidR="002C277F">
        <w:t xml:space="preserve">w the proposal and said that </w:t>
      </w:r>
      <w:r w:rsidR="0088473C">
        <w:t xml:space="preserve">she </w:t>
      </w:r>
      <w:r w:rsidR="002C277F">
        <w:t>would continue exploring other options and consider coming back to this issue in the future.</w:t>
      </w:r>
    </w:p>
    <w:p w14:paraId="711AE9E6" w14:textId="711C4743" w:rsidR="00EF2F2F" w:rsidRDefault="00EF2F2F" w:rsidP="00E22987">
      <w:pPr>
        <w:pStyle w:val="H1G"/>
      </w:pPr>
      <w:r>
        <w:tab/>
      </w:r>
      <w:r w:rsidR="00E22987">
        <w:t>H</w:t>
      </w:r>
      <w:r>
        <w:t>.</w:t>
      </w:r>
      <w:r>
        <w:tab/>
      </w:r>
      <w:r w:rsidRPr="0001452E">
        <w:t>Differences between the English</w:t>
      </w:r>
      <w:r>
        <w:t xml:space="preserve"> and French versions in 2.8.3.3 (</w:t>
      </w:r>
      <w:r w:rsidRPr="0001452E">
        <w:t xml:space="preserve">c) </w:t>
      </w:r>
      <w:r>
        <w:t>(</w:t>
      </w:r>
      <w:r w:rsidRPr="0001452E">
        <w:t xml:space="preserve">ii) and 6.7.3.3.5 </w:t>
      </w:r>
    </w:p>
    <w:p w14:paraId="308BFEA3" w14:textId="77777777" w:rsidR="00EF2F2F" w:rsidRDefault="00EF2F2F" w:rsidP="00EF2F2F">
      <w:pPr>
        <w:pStyle w:val="SingleTxtG"/>
        <w:tabs>
          <w:tab w:val="left" w:pos="3119"/>
        </w:tabs>
        <w:rPr>
          <w:lang w:val="en-US"/>
        </w:rPr>
      </w:pPr>
      <w:r>
        <w:rPr>
          <w:i/>
          <w:iCs/>
        </w:rPr>
        <w:t>Informal document</w:t>
      </w:r>
      <w:r w:rsidRPr="00EF030F">
        <w:rPr>
          <w:i/>
          <w:iCs/>
        </w:rPr>
        <w:t>:</w:t>
      </w:r>
      <w:r w:rsidRPr="00634742">
        <w:tab/>
      </w:r>
      <w:r>
        <w:rPr>
          <w:lang w:val="en-US"/>
        </w:rPr>
        <w:t>INF.15 (Belgium)</w:t>
      </w:r>
    </w:p>
    <w:p w14:paraId="05B48437" w14:textId="02108321" w:rsidR="00EF2F2F" w:rsidRDefault="00555602" w:rsidP="00EF2F2F">
      <w:pPr>
        <w:pStyle w:val="SingleTxtG"/>
        <w:rPr>
          <w:lang w:val="en-US"/>
        </w:rPr>
      </w:pPr>
      <w:r>
        <w:rPr>
          <w:lang w:val="en-US"/>
        </w:rPr>
        <w:t>118</w:t>
      </w:r>
      <w:r w:rsidR="00EF2F2F">
        <w:rPr>
          <w:lang w:val="en-US"/>
        </w:rPr>
        <w:t>.</w:t>
      </w:r>
      <w:r w:rsidR="00EF2F2F">
        <w:rPr>
          <w:lang w:val="en-US"/>
        </w:rPr>
        <w:tab/>
        <w:t>The amendment to the French version of 6.7.3.5.5 was adopted (see annex</w:t>
      </w:r>
      <w:r w:rsidR="00A73612">
        <w:rPr>
          <w:lang w:val="en-US"/>
        </w:rPr>
        <w:t xml:space="preserve"> I</w:t>
      </w:r>
      <w:r w:rsidR="00EF2F2F">
        <w:rPr>
          <w:lang w:val="en-US"/>
        </w:rPr>
        <w:t xml:space="preserve">). </w:t>
      </w:r>
    </w:p>
    <w:p w14:paraId="7940F304" w14:textId="77B3385B" w:rsidR="00EF2F2F" w:rsidRDefault="00555602" w:rsidP="00EF2F2F">
      <w:pPr>
        <w:pStyle w:val="SingleTxtG"/>
        <w:rPr>
          <w:lang w:val="en-US"/>
        </w:rPr>
      </w:pPr>
      <w:r w:rsidRPr="00555602">
        <w:rPr>
          <w:lang w:val="en-US"/>
        </w:rPr>
        <w:t>119</w:t>
      </w:r>
      <w:r w:rsidR="00EF2F2F" w:rsidRPr="00555602">
        <w:rPr>
          <w:lang w:val="en-US"/>
        </w:rPr>
        <w:t>.</w:t>
      </w:r>
      <w:r w:rsidR="00EF2F2F" w:rsidRPr="00555602">
        <w:rPr>
          <w:lang w:val="en-US"/>
        </w:rPr>
        <w:tab/>
        <w:t>Proposal 1, intended to align the English and French ve</w:t>
      </w:r>
      <w:r w:rsidR="0031479D">
        <w:rPr>
          <w:lang w:val="en-US"/>
        </w:rPr>
        <w:t>rsions of paragraph 2.8.3.3 (c) </w:t>
      </w:r>
      <w:r w:rsidR="00EF2F2F" w:rsidRPr="00555602">
        <w:rPr>
          <w:lang w:val="en-US"/>
        </w:rPr>
        <w:t xml:space="preserve">(ii) by deleting the mention to </w:t>
      </w:r>
      <w:r w:rsidR="00EF2F2F" w:rsidRPr="00BB05BD">
        <w:rPr>
          <w:lang w:val="en-US"/>
        </w:rPr>
        <w:t>“or a similar type”</w:t>
      </w:r>
      <w:r w:rsidR="00EF2F2F" w:rsidRPr="00555602">
        <w:rPr>
          <w:lang w:val="en-US"/>
        </w:rPr>
        <w:t xml:space="preserve"> was not adopted. Some experts pointed out that this mention allowed the use of alternative steel types, particularly in cases where it was difficult to obtain the reference steel type. Others noted that the corresponding text in section</w:t>
      </w:r>
      <w:r>
        <w:rPr>
          <w:lang w:val="en-US"/>
        </w:rPr>
        <w:t> </w:t>
      </w:r>
      <w:r w:rsidR="00EF2F2F" w:rsidRPr="00555602">
        <w:rPr>
          <w:lang w:val="en-US"/>
        </w:rPr>
        <w:t xml:space="preserve">37, paragraph 37.4.2 of the Manual of Tests and Criteria did not refer to </w:t>
      </w:r>
      <w:r w:rsidR="00EF2F2F" w:rsidRPr="00BB05BD">
        <w:rPr>
          <w:lang w:val="en-US"/>
        </w:rPr>
        <w:t>“or a similar type”.</w:t>
      </w:r>
      <w:r w:rsidR="00EF2F2F">
        <w:rPr>
          <w:lang w:val="en-US"/>
        </w:rPr>
        <w:t xml:space="preserve"> </w:t>
      </w:r>
    </w:p>
    <w:p w14:paraId="4BB7D3C4" w14:textId="38CE3628" w:rsidR="00EF2F2F" w:rsidRDefault="00555602" w:rsidP="00EF2F2F">
      <w:pPr>
        <w:pStyle w:val="SingleTxtG"/>
        <w:tabs>
          <w:tab w:val="left" w:pos="1985"/>
          <w:tab w:val="left" w:pos="3119"/>
        </w:tabs>
        <w:rPr>
          <w:lang w:val="en-US"/>
        </w:rPr>
      </w:pPr>
      <w:r>
        <w:rPr>
          <w:lang w:val="en-US"/>
        </w:rPr>
        <w:lastRenderedPageBreak/>
        <w:t>120</w:t>
      </w:r>
      <w:r w:rsidR="00EF2F2F">
        <w:rPr>
          <w:lang w:val="en-US"/>
        </w:rPr>
        <w:t>.</w:t>
      </w:r>
      <w:r w:rsidR="00EF2F2F">
        <w:rPr>
          <w:lang w:val="en-US"/>
        </w:rPr>
        <w:tab/>
        <w:t>While acknowledging the existing inconsistencies and noting that this provision had been in place for many years without raising any implementation issue, the Sub-Committee invited experts to contact testing laboratories, inquiry about the availability of the steel types referenced to in that paragraph and consider whether an update to such references was necessary based on the feedback received. The representative of IMO suggested that the outcome of the work on corrosivity for the IMSBC Code, that was expected to be presented in September 2019, could also be considered.</w:t>
      </w:r>
    </w:p>
    <w:p w14:paraId="7461B62F" w14:textId="0C25BDAE" w:rsidR="004E0F31" w:rsidRPr="00D6609E" w:rsidRDefault="004E0F31" w:rsidP="00E22987">
      <w:pPr>
        <w:pStyle w:val="H1G"/>
      </w:pPr>
      <w:r w:rsidRPr="00D6609E">
        <w:tab/>
      </w:r>
      <w:r w:rsidR="00E22987">
        <w:t>I</w:t>
      </w:r>
      <w:r w:rsidRPr="00D6609E">
        <w:t>.</w:t>
      </w:r>
      <w:r w:rsidRPr="00D6609E">
        <w:tab/>
        <w:t>Amendment to 38.3.3 (g) of the Manual of Tests and Criteria</w:t>
      </w:r>
    </w:p>
    <w:p w14:paraId="63972049" w14:textId="77777777" w:rsidR="004E0F31" w:rsidRPr="00D6609E" w:rsidRDefault="004E0F31" w:rsidP="004E0F31">
      <w:pPr>
        <w:pStyle w:val="SingleTxtG"/>
        <w:tabs>
          <w:tab w:val="left" w:pos="3119"/>
        </w:tabs>
        <w:spacing w:after="240"/>
        <w:ind w:left="3119" w:hanging="1985"/>
        <w:rPr>
          <w:lang w:val="en-US"/>
        </w:rPr>
      </w:pPr>
      <w:r w:rsidRPr="00D6609E">
        <w:rPr>
          <w:i/>
          <w:iCs/>
        </w:rPr>
        <w:t>Document:</w:t>
      </w:r>
      <w:r w:rsidRPr="00D6609E">
        <w:tab/>
      </w:r>
      <w:r w:rsidRPr="00D6609E">
        <w:rPr>
          <w:lang w:val="en-US"/>
        </w:rPr>
        <w:t>ST/SG/AC.10/C.3/2018/84 (RECHARGE, PRBA)</w:t>
      </w:r>
    </w:p>
    <w:p w14:paraId="37BE6A0F" w14:textId="77777777" w:rsidR="004E0F31" w:rsidRDefault="004E0F31" w:rsidP="004E0F31">
      <w:pPr>
        <w:pStyle w:val="SingleTxtG"/>
        <w:tabs>
          <w:tab w:val="left" w:pos="3119"/>
        </w:tabs>
        <w:rPr>
          <w:lang w:val="en-US"/>
        </w:rPr>
      </w:pPr>
      <w:r w:rsidRPr="00D6609E">
        <w:rPr>
          <w:i/>
          <w:iCs/>
        </w:rPr>
        <w:t>Informal documents:</w:t>
      </w:r>
      <w:r w:rsidRPr="00D6609E">
        <w:tab/>
      </w:r>
      <w:r w:rsidRPr="00D6609E">
        <w:rPr>
          <w:lang w:val="en-US"/>
        </w:rPr>
        <w:t>INF.53 and INF.53/Rev.1 (RECHARGE, PRBA)</w:t>
      </w:r>
    </w:p>
    <w:p w14:paraId="1EF79D9D" w14:textId="6146128B" w:rsidR="004E0F31" w:rsidRDefault="00555602" w:rsidP="004E0F31">
      <w:pPr>
        <w:pStyle w:val="SingleTxtG"/>
        <w:rPr>
          <w:lang w:val="en-US"/>
        </w:rPr>
      </w:pPr>
      <w:r>
        <w:rPr>
          <w:lang w:val="en-US"/>
        </w:rPr>
        <w:t>121</w:t>
      </w:r>
      <w:r w:rsidR="004E0F31">
        <w:rPr>
          <w:lang w:val="en-US"/>
        </w:rPr>
        <w:t>.</w:t>
      </w:r>
      <w:r w:rsidR="004E0F31">
        <w:rPr>
          <w:lang w:val="en-US"/>
        </w:rPr>
        <w:tab/>
        <w:t xml:space="preserve">The Sub-Committee expressed support to the original intent of the proposal. However, there was no support for the proposed texts in informal document INF.53/Rev.1 as drafted. Some experts raised concerns about the “process controls” referred to </w:t>
      </w:r>
      <w:r w:rsidR="00B0571E">
        <w:rPr>
          <w:lang w:val="en-US"/>
        </w:rPr>
        <w:t xml:space="preserve">in </w:t>
      </w:r>
      <w:r w:rsidR="0031479D">
        <w:rPr>
          <w:lang w:val="en-US"/>
        </w:rPr>
        <w:t>38.3.3 (g) (i) (e.g. </w:t>
      </w:r>
      <w:r w:rsidR="004E0F31">
        <w:rPr>
          <w:lang w:val="en-US"/>
        </w:rPr>
        <w:t xml:space="preserve">who would be responsible to conduct them and how to ensure that they </w:t>
      </w:r>
      <w:r w:rsidR="00B0571E">
        <w:rPr>
          <w:lang w:val="en-US"/>
        </w:rPr>
        <w:t xml:space="preserve">were </w:t>
      </w:r>
      <w:r w:rsidR="004E0F31">
        <w:rPr>
          <w:lang w:val="en-US"/>
        </w:rPr>
        <w:t xml:space="preserve">correctly applied). Noting that the </w:t>
      </w:r>
      <w:r w:rsidR="0088473C">
        <w:rPr>
          <w:lang w:val="en-US"/>
        </w:rPr>
        <w:t xml:space="preserve">revised </w:t>
      </w:r>
      <w:r w:rsidR="004E0F31">
        <w:rPr>
          <w:lang w:val="en-US"/>
        </w:rPr>
        <w:t>proposal had been circulated very late, several experts requested more time to consider it and consult with experts at national level.</w:t>
      </w:r>
    </w:p>
    <w:p w14:paraId="1C66538C" w14:textId="0F5C6D47" w:rsidR="004E0F31" w:rsidRPr="00B167C6" w:rsidRDefault="00555602" w:rsidP="004E0F31">
      <w:pPr>
        <w:pStyle w:val="SingleTxtG"/>
        <w:rPr>
          <w:lang w:val="en-US"/>
        </w:rPr>
      </w:pPr>
      <w:r>
        <w:rPr>
          <w:lang w:val="en-US"/>
        </w:rPr>
        <w:t>122</w:t>
      </w:r>
      <w:r w:rsidR="004E0F31">
        <w:rPr>
          <w:lang w:val="en-US"/>
        </w:rPr>
        <w:t>.</w:t>
      </w:r>
      <w:r w:rsidR="004E0F31">
        <w:rPr>
          <w:lang w:val="en-US"/>
        </w:rPr>
        <w:tab/>
        <w:t>The representative of RECHARGE withdrew the document and said that he would revise the proposal in the light of the comments made and submit an official document for the next session.</w:t>
      </w:r>
    </w:p>
    <w:p w14:paraId="1C9FEE97" w14:textId="62F1D27F" w:rsidR="004E0F31" w:rsidRPr="00E22987" w:rsidRDefault="004E0F31" w:rsidP="00E22987">
      <w:pPr>
        <w:pStyle w:val="H1G"/>
      </w:pPr>
      <w:r w:rsidRPr="00E22987">
        <w:tab/>
      </w:r>
      <w:r w:rsidR="00E22987" w:rsidRPr="00E22987">
        <w:t>J</w:t>
      </w:r>
      <w:r w:rsidRPr="00E22987">
        <w:t xml:space="preserve">. </w:t>
      </w:r>
      <w:r w:rsidRPr="00E22987">
        <w:tab/>
        <w:t>Corrections and amendments to the Model Regulations</w:t>
      </w:r>
    </w:p>
    <w:p w14:paraId="3E90CA55" w14:textId="77777777" w:rsidR="004E0F31" w:rsidRDefault="004E0F31" w:rsidP="004E0F31">
      <w:pPr>
        <w:pStyle w:val="SingleTxtG"/>
        <w:tabs>
          <w:tab w:val="left" w:pos="3119"/>
        </w:tabs>
        <w:rPr>
          <w:lang w:val="en-US"/>
        </w:rPr>
      </w:pPr>
      <w:r w:rsidRPr="00D6609E">
        <w:rPr>
          <w:i/>
          <w:iCs/>
        </w:rPr>
        <w:t>Informal document:</w:t>
      </w:r>
      <w:r w:rsidRPr="00D6609E">
        <w:tab/>
      </w:r>
      <w:r w:rsidRPr="00D6609E">
        <w:rPr>
          <w:lang w:val="en-US"/>
        </w:rPr>
        <w:t>INF.18 (Germany)</w:t>
      </w:r>
    </w:p>
    <w:p w14:paraId="53AEF08D" w14:textId="62970087" w:rsidR="004E0F31" w:rsidRDefault="00555602" w:rsidP="004E0F31">
      <w:pPr>
        <w:pStyle w:val="SingleTxtG"/>
        <w:rPr>
          <w:lang w:val="en-US"/>
        </w:rPr>
      </w:pPr>
      <w:r>
        <w:rPr>
          <w:lang w:val="en-US"/>
        </w:rPr>
        <w:t>123</w:t>
      </w:r>
      <w:r w:rsidR="004E0F31">
        <w:rPr>
          <w:lang w:val="en-US"/>
        </w:rPr>
        <w:t>.</w:t>
      </w:r>
      <w:r w:rsidR="004E0F31">
        <w:rPr>
          <w:lang w:val="en-US"/>
        </w:rPr>
        <w:tab/>
        <w:t>The Sub-Committee adopted the corrections to 2.2.1.2, 2.4.2.3.1.2 (e), 2.8.4.3.3 and 2.8.4.3.4, the formula in 2.8.2.4.3.5 (with an editorial correcti</w:t>
      </w:r>
      <w:r w:rsidR="0031479D">
        <w:rPr>
          <w:lang w:val="en-US"/>
        </w:rPr>
        <w:t>on), special provisions 188 (as </w:t>
      </w:r>
      <w:r w:rsidR="004E0F31">
        <w:rPr>
          <w:lang w:val="en-US"/>
        </w:rPr>
        <w:t>amended) and 392 and paragraph 5.2.2.1.12.1 (see annex</w:t>
      </w:r>
      <w:r w:rsidR="00A73612">
        <w:rPr>
          <w:lang w:val="en-US"/>
        </w:rPr>
        <w:t xml:space="preserve"> III</w:t>
      </w:r>
      <w:r w:rsidR="004E0F31">
        <w:rPr>
          <w:lang w:val="en-US"/>
        </w:rPr>
        <w:t>).</w:t>
      </w:r>
    </w:p>
    <w:p w14:paraId="794F2A9C" w14:textId="0A102706" w:rsidR="004E0F31" w:rsidRDefault="00555602" w:rsidP="004E0F31">
      <w:pPr>
        <w:pStyle w:val="SingleTxtG"/>
        <w:rPr>
          <w:lang w:val="en-US"/>
        </w:rPr>
      </w:pPr>
      <w:r>
        <w:rPr>
          <w:lang w:val="en-US"/>
        </w:rPr>
        <w:t>124</w:t>
      </w:r>
      <w:r w:rsidR="004E0F31">
        <w:rPr>
          <w:lang w:val="en-US"/>
        </w:rPr>
        <w:t>.</w:t>
      </w:r>
      <w:r w:rsidR="004E0F31">
        <w:rPr>
          <w:lang w:val="en-US"/>
        </w:rPr>
        <w:tab/>
        <w:t>Regarding the proposal in paragraphs 2 to 4 in the document, several experts considered that the placement of the text depended on the language used and suggested amending the current provisions to allow placing it before or after the proper shipping name</w:t>
      </w:r>
      <w:r w:rsidR="00B0571E">
        <w:rPr>
          <w:lang w:val="en-US"/>
        </w:rPr>
        <w:t>, as appropriate</w:t>
      </w:r>
      <w:r w:rsidR="004E0F31">
        <w:rPr>
          <w:lang w:val="en-US"/>
        </w:rPr>
        <w:t xml:space="preserve">. The expert from Germany withdrew the proposal and said that she would submit an official document for the next session. </w:t>
      </w:r>
    </w:p>
    <w:p w14:paraId="41B36C07" w14:textId="3F1098B7" w:rsidR="00EC51C7" w:rsidRDefault="00EC51C7" w:rsidP="00EC51C7">
      <w:pPr>
        <w:pStyle w:val="HChG"/>
      </w:pPr>
      <w:r>
        <w:tab/>
        <w:t>VIII.</w:t>
      </w:r>
      <w:r>
        <w:tab/>
        <w:t>Issues relating to the Globally Harmonized System of Classification and Labelling of Chemicals (agenda item 7)</w:t>
      </w:r>
    </w:p>
    <w:p w14:paraId="6E937AE9" w14:textId="77777777" w:rsidR="004E0F31" w:rsidRDefault="004E0F31" w:rsidP="004E0F31">
      <w:pPr>
        <w:pStyle w:val="H1G"/>
      </w:pPr>
      <w:r>
        <w:tab/>
      </w:r>
      <w:r w:rsidRPr="00D6609E">
        <w:t>A.</w:t>
      </w:r>
      <w:r w:rsidRPr="00D6609E">
        <w:tab/>
      </w:r>
      <w:r>
        <w:t>Criteria for water-reactivity</w:t>
      </w:r>
    </w:p>
    <w:p w14:paraId="2ADF1ECD" w14:textId="28B5CF12" w:rsidR="004E0F31" w:rsidRDefault="00555602" w:rsidP="004E0F31">
      <w:pPr>
        <w:pStyle w:val="SingleTxtG"/>
        <w:tabs>
          <w:tab w:val="left" w:pos="1701"/>
        </w:tabs>
      </w:pPr>
      <w:r>
        <w:t>125</w:t>
      </w:r>
      <w:r w:rsidR="004E0F31" w:rsidRPr="00266E7D">
        <w:t>.</w:t>
      </w:r>
      <w:r w:rsidR="004E0F31" w:rsidRPr="00266E7D">
        <w:tab/>
        <w:t xml:space="preserve">The expert from Germany informed the Sub-Committee that some work was done on this issue but considered that there was no need to keep it as </w:t>
      </w:r>
      <w:r w:rsidR="00BD1F38">
        <w:t xml:space="preserve">a </w:t>
      </w:r>
      <w:r w:rsidR="004E0F31" w:rsidRPr="00266E7D">
        <w:t xml:space="preserve">specific item </w:t>
      </w:r>
      <w:r w:rsidR="004E0F31">
        <w:t>in</w:t>
      </w:r>
      <w:r w:rsidR="004E0F31" w:rsidRPr="00266E7D">
        <w:t xml:space="preserve"> the programme of work </w:t>
      </w:r>
      <w:r w:rsidR="004E0F31">
        <w:t>for</w:t>
      </w:r>
      <w:r w:rsidR="004E0F31" w:rsidRPr="00266E7D">
        <w:t xml:space="preserve"> the next biennium.</w:t>
      </w:r>
    </w:p>
    <w:p w14:paraId="46773FB6" w14:textId="77777777" w:rsidR="0031479D" w:rsidRDefault="0031479D">
      <w:pPr>
        <w:suppressAutoHyphens w:val="0"/>
        <w:spacing w:line="240" w:lineRule="auto"/>
        <w:rPr>
          <w:b/>
          <w:sz w:val="24"/>
        </w:rPr>
      </w:pPr>
      <w:r>
        <w:br w:type="page"/>
      </w:r>
    </w:p>
    <w:p w14:paraId="568FB7EE" w14:textId="55FC2DD6" w:rsidR="00EC51C7" w:rsidRDefault="004E0F31" w:rsidP="004E0F31">
      <w:pPr>
        <w:pStyle w:val="H1G"/>
      </w:pPr>
      <w:r>
        <w:lastRenderedPageBreak/>
        <w:tab/>
        <w:t>B.</w:t>
      </w:r>
      <w:r w:rsidR="00EC51C7">
        <w:tab/>
        <w:t>Testing of oxidizing substances</w:t>
      </w:r>
    </w:p>
    <w:p w14:paraId="3D007B87" w14:textId="2AF971CB" w:rsidR="00EC51C7" w:rsidRDefault="00EC51C7" w:rsidP="00035D90">
      <w:pPr>
        <w:pStyle w:val="SingleTxtG"/>
        <w:tabs>
          <w:tab w:val="left" w:pos="3119"/>
        </w:tabs>
      </w:pPr>
      <w:r w:rsidRPr="00EC51C7">
        <w:rPr>
          <w:i/>
          <w:iCs/>
        </w:rPr>
        <w:t>Document:</w:t>
      </w:r>
      <w:r w:rsidR="00035D90">
        <w:tab/>
      </w:r>
      <w:r>
        <w:t>ST/SG/AC.10/C.3/2018/116 (France)</w:t>
      </w:r>
    </w:p>
    <w:p w14:paraId="33DDC95B" w14:textId="00511F2B" w:rsidR="00AB2106" w:rsidRPr="00934751" w:rsidRDefault="00EC51C7" w:rsidP="00035D90">
      <w:pPr>
        <w:pStyle w:val="SingleTxtG"/>
        <w:tabs>
          <w:tab w:val="left" w:pos="3119"/>
        </w:tabs>
      </w:pPr>
      <w:r w:rsidRPr="00EC51C7">
        <w:rPr>
          <w:i/>
          <w:iCs/>
        </w:rPr>
        <w:t>Informal document:</w:t>
      </w:r>
      <w:r w:rsidR="00035D90">
        <w:tab/>
      </w:r>
      <w:r>
        <w:t>INF.37 (France)</w:t>
      </w:r>
    </w:p>
    <w:p w14:paraId="4DD45AB3" w14:textId="61D5C0BA" w:rsidR="007D663D" w:rsidRDefault="00555602" w:rsidP="007D663D">
      <w:pPr>
        <w:pStyle w:val="SingleTxtG"/>
        <w:tabs>
          <w:tab w:val="left" w:pos="1985"/>
          <w:tab w:val="left" w:pos="3119"/>
        </w:tabs>
        <w:rPr>
          <w:lang w:val="en-US" w:eastAsia="zh-CN"/>
        </w:rPr>
      </w:pPr>
      <w:r>
        <w:t>126</w:t>
      </w:r>
      <w:r w:rsidR="007D663D">
        <w:t>.</w:t>
      </w:r>
      <w:r w:rsidR="007D663D">
        <w:tab/>
        <w:t xml:space="preserve">The expert from Germany pointed out that work was still ongoing on Test O.3 and suggested deferring the adoption of the amendments proposed in paragraph 18 of document </w:t>
      </w:r>
      <w:r w:rsidR="007D663D">
        <w:rPr>
          <w:lang w:val="en-US"/>
        </w:rPr>
        <w:t xml:space="preserve">ST/SG/AC.10/C.3/2018/116 until this work was completed. Several other experts noted that the amendments proposed by France would solve the existing difficulty to find calcium peroxide within the concentration limits currently specified in the Manual </w:t>
      </w:r>
      <w:r w:rsidR="00B0571E">
        <w:rPr>
          <w:lang w:val="en-US"/>
        </w:rPr>
        <w:t xml:space="preserve">of Tests and Criteria </w:t>
      </w:r>
      <w:r w:rsidR="007D663D">
        <w:rPr>
          <w:lang w:val="en-US"/>
        </w:rPr>
        <w:t>and reiterated their support to the proposal.</w:t>
      </w:r>
    </w:p>
    <w:p w14:paraId="66A86C94" w14:textId="1A63220A" w:rsidR="007D663D" w:rsidRDefault="00555602" w:rsidP="007D663D">
      <w:pPr>
        <w:pStyle w:val="SingleTxtG"/>
      </w:pPr>
      <w:r>
        <w:t>127</w:t>
      </w:r>
      <w:r w:rsidR="007D663D">
        <w:t>.</w:t>
      </w:r>
      <w:r w:rsidR="007D663D">
        <w:tab/>
        <w:t>After an exchange of views, the Sub-Committee adopted the proposals in paragraphs 17, 18, 19, 20 and 21 in document ST/SG/AC.10/C.3/2018/116 (see annex</w:t>
      </w:r>
      <w:r w:rsidR="00A73612">
        <w:t xml:space="preserve"> II</w:t>
      </w:r>
      <w:r w:rsidR="007D663D">
        <w:t>).</w:t>
      </w:r>
    </w:p>
    <w:p w14:paraId="665A44A7" w14:textId="412E6425" w:rsidR="007D663D" w:rsidRDefault="00555602" w:rsidP="007D663D">
      <w:pPr>
        <w:pStyle w:val="SingleTxtG"/>
        <w:rPr>
          <w:lang w:val="en-US"/>
        </w:rPr>
      </w:pPr>
      <w:r>
        <w:rPr>
          <w:lang w:val="en-US"/>
        </w:rPr>
        <w:t>128</w:t>
      </w:r>
      <w:r w:rsidR="007D663D">
        <w:rPr>
          <w:lang w:val="en-US"/>
        </w:rPr>
        <w:t>.</w:t>
      </w:r>
      <w:r w:rsidR="007D663D">
        <w:rPr>
          <w:lang w:val="en-US"/>
        </w:rPr>
        <w:tab/>
        <w:t>The Sub-</w:t>
      </w:r>
      <w:r w:rsidR="007D663D">
        <w:t>Committee</w:t>
      </w:r>
      <w:r w:rsidR="007D663D">
        <w:rPr>
          <w:lang w:val="en-US"/>
        </w:rPr>
        <w:t xml:space="preserve"> also adopted the proposal in paragraph 22 for continuation of the work on this issue (see also paragraph</w:t>
      </w:r>
      <w:r w:rsidR="00B0571E">
        <w:rPr>
          <w:lang w:val="en-US"/>
        </w:rPr>
        <w:t xml:space="preserve"> 140 (i)</w:t>
      </w:r>
      <w:r w:rsidR="007D663D">
        <w:rPr>
          <w:lang w:val="en-US"/>
        </w:rPr>
        <w:t xml:space="preserve">). </w:t>
      </w:r>
    </w:p>
    <w:p w14:paraId="6717E728" w14:textId="77777777" w:rsidR="007D663D" w:rsidRDefault="007D663D" w:rsidP="007D663D">
      <w:pPr>
        <w:pStyle w:val="H1G"/>
      </w:pPr>
      <w:r>
        <w:tab/>
        <w:t>C.</w:t>
      </w:r>
      <w:r>
        <w:tab/>
        <w:t>Updating of references to OECD Guidelines</w:t>
      </w:r>
    </w:p>
    <w:p w14:paraId="1B0BE564" w14:textId="77777777" w:rsidR="007D663D" w:rsidRDefault="007D663D" w:rsidP="007D663D">
      <w:pPr>
        <w:pStyle w:val="H23G"/>
      </w:pPr>
      <w:r>
        <w:tab/>
      </w:r>
      <w:r>
        <w:tab/>
        <w:t>Sub-categorisation for skin corrosion (OECD Test Guideline 431)</w:t>
      </w:r>
    </w:p>
    <w:p w14:paraId="326BEA79" w14:textId="77777777" w:rsidR="007D663D" w:rsidRDefault="007D663D" w:rsidP="007D663D">
      <w:pPr>
        <w:pStyle w:val="SingleTxtG"/>
        <w:tabs>
          <w:tab w:val="left" w:pos="3119"/>
        </w:tabs>
        <w:spacing w:after="240"/>
        <w:ind w:left="3119" w:hanging="1985"/>
        <w:rPr>
          <w:lang w:val="en-US"/>
        </w:rPr>
      </w:pPr>
      <w:r>
        <w:rPr>
          <w:i/>
          <w:iCs/>
        </w:rPr>
        <w:t>Document:</w:t>
      </w:r>
      <w:r>
        <w:tab/>
      </w:r>
      <w:r>
        <w:rPr>
          <w:lang w:val="en-US"/>
        </w:rPr>
        <w:t>ST/SG/AC.10/C.3/2018/70 (European Union)</w:t>
      </w:r>
    </w:p>
    <w:p w14:paraId="7AD84259" w14:textId="4A94905B" w:rsidR="00EC51C7" w:rsidRDefault="00555602" w:rsidP="007D663D">
      <w:pPr>
        <w:pStyle w:val="SingleTxtG"/>
      </w:pPr>
      <w:r>
        <w:rPr>
          <w:lang w:val="en-US"/>
        </w:rPr>
        <w:t>129</w:t>
      </w:r>
      <w:r w:rsidR="007D663D">
        <w:rPr>
          <w:lang w:val="en-US"/>
        </w:rPr>
        <w:t>.</w:t>
      </w:r>
      <w:r w:rsidR="007D663D">
        <w:rPr>
          <w:lang w:val="en-US"/>
        </w:rPr>
        <w:tab/>
        <w:t xml:space="preserve">The Sub-Committee adopted the amendment to 2.8.3.2 with some changes </w:t>
      </w:r>
      <w:r w:rsidR="0031479D">
        <w:rPr>
          <w:lang w:val="en-US"/>
        </w:rPr>
        <w:t>(see </w:t>
      </w:r>
      <w:r w:rsidR="007D663D">
        <w:rPr>
          <w:lang w:val="en-US"/>
        </w:rPr>
        <w:t>annex</w:t>
      </w:r>
      <w:r w:rsidR="00694845">
        <w:rPr>
          <w:lang w:val="en-US"/>
        </w:rPr>
        <w:t> </w:t>
      </w:r>
      <w:r w:rsidR="00A73612">
        <w:rPr>
          <w:lang w:val="en-US"/>
        </w:rPr>
        <w:t>I</w:t>
      </w:r>
      <w:r w:rsidR="007D663D">
        <w:rPr>
          <w:lang w:val="en-US"/>
        </w:rPr>
        <w:t>).</w:t>
      </w:r>
    </w:p>
    <w:p w14:paraId="0C24E571" w14:textId="42CD54CB" w:rsidR="00EC51C7" w:rsidRDefault="004E0F31" w:rsidP="004E0F31">
      <w:pPr>
        <w:pStyle w:val="H1G"/>
      </w:pPr>
      <w:r>
        <w:tab/>
        <w:t>D.</w:t>
      </w:r>
      <w:r w:rsidR="00EC51C7">
        <w:tab/>
        <w:t>Use of the Manual of Tests and Criteria in the context of the GHS</w:t>
      </w:r>
    </w:p>
    <w:p w14:paraId="13E90A8B" w14:textId="0867E0A1" w:rsidR="004E0F31" w:rsidRPr="00A97169" w:rsidRDefault="00555602" w:rsidP="004E0F31">
      <w:pPr>
        <w:pStyle w:val="SingleTxtG"/>
      </w:pPr>
      <w:r>
        <w:t>130</w:t>
      </w:r>
      <w:r w:rsidR="004E0F31">
        <w:t>.</w:t>
      </w:r>
      <w:r w:rsidR="004E0F31">
        <w:tab/>
      </w:r>
      <w:r w:rsidR="004E0F31" w:rsidRPr="00E96E91">
        <w:t>Documents under this agenda sub-item were consider</w:t>
      </w:r>
      <w:r w:rsidR="0031479D">
        <w:t>ed under agenda item 2 (b) (see </w:t>
      </w:r>
      <w:r w:rsidR="004E0F31" w:rsidRPr="00E96E91">
        <w:t>paragraphs</w:t>
      </w:r>
      <w:r w:rsidR="001021BC">
        <w:t xml:space="preserve"> </w:t>
      </w:r>
      <w:r w:rsidR="00BD1F38">
        <w:t>33</w:t>
      </w:r>
      <w:r w:rsidR="001021BC">
        <w:t xml:space="preserve"> and </w:t>
      </w:r>
      <w:r w:rsidR="00BD1F38">
        <w:t>34</w:t>
      </w:r>
      <w:r w:rsidR="004E0F31" w:rsidRPr="00E96E91">
        <w:t>).</w:t>
      </w:r>
      <w:r w:rsidR="004E0F31" w:rsidRPr="00A97169">
        <w:tab/>
      </w:r>
    </w:p>
    <w:p w14:paraId="432EBAD5" w14:textId="77777777" w:rsidR="007D663D" w:rsidRDefault="007D663D" w:rsidP="007D663D">
      <w:pPr>
        <w:pStyle w:val="H1G"/>
      </w:pPr>
      <w:r>
        <w:tab/>
        <w:t>E.</w:t>
      </w:r>
      <w:r>
        <w:tab/>
        <w:t>Miscellaneous</w:t>
      </w:r>
    </w:p>
    <w:p w14:paraId="72C25DA9" w14:textId="77777777" w:rsidR="007D663D" w:rsidRDefault="007D663D" w:rsidP="007D663D">
      <w:pPr>
        <w:pStyle w:val="H23G"/>
        <w:rPr>
          <w:lang w:val="en-US"/>
        </w:rPr>
      </w:pPr>
      <w:r>
        <w:rPr>
          <w:lang w:val="en-US"/>
        </w:rPr>
        <w:tab/>
        <w:t>1.</w:t>
      </w:r>
      <w:r>
        <w:rPr>
          <w:lang w:val="en-US"/>
        </w:rPr>
        <w:tab/>
        <w:t>Classification of chemicals under pressure (Chapter 2.3 of the GHS and special provision 362 of the Model Regulations) and additional consequential amendments to the GHS</w:t>
      </w:r>
    </w:p>
    <w:p w14:paraId="259005E5" w14:textId="2B1BFF0A" w:rsidR="007D663D" w:rsidRDefault="007D663D" w:rsidP="007D663D">
      <w:pPr>
        <w:pStyle w:val="SingleTxtG"/>
        <w:tabs>
          <w:tab w:val="left" w:pos="3119"/>
        </w:tabs>
        <w:spacing w:after="0" w:line="240" w:lineRule="auto"/>
        <w:ind w:left="3119" w:hanging="1985"/>
        <w:rPr>
          <w:lang w:val="en-US"/>
        </w:rPr>
      </w:pPr>
      <w:r>
        <w:rPr>
          <w:i/>
          <w:iCs/>
        </w:rPr>
        <w:t>Documents:</w:t>
      </w:r>
      <w:r>
        <w:tab/>
      </w:r>
      <w:r>
        <w:rPr>
          <w:lang w:val="en-US"/>
        </w:rPr>
        <w:t>ST/SG/AC.10/C.3/2018/80 (CEFIC, EIGA)</w:t>
      </w:r>
    </w:p>
    <w:p w14:paraId="213EF271" w14:textId="5721F7FA" w:rsidR="007D663D" w:rsidRDefault="007D663D" w:rsidP="007D663D">
      <w:pPr>
        <w:pStyle w:val="SingleTxtG"/>
        <w:tabs>
          <w:tab w:val="left" w:pos="3119"/>
        </w:tabs>
        <w:spacing w:after="0" w:line="240" w:lineRule="auto"/>
        <w:ind w:left="3119" w:hanging="1985"/>
        <w:rPr>
          <w:lang w:val="en-US"/>
        </w:rPr>
      </w:pPr>
      <w:r>
        <w:rPr>
          <w:lang w:val="en-US"/>
        </w:rPr>
        <w:tab/>
        <w:t>ST/SG/AC.10/C.3/2018/101 (</w:t>
      </w:r>
      <w:r w:rsidR="00BC4F4D">
        <w:rPr>
          <w:lang w:val="en-US"/>
        </w:rPr>
        <w:t>FEA</w:t>
      </w:r>
      <w:r>
        <w:rPr>
          <w:lang w:val="en-US"/>
        </w:rPr>
        <w:t>)</w:t>
      </w:r>
    </w:p>
    <w:p w14:paraId="06E7A123" w14:textId="4D3320CA" w:rsidR="007D663D" w:rsidRDefault="00555602" w:rsidP="007D663D">
      <w:pPr>
        <w:pStyle w:val="SingleTxtG"/>
        <w:spacing w:before="240"/>
        <w:rPr>
          <w:lang w:val="en-US"/>
        </w:rPr>
      </w:pPr>
      <w:r>
        <w:rPr>
          <w:lang w:val="en-US"/>
        </w:rPr>
        <w:t>131</w:t>
      </w:r>
      <w:r w:rsidR="007D663D">
        <w:rPr>
          <w:lang w:val="en-US"/>
        </w:rPr>
        <w:t>.</w:t>
      </w:r>
      <w:r w:rsidR="007D663D">
        <w:rPr>
          <w:lang w:val="en-US"/>
        </w:rPr>
        <w:tab/>
        <w:t>There was support for a harmonized approach for the classification for chemicals under pressure for all sectors. However, several experts considered that further work was necessary before the proposed amendments to the Model Regulations could be adopted.</w:t>
      </w:r>
    </w:p>
    <w:p w14:paraId="7F1D6526" w14:textId="1C2C1EBC" w:rsidR="007D663D" w:rsidRDefault="00555602" w:rsidP="007D663D">
      <w:pPr>
        <w:pStyle w:val="SingleTxtG"/>
        <w:spacing w:before="240"/>
        <w:rPr>
          <w:lang w:val="en-US"/>
        </w:rPr>
      </w:pPr>
      <w:r>
        <w:rPr>
          <w:lang w:val="en-US"/>
        </w:rPr>
        <w:t>132</w:t>
      </w:r>
      <w:r w:rsidR="007D663D">
        <w:rPr>
          <w:lang w:val="en-US"/>
        </w:rPr>
        <w:t>.</w:t>
      </w:r>
      <w:r w:rsidR="007D663D">
        <w:rPr>
          <w:lang w:val="en-US"/>
        </w:rPr>
        <w:tab/>
        <w:t xml:space="preserve">In view of the above, the representative of CEFIC withdrew the proposal in paragraphs 8 and 9 </w:t>
      </w:r>
      <w:r w:rsidR="001021BC">
        <w:rPr>
          <w:lang w:val="en-US"/>
        </w:rPr>
        <w:t>in</w:t>
      </w:r>
      <w:r w:rsidR="007D663D">
        <w:rPr>
          <w:lang w:val="en-US"/>
        </w:rPr>
        <w:t xml:space="preserve"> document</w:t>
      </w:r>
      <w:r w:rsidR="001021BC">
        <w:rPr>
          <w:lang w:val="en-US"/>
        </w:rPr>
        <w:t xml:space="preserve"> ST/SG/AC.10/C.3/2018/80</w:t>
      </w:r>
      <w:r w:rsidR="007D663D">
        <w:rPr>
          <w:lang w:val="en-US"/>
        </w:rPr>
        <w:t>, invited delegations who offered to provide comments in writing to share them with her and said that she would consider submitting a revised proposal during the next biennium that would also take account of the feedback received from the GHS Sub-Committee.</w:t>
      </w:r>
    </w:p>
    <w:p w14:paraId="25BE4DCE" w14:textId="63A3D714" w:rsidR="007D663D" w:rsidRDefault="00555602" w:rsidP="007D663D">
      <w:pPr>
        <w:pStyle w:val="SingleTxtG"/>
        <w:spacing w:before="240"/>
        <w:rPr>
          <w:lang w:val="en-US"/>
        </w:rPr>
      </w:pPr>
      <w:r>
        <w:rPr>
          <w:lang w:val="en-US"/>
        </w:rPr>
        <w:lastRenderedPageBreak/>
        <w:t>133</w:t>
      </w:r>
      <w:r w:rsidR="007D663D">
        <w:rPr>
          <w:lang w:val="en-US"/>
        </w:rPr>
        <w:t>.</w:t>
      </w:r>
      <w:r w:rsidR="007D663D">
        <w:rPr>
          <w:lang w:val="en-US"/>
        </w:rPr>
        <w:tab/>
        <w:t>TDG Sub-Committee experts were invited to work with their counterparts at the GHS Sub-Committee to ensure multisectoral harmonization of the criteria for chemicals under pressure.</w:t>
      </w:r>
    </w:p>
    <w:p w14:paraId="10BB9A00" w14:textId="1F7F10BB" w:rsidR="007D663D" w:rsidRDefault="00555602" w:rsidP="007D663D">
      <w:pPr>
        <w:pStyle w:val="SingleTxtG"/>
        <w:spacing w:before="240"/>
        <w:rPr>
          <w:lang w:val="en-US"/>
        </w:rPr>
      </w:pPr>
      <w:r>
        <w:rPr>
          <w:lang w:val="en-US"/>
        </w:rPr>
        <w:t>134</w:t>
      </w:r>
      <w:r w:rsidR="007D663D">
        <w:rPr>
          <w:lang w:val="en-US"/>
        </w:rPr>
        <w:t>.</w:t>
      </w:r>
      <w:r w:rsidR="007D663D">
        <w:rPr>
          <w:lang w:val="en-US"/>
        </w:rPr>
        <w:tab/>
        <w:t>Noting that the proposals in document ST/SG/AC.10/C.3/2018/101 addressed amendments to the GHS only, the Sub-Committee did not consider them.</w:t>
      </w:r>
    </w:p>
    <w:p w14:paraId="080FB464" w14:textId="77777777" w:rsidR="007D663D" w:rsidRDefault="007D663D" w:rsidP="007D663D">
      <w:pPr>
        <w:pStyle w:val="H23G"/>
        <w:rPr>
          <w:lang w:val="en-US"/>
        </w:rPr>
      </w:pPr>
      <w:r>
        <w:rPr>
          <w:lang w:val="en-US"/>
        </w:rPr>
        <w:tab/>
        <w:t>2.</w:t>
      </w:r>
      <w:r>
        <w:rPr>
          <w:lang w:val="en-US"/>
        </w:rPr>
        <w:tab/>
        <w:t>Terms of reference for the work on combinations of physical hazards</w:t>
      </w:r>
    </w:p>
    <w:p w14:paraId="5D881141" w14:textId="77777777" w:rsidR="007D663D" w:rsidRDefault="007D663D" w:rsidP="007D663D">
      <w:pPr>
        <w:pStyle w:val="SingleTxtG"/>
        <w:tabs>
          <w:tab w:val="left" w:pos="3119"/>
        </w:tabs>
        <w:spacing w:after="240"/>
        <w:ind w:left="3119" w:hanging="1985"/>
        <w:rPr>
          <w:lang w:val="en-US"/>
        </w:rPr>
      </w:pPr>
      <w:r>
        <w:rPr>
          <w:i/>
          <w:iCs/>
        </w:rPr>
        <w:t>Document:</w:t>
      </w:r>
      <w:r>
        <w:tab/>
      </w:r>
      <w:r>
        <w:rPr>
          <w:lang w:val="en-US"/>
        </w:rPr>
        <w:t>ST/SG/AC.10/C.3/2018/93 (Germany)</w:t>
      </w:r>
    </w:p>
    <w:p w14:paraId="480ADBE8" w14:textId="68B19013" w:rsidR="007D663D" w:rsidRDefault="00555602" w:rsidP="007D663D">
      <w:pPr>
        <w:pStyle w:val="SingleTxtG"/>
        <w:rPr>
          <w:lang w:val="en-US"/>
        </w:rPr>
      </w:pPr>
      <w:r>
        <w:rPr>
          <w:lang w:val="en-US"/>
        </w:rPr>
        <w:t>135</w:t>
      </w:r>
      <w:r w:rsidR="007D663D">
        <w:rPr>
          <w:lang w:val="en-US"/>
        </w:rPr>
        <w:t>.</w:t>
      </w:r>
      <w:r w:rsidR="007D663D">
        <w:rPr>
          <w:lang w:val="en-US"/>
        </w:rPr>
        <w:tab/>
        <w:t xml:space="preserve">There was general support to the terms of reference proposed by Germany for a systematic analysis of all possible combinations of physical hazard classes with regards to their simultaneous assignment to a chemical. The Sub-Committee noted that the GHS </w:t>
      </w:r>
      <w:r w:rsidR="007D663D">
        <w:rPr>
          <w:lang w:val="en-US"/>
        </w:rPr>
        <w:br/>
        <w:t>Sub-Committee would consider including this item on its programme of work for 2019-2020.</w:t>
      </w:r>
    </w:p>
    <w:p w14:paraId="63A31F55" w14:textId="77777777" w:rsidR="007D663D" w:rsidRDefault="007D663D" w:rsidP="007D663D">
      <w:pPr>
        <w:pStyle w:val="H23G"/>
        <w:rPr>
          <w:lang w:val="en-US"/>
        </w:rPr>
      </w:pPr>
      <w:r>
        <w:rPr>
          <w:lang w:val="en-US"/>
        </w:rPr>
        <w:tab/>
        <w:t>3.</w:t>
      </w:r>
      <w:r>
        <w:rPr>
          <w:lang w:val="en-US"/>
        </w:rPr>
        <w:tab/>
        <w:t>Amendment to the classification of flammable liquids in Chapter 2.6 of the GHS</w:t>
      </w:r>
    </w:p>
    <w:p w14:paraId="03F5E7BC" w14:textId="77777777" w:rsidR="007D663D" w:rsidRDefault="007D663D" w:rsidP="007D663D">
      <w:pPr>
        <w:pStyle w:val="SingleTxtG"/>
        <w:tabs>
          <w:tab w:val="left" w:pos="3119"/>
        </w:tabs>
        <w:spacing w:after="240"/>
        <w:ind w:left="3119" w:hanging="1985"/>
        <w:rPr>
          <w:lang w:val="en-US"/>
        </w:rPr>
      </w:pPr>
      <w:r>
        <w:rPr>
          <w:i/>
          <w:iCs/>
        </w:rPr>
        <w:t>Document:</w:t>
      </w:r>
      <w:r>
        <w:tab/>
      </w:r>
      <w:r>
        <w:rPr>
          <w:lang w:val="en-US"/>
        </w:rPr>
        <w:t>ST/SG/AC.10/C.3/2018/94 (IPPIC)</w:t>
      </w:r>
    </w:p>
    <w:p w14:paraId="0BC7C156" w14:textId="77777777" w:rsidR="007D663D" w:rsidRDefault="007D663D" w:rsidP="007D663D">
      <w:pPr>
        <w:pStyle w:val="SingleTxtG"/>
        <w:tabs>
          <w:tab w:val="left" w:pos="3119"/>
        </w:tabs>
        <w:ind w:left="3119" w:hanging="1985"/>
        <w:rPr>
          <w:lang w:val="en-US"/>
        </w:rPr>
      </w:pPr>
      <w:r>
        <w:rPr>
          <w:i/>
          <w:iCs/>
        </w:rPr>
        <w:t>Informal document:</w:t>
      </w:r>
      <w:r>
        <w:tab/>
      </w:r>
      <w:r>
        <w:rPr>
          <w:lang w:val="en-US"/>
        </w:rPr>
        <w:t>INF.43 (IPPIC)</w:t>
      </w:r>
    </w:p>
    <w:p w14:paraId="0950AFE6" w14:textId="047DC597" w:rsidR="007D663D" w:rsidRDefault="00555602" w:rsidP="007D663D">
      <w:pPr>
        <w:pStyle w:val="SingleTxtG"/>
        <w:rPr>
          <w:lang w:val="en-US"/>
        </w:rPr>
      </w:pPr>
      <w:r>
        <w:rPr>
          <w:lang w:val="en-US"/>
        </w:rPr>
        <w:t>136</w:t>
      </w:r>
      <w:r w:rsidR="007D663D">
        <w:rPr>
          <w:lang w:val="en-US"/>
        </w:rPr>
        <w:t>.</w:t>
      </w:r>
      <w:r w:rsidR="007D663D">
        <w:rPr>
          <w:lang w:val="en-US"/>
        </w:rPr>
        <w:tab/>
        <w:t xml:space="preserve">There was support </w:t>
      </w:r>
      <w:r w:rsidR="001021BC">
        <w:rPr>
          <w:lang w:val="en-US"/>
        </w:rPr>
        <w:t xml:space="preserve">in principle </w:t>
      </w:r>
      <w:r w:rsidR="007D663D">
        <w:rPr>
          <w:lang w:val="en-US"/>
        </w:rPr>
        <w:t>for the proposal in document ST/SG/AC.10/C.3/2018/94. However, it was noted that the modified proposal in informal document INF.43 included consequential amendments to the Manual of Tests and Criteria and that it had been circulated rather late. Since several experts expressed some concerns on the proposed amendments in paragraphs 8 and 9 of informal document INF.43 and indicated that they had not had time to conduct the necessary consultations at national level, the Sub-Committee decided to defer their consideration to the next session.</w:t>
      </w:r>
    </w:p>
    <w:p w14:paraId="7778D21C" w14:textId="6811D4D8" w:rsidR="007D663D" w:rsidRDefault="00555602" w:rsidP="007D663D">
      <w:pPr>
        <w:pStyle w:val="SingleTxtG"/>
      </w:pPr>
      <w:r>
        <w:rPr>
          <w:lang w:val="en-US"/>
        </w:rPr>
        <w:t>137</w:t>
      </w:r>
      <w:r w:rsidR="007D663D">
        <w:rPr>
          <w:lang w:val="en-US"/>
        </w:rPr>
        <w:t>.</w:t>
      </w:r>
      <w:r w:rsidR="007D663D">
        <w:rPr>
          <w:lang w:val="en-US"/>
        </w:rPr>
        <w:tab/>
        <w:t>The representative of IPPIC volunteered to submit an official document for the next session that would also take account of the feedback provided by the GHS Sub-Committee.</w:t>
      </w:r>
    </w:p>
    <w:p w14:paraId="6DFD450F" w14:textId="77777777" w:rsidR="00EB12AB" w:rsidRPr="00D6609E" w:rsidRDefault="00EB12AB" w:rsidP="00EB12AB">
      <w:pPr>
        <w:pStyle w:val="HChG"/>
      </w:pPr>
      <w:r w:rsidRPr="00D6609E">
        <w:tab/>
        <w:t>IX.</w:t>
      </w:r>
      <w:r w:rsidRPr="00D6609E">
        <w:tab/>
        <w:t>Programme of work for the biennium 2019-2020 (agenda item 8)</w:t>
      </w:r>
    </w:p>
    <w:p w14:paraId="284F38E7" w14:textId="77777777" w:rsidR="00EB12AB" w:rsidRPr="00D6609E" w:rsidRDefault="00EB12AB" w:rsidP="00EB12AB">
      <w:pPr>
        <w:pStyle w:val="H1G"/>
      </w:pPr>
      <w:r w:rsidRPr="00D6609E">
        <w:tab/>
        <w:t>A.</w:t>
      </w:r>
      <w:r w:rsidRPr="00D6609E">
        <w:tab/>
        <w:t xml:space="preserve">Revision of names of chemical substances </w:t>
      </w:r>
    </w:p>
    <w:p w14:paraId="0246B17D" w14:textId="77777777" w:rsidR="00EB12AB" w:rsidRPr="00D6609E" w:rsidRDefault="00EB12AB" w:rsidP="00EB12AB">
      <w:pPr>
        <w:pStyle w:val="SingleTxtG"/>
        <w:tabs>
          <w:tab w:val="left" w:pos="3119"/>
        </w:tabs>
        <w:spacing w:after="240"/>
        <w:ind w:left="3119" w:hanging="1985"/>
        <w:rPr>
          <w:lang w:val="en-US"/>
        </w:rPr>
      </w:pPr>
      <w:r w:rsidRPr="00D6609E">
        <w:rPr>
          <w:i/>
          <w:iCs/>
        </w:rPr>
        <w:t>Document:</w:t>
      </w:r>
      <w:r w:rsidRPr="00D6609E">
        <w:tab/>
      </w:r>
      <w:r w:rsidRPr="00D6609E">
        <w:rPr>
          <w:lang w:val="en-US"/>
        </w:rPr>
        <w:t>ST/SG/AC.10/C.3/2018/103 (Spain)</w:t>
      </w:r>
    </w:p>
    <w:p w14:paraId="6D13CB65" w14:textId="0F1F5C01" w:rsidR="00EB12AB" w:rsidRPr="00D6609E" w:rsidRDefault="00555602" w:rsidP="00EB12AB">
      <w:pPr>
        <w:pStyle w:val="SingleTxtG"/>
      </w:pPr>
      <w:r>
        <w:t>138</w:t>
      </w:r>
      <w:r w:rsidR="00EB12AB">
        <w:t>.</w:t>
      </w:r>
      <w:r w:rsidR="00EB12AB">
        <w:tab/>
      </w:r>
      <w:r w:rsidR="00EB12AB" w:rsidRPr="00D6609E">
        <w:t xml:space="preserve">There was no support to include a specific item in the program of work to address this issue. Several experts considered that the proposed review was not justified from a safety point of view and raised concerns about the downstream consequences of changing proper shipping names that have been in place for many years (e.g.: updating of IT databases). The Sub-Committee invited the expert from Spain to work with interested delegations to identify the specific cases where there was an issue with the current description (e.g.: difficulties in the assignment, translation inconsistencies for a given description, lack of clarity of the applicability of a specific entry to all or only some isomers, etc). </w:t>
      </w:r>
    </w:p>
    <w:p w14:paraId="5B6B5E87" w14:textId="77777777" w:rsidR="0031479D" w:rsidRDefault="0031479D">
      <w:pPr>
        <w:suppressAutoHyphens w:val="0"/>
        <w:spacing w:line="240" w:lineRule="auto"/>
        <w:rPr>
          <w:b/>
          <w:sz w:val="24"/>
        </w:rPr>
      </w:pPr>
      <w:r>
        <w:br w:type="page"/>
      </w:r>
    </w:p>
    <w:p w14:paraId="2B6ECA5F" w14:textId="14214547" w:rsidR="00EB12AB" w:rsidRPr="00D6609E" w:rsidRDefault="00EB12AB" w:rsidP="00EB12AB">
      <w:pPr>
        <w:pStyle w:val="H1G"/>
      </w:pPr>
      <w:r w:rsidRPr="00D6609E">
        <w:lastRenderedPageBreak/>
        <w:tab/>
        <w:t>B.</w:t>
      </w:r>
      <w:r w:rsidRPr="00D6609E">
        <w:tab/>
        <w:t>Tests for oxidizing liquids (UN Test O.2) and oxidizing solids (UN Tests O.1 and O.3) </w:t>
      </w:r>
    </w:p>
    <w:p w14:paraId="54565F79" w14:textId="77777777" w:rsidR="00EB12AB" w:rsidRPr="00D6609E" w:rsidRDefault="00EB12AB" w:rsidP="00EB12AB">
      <w:pPr>
        <w:pStyle w:val="SingleTxtG"/>
        <w:tabs>
          <w:tab w:val="left" w:pos="3119"/>
        </w:tabs>
        <w:spacing w:after="240"/>
        <w:ind w:left="3119" w:hanging="1985"/>
        <w:rPr>
          <w:lang w:val="en-US"/>
        </w:rPr>
      </w:pPr>
      <w:r w:rsidRPr="00D6609E">
        <w:rPr>
          <w:i/>
          <w:iCs/>
        </w:rPr>
        <w:t>Document:</w:t>
      </w:r>
      <w:r w:rsidRPr="00D6609E">
        <w:tab/>
      </w:r>
      <w:r w:rsidRPr="00D6609E">
        <w:rPr>
          <w:lang w:val="en-US"/>
        </w:rPr>
        <w:t>ST/SG/AC.10/C.3/2018/116, paragraph 22 (France)</w:t>
      </w:r>
    </w:p>
    <w:p w14:paraId="1099914E" w14:textId="77777777" w:rsidR="00EB12AB" w:rsidRPr="00D6609E" w:rsidRDefault="00EB12AB" w:rsidP="00EB12AB">
      <w:pPr>
        <w:pStyle w:val="SingleTxtG"/>
        <w:tabs>
          <w:tab w:val="left" w:pos="3119"/>
        </w:tabs>
        <w:ind w:left="3119" w:hanging="1985"/>
        <w:rPr>
          <w:lang w:val="en-US"/>
        </w:rPr>
      </w:pPr>
      <w:r w:rsidRPr="00D6609E">
        <w:rPr>
          <w:i/>
          <w:iCs/>
        </w:rPr>
        <w:t>Informal documents:</w:t>
      </w:r>
      <w:r w:rsidRPr="00D6609E">
        <w:tab/>
      </w:r>
      <w:r w:rsidRPr="00D6609E">
        <w:rPr>
          <w:lang w:val="en-US"/>
        </w:rPr>
        <w:t>INF.35 (France)</w:t>
      </w:r>
    </w:p>
    <w:p w14:paraId="6E6829D6" w14:textId="41195DAB" w:rsidR="00EB12AB" w:rsidRPr="00D6609E" w:rsidRDefault="00555602" w:rsidP="00EB12AB">
      <w:pPr>
        <w:pStyle w:val="SingleTxtG"/>
      </w:pPr>
      <w:r>
        <w:t>139</w:t>
      </w:r>
      <w:r w:rsidR="00EB12AB">
        <w:t>.</w:t>
      </w:r>
      <w:r w:rsidR="00EB12AB">
        <w:tab/>
      </w:r>
      <w:r w:rsidR="00EB12AB" w:rsidRPr="00D6609E">
        <w:t>The Sub-Committee noted that work on tests O.1, O.2 and O.3 would have to be pursued during the next biennium and agreed to the additiona</w:t>
      </w:r>
      <w:r w:rsidR="00EB12AB">
        <w:t>l tasks proposed in paragraph 2 </w:t>
      </w:r>
      <w:r w:rsidR="00EB12AB" w:rsidRPr="00D6609E">
        <w:t xml:space="preserve">(a) and (b) of informal document INF.35, as well as those listed in paragraph 3 of informal document INF.56 (submitted at the fifty-third session) referred to in document </w:t>
      </w:r>
      <w:r w:rsidR="00EB12AB" w:rsidRPr="00D6609E">
        <w:rPr>
          <w:lang w:val="en-US"/>
        </w:rPr>
        <w:t>ST/SG/AC.10/C.3/2018/116, paragraph 22</w:t>
      </w:r>
      <w:r w:rsidR="00EB12AB" w:rsidRPr="00D6609E">
        <w:t xml:space="preserve">. It was also noted that France would continue </w:t>
      </w:r>
      <w:r w:rsidR="00EB12AB">
        <w:t xml:space="preserve">to lead </w:t>
      </w:r>
      <w:r w:rsidR="00EB12AB" w:rsidRPr="00D6609E">
        <w:t xml:space="preserve">the work on this matter. </w:t>
      </w:r>
    </w:p>
    <w:p w14:paraId="2D19E20A" w14:textId="77777777" w:rsidR="00EB12AB" w:rsidRPr="00D6609E" w:rsidRDefault="00EB12AB" w:rsidP="00EB12AB">
      <w:pPr>
        <w:pStyle w:val="H1G"/>
      </w:pPr>
      <w:r w:rsidRPr="00D6609E">
        <w:tab/>
        <w:t xml:space="preserve">C. </w:t>
      </w:r>
      <w:r w:rsidRPr="00D6609E">
        <w:tab/>
        <w:t xml:space="preserve">Working Group on Explosives </w:t>
      </w:r>
    </w:p>
    <w:p w14:paraId="550177AB" w14:textId="052B31A8" w:rsidR="00EB12AB" w:rsidRPr="00D6609E" w:rsidRDefault="00555602" w:rsidP="00EB12AB">
      <w:pPr>
        <w:pStyle w:val="SingleTxtG"/>
      </w:pPr>
      <w:r>
        <w:t>140</w:t>
      </w:r>
      <w:r w:rsidR="00EB12AB">
        <w:t>.</w:t>
      </w:r>
      <w:r w:rsidR="00EB12AB">
        <w:tab/>
      </w:r>
      <w:r w:rsidR="00EB12AB" w:rsidRPr="00D6609E">
        <w:t xml:space="preserve">The Sub-Committee agreed </w:t>
      </w:r>
      <w:r w:rsidR="00EB12AB">
        <w:t xml:space="preserve">on the work items for 2019-2020 proposed by Working Group in paragraph 21 of informal document INF.50. It also agreed </w:t>
      </w:r>
      <w:r w:rsidR="00EB12AB" w:rsidRPr="00D6609E">
        <w:t xml:space="preserve">that the Working Group should meet again twice during </w:t>
      </w:r>
      <w:r w:rsidR="00EB12AB">
        <w:t>that period</w:t>
      </w:r>
      <w:r w:rsidR="00EB12AB" w:rsidRPr="00D6609E">
        <w:t xml:space="preserve"> under the Chairmanship </w:t>
      </w:r>
      <w:r w:rsidR="00EB12AB">
        <w:t xml:space="preserve">of Mr. E de Jong (Netherlands). </w:t>
      </w:r>
    </w:p>
    <w:p w14:paraId="3458B363" w14:textId="77777777" w:rsidR="00EB12AB" w:rsidRPr="00D6609E" w:rsidRDefault="00EB12AB" w:rsidP="00EB12AB">
      <w:pPr>
        <w:pStyle w:val="H1G"/>
      </w:pPr>
      <w:r w:rsidRPr="00D6609E">
        <w:tab/>
        <w:t xml:space="preserve">D. </w:t>
      </w:r>
      <w:r w:rsidRPr="00D6609E">
        <w:tab/>
        <w:t xml:space="preserve">Consolidated programme of work for 2019-2020 </w:t>
      </w:r>
    </w:p>
    <w:p w14:paraId="49E6B5C1" w14:textId="77777777" w:rsidR="00EB12AB" w:rsidRDefault="00EB12AB" w:rsidP="00EB12AB">
      <w:pPr>
        <w:pStyle w:val="SingleTxtG"/>
        <w:tabs>
          <w:tab w:val="left" w:pos="3119"/>
        </w:tabs>
        <w:ind w:left="3119" w:hanging="1985"/>
        <w:rPr>
          <w:lang w:val="en-US"/>
        </w:rPr>
      </w:pPr>
      <w:r w:rsidRPr="00D6609E">
        <w:rPr>
          <w:i/>
          <w:iCs/>
        </w:rPr>
        <w:t>Informal document:</w:t>
      </w:r>
      <w:r w:rsidRPr="00D6609E">
        <w:tab/>
      </w:r>
      <w:r w:rsidRPr="00D6609E">
        <w:rPr>
          <w:lang w:val="en-US"/>
        </w:rPr>
        <w:t>INF.54 (Secretariat)</w:t>
      </w:r>
    </w:p>
    <w:p w14:paraId="32D79052" w14:textId="651CA6E9" w:rsidR="00EB12AB" w:rsidRDefault="00555602" w:rsidP="00EB12AB">
      <w:pPr>
        <w:pStyle w:val="SingleTxtG"/>
      </w:pPr>
      <w:r>
        <w:t>141</w:t>
      </w:r>
      <w:r w:rsidR="00EB12AB">
        <w:t>.</w:t>
      </w:r>
      <w:r w:rsidR="00EB12AB">
        <w:tab/>
      </w:r>
      <w:r w:rsidR="00EB12AB" w:rsidRPr="00E114EF">
        <w:t xml:space="preserve">On the basis of the proposals discussed and approved under </w:t>
      </w:r>
      <w:r w:rsidR="00EB12AB" w:rsidRPr="00D6609E">
        <w:t>sections A to C above and the</w:t>
      </w:r>
      <w:r w:rsidR="00EB12AB" w:rsidRPr="00E114EF">
        <w:t xml:space="preserve"> various agenda items for this session, the Sub-Committee agreed to include the following items in its work programme for 2019-2020:</w:t>
      </w:r>
    </w:p>
    <w:p w14:paraId="12C86026" w14:textId="77777777" w:rsidR="00EB12AB" w:rsidRPr="00D6609E" w:rsidRDefault="00EB12AB" w:rsidP="00694845">
      <w:pPr>
        <w:pStyle w:val="SingleTxtG"/>
        <w:ind w:left="2268" w:hanging="567"/>
      </w:pPr>
      <w:r w:rsidRPr="00D6609E">
        <w:t xml:space="preserve">(a) </w:t>
      </w:r>
      <w:r w:rsidRPr="00D6609E">
        <w:tab/>
        <w:t>Explosives and related matters (including review of test series 6; improvement of test series 8; review of tests in parts I, II and III of the Manual of Tests and Criteria; UN standard detonator; review of packing instructions for explosives; application of security provisions to explosives N.O.S.; Test N.1 for readily combustible solids; review of Chapter 2.1 of the GHS; energetic samples; issues related to the definition of explosives; review of packaging and transport requirements for ANEs);</w:t>
      </w:r>
    </w:p>
    <w:p w14:paraId="2C1D5AC9" w14:textId="77777777" w:rsidR="00EB12AB" w:rsidRPr="00C40A46" w:rsidRDefault="00EB12AB" w:rsidP="00F057D6">
      <w:pPr>
        <w:pStyle w:val="SingleTxtG"/>
        <w:ind w:left="2268" w:hanging="567"/>
      </w:pPr>
      <w:r w:rsidRPr="00D6609E">
        <w:t xml:space="preserve">(b) </w:t>
      </w:r>
      <w:r w:rsidRPr="00D6609E">
        <w:tab/>
        <w:t>Listing, classification and packing</w:t>
      </w:r>
      <w:r w:rsidRPr="00D6609E">
        <w:rPr>
          <w:lang w:val="fr-CH"/>
        </w:rPr>
        <w:t xml:space="preserve"> </w:t>
      </w:r>
      <w:r w:rsidRPr="00D6609E">
        <w:t>(including amendments to the list of dangerous goods and packing instructions</w:t>
      </w:r>
      <w:r w:rsidRPr="00D6609E">
        <w:rPr>
          <w:lang w:val="fr-CH"/>
        </w:rPr>
        <w:t>;</w:t>
      </w:r>
      <w:r w:rsidRPr="00D6609E">
        <w:t xml:space="preserve"> </w:t>
      </w:r>
      <w:r w:rsidRPr="00572528">
        <w:t>toxicity of UN Nos. 2248, 2264 and 2357</w:t>
      </w:r>
      <w:r>
        <w:t xml:space="preserve">, polymerizing </w:t>
      </w:r>
      <w:r w:rsidRPr="00C40A46">
        <w:t>substances</w:t>
      </w:r>
      <w:r w:rsidRPr="00C40A46">
        <w:rPr>
          <w:lang w:val="fr-CH"/>
        </w:rPr>
        <w:t>);</w:t>
      </w:r>
      <w:r w:rsidRPr="00C40A46">
        <w:t xml:space="preserve"> </w:t>
      </w:r>
    </w:p>
    <w:p w14:paraId="7D30A7B5" w14:textId="482DD882" w:rsidR="00EB12AB" w:rsidRPr="00D6609E" w:rsidRDefault="00EB12AB" w:rsidP="00F057D6">
      <w:pPr>
        <w:pStyle w:val="SingleTxtG"/>
        <w:ind w:left="2268" w:hanging="567"/>
      </w:pPr>
      <w:r w:rsidRPr="00D6609E">
        <w:t xml:space="preserve">(c) </w:t>
      </w:r>
      <w:r w:rsidRPr="00D6609E">
        <w:tab/>
        <w:t>Electric storage systems (including testing of lithium batteries; hazard-based system for classification of lithium b</w:t>
      </w:r>
      <w:r>
        <w:t>atteries; transport provisions</w:t>
      </w:r>
      <w:r w:rsidRPr="00572528">
        <w:t>; damaged or defective lithium batteries; and sodium-ion batteries);</w:t>
      </w:r>
      <w:r w:rsidRPr="00D6609E">
        <w:t xml:space="preserve"> </w:t>
      </w:r>
    </w:p>
    <w:p w14:paraId="4E9ED106" w14:textId="77777777" w:rsidR="00EB12AB" w:rsidRPr="00D6609E" w:rsidRDefault="00EB12AB" w:rsidP="00F057D6">
      <w:pPr>
        <w:pStyle w:val="SingleTxtG"/>
        <w:ind w:left="2268" w:hanging="567"/>
      </w:pPr>
      <w:r w:rsidRPr="00D6609E">
        <w:t xml:space="preserve">(d) </w:t>
      </w:r>
      <w:r w:rsidRPr="00D6609E">
        <w:tab/>
        <w:t xml:space="preserve">Transport of gases (including global recognition of UN and non-UN pressure receptacles); </w:t>
      </w:r>
    </w:p>
    <w:p w14:paraId="3DC5C033" w14:textId="77777777" w:rsidR="00EB12AB" w:rsidRPr="00D6609E" w:rsidRDefault="00EB12AB" w:rsidP="00F057D6">
      <w:pPr>
        <w:pStyle w:val="SingleTxtG"/>
        <w:ind w:left="2268" w:hanging="567"/>
      </w:pPr>
      <w:r w:rsidRPr="00D6609E">
        <w:t xml:space="preserve">(e) </w:t>
      </w:r>
      <w:r w:rsidRPr="00D6609E">
        <w:tab/>
        <w:t>Miscellaneous proposals of amendments to the Model Regulations (</w:t>
      </w:r>
      <w:r>
        <w:t xml:space="preserve">including documentation (e.g. e-documentation), </w:t>
      </w:r>
      <w:r w:rsidRPr="00D6609E">
        <w:t>marking and labelling issues; packaging issues; tank issues</w:t>
      </w:r>
      <w:r>
        <w:t>; fibre-reinforced plastics (FRP) portable tanks</w:t>
      </w:r>
      <w:r w:rsidRPr="00D6609E">
        <w:t xml:space="preserve">); </w:t>
      </w:r>
    </w:p>
    <w:p w14:paraId="666B4961" w14:textId="77777777" w:rsidR="00EB12AB" w:rsidRPr="00D6609E" w:rsidRDefault="00EB12AB" w:rsidP="00F057D6">
      <w:pPr>
        <w:pStyle w:val="SingleTxtG"/>
        <w:ind w:left="2268" w:hanging="567"/>
      </w:pPr>
      <w:r w:rsidRPr="00D6609E">
        <w:t xml:space="preserve">(f) </w:t>
      </w:r>
      <w:r w:rsidRPr="00D6609E">
        <w:tab/>
        <w:t xml:space="preserve">Cooperation with IAEA; </w:t>
      </w:r>
    </w:p>
    <w:p w14:paraId="3CEAFACF" w14:textId="77777777" w:rsidR="00EB12AB" w:rsidRPr="00D6609E" w:rsidRDefault="00EB12AB" w:rsidP="00F057D6">
      <w:pPr>
        <w:pStyle w:val="SingleTxtG"/>
        <w:ind w:left="2268" w:hanging="567"/>
      </w:pPr>
      <w:r w:rsidRPr="00D6609E">
        <w:t xml:space="preserve">(g) </w:t>
      </w:r>
      <w:r w:rsidRPr="00D6609E">
        <w:tab/>
        <w:t xml:space="preserve">Global harmonization of transport of dangerous goods regulations with the Model Regulations; </w:t>
      </w:r>
    </w:p>
    <w:p w14:paraId="1DA4B89C" w14:textId="77777777" w:rsidR="00EB12AB" w:rsidRPr="00D6609E" w:rsidRDefault="00EB12AB" w:rsidP="00F057D6">
      <w:pPr>
        <w:pStyle w:val="SingleTxtG"/>
        <w:ind w:left="2268" w:hanging="567"/>
      </w:pPr>
      <w:r w:rsidRPr="00D6609E">
        <w:lastRenderedPageBreak/>
        <w:t xml:space="preserve">(h) </w:t>
      </w:r>
      <w:r w:rsidRPr="00D6609E">
        <w:tab/>
        <w:t xml:space="preserve">Guiding principles for the Model Regulations; </w:t>
      </w:r>
    </w:p>
    <w:p w14:paraId="534AF13E" w14:textId="08DA7298" w:rsidR="00EB12AB" w:rsidRPr="00064560" w:rsidRDefault="00EB12AB" w:rsidP="00F057D6">
      <w:pPr>
        <w:pStyle w:val="SingleTxtG"/>
        <w:ind w:left="2268" w:hanging="567"/>
      </w:pPr>
      <w:r w:rsidRPr="00D6609E">
        <w:t xml:space="preserve">(i) </w:t>
      </w:r>
      <w:r w:rsidRPr="00D6609E">
        <w:tab/>
      </w:r>
      <w:r w:rsidRPr="00266E7D">
        <w:t xml:space="preserve">Issues relating to the GHS (including testing of oxidizing substances; </w:t>
      </w:r>
      <w:r>
        <w:t>chemicals under pressure</w:t>
      </w:r>
      <w:r w:rsidRPr="00266E7D">
        <w:t>, references to OEC</w:t>
      </w:r>
      <w:r w:rsidR="0031479D">
        <w:t>D Guidelines; review of Chapter </w:t>
      </w:r>
      <w:r w:rsidRPr="00266E7D">
        <w:t xml:space="preserve">2.1 of the GHS; </w:t>
      </w:r>
      <w:r w:rsidR="001021BC">
        <w:t>simultaneous classification in physical hazards and precedence of hazards</w:t>
      </w:r>
      <w:r w:rsidRPr="00266E7D">
        <w:t>);</w:t>
      </w:r>
    </w:p>
    <w:p w14:paraId="7AF9C945" w14:textId="68459469" w:rsidR="00EC51C7" w:rsidRPr="00B30333" w:rsidRDefault="00EC51C7" w:rsidP="00A224C6">
      <w:pPr>
        <w:pStyle w:val="HChG"/>
      </w:pPr>
      <w:r>
        <w:tab/>
        <w:t>X</w:t>
      </w:r>
      <w:r w:rsidRPr="00B30333">
        <w:t>.</w:t>
      </w:r>
      <w:r w:rsidRPr="00B30333">
        <w:tab/>
        <w:t>Draft resolution 2019/… of the Economic and Social Council</w:t>
      </w:r>
      <w:r>
        <w:t xml:space="preserve"> (agenda item 9)</w:t>
      </w:r>
    </w:p>
    <w:p w14:paraId="1E3BE33A" w14:textId="0F2840F6" w:rsidR="00EC51C7" w:rsidRDefault="00EC51C7" w:rsidP="00035D90">
      <w:pPr>
        <w:pStyle w:val="SingleTxtG"/>
        <w:tabs>
          <w:tab w:val="left" w:pos="3119"/>
        </w:tabs>
      </w:pPr>
      <w:r w:rsidRPr="00EC51C7">
        <w:rPr>
          <w:i/>
          <w:iCs/>
        </w:rPr>
        <w:t>Informal document:</w:t>
      </w:r>
      <w:r w:rsidR="00035D90">
        <w:tab/>
      </w:r>
      <w:r>
        <w:t>INF.33 (Secretariat)</w:t>
      </w:r>
    </w:p>
    <w:p w14:paraId="50BBF4A2" w14:textId="447215D6" w:rsidR="00A37032" w:rsidRDefault="00555602" w:rsidP="00A37032">
      <w:pPr>
        <w:pStyle w:val="SingleTxtG"/>
      </w:pPr>
      <w:r>
        <w:t>142</w:t>
      </w:r>
      <w:r w:rsidR="00A37032">
        <w:t>.</w:t>
      </w:r>
      <w:r w:rsidR="00A37032">
        <w:tab/>
        <w:t>The Sub-Committee adopted without any objection part A of the resolution, dealing with its work during the biennium 2017-2018, based on a draft prepared by the secretariat.</w:t>
      </w:r>
    </w:p>
    <w:p w14:paraId="3EB21540" w14:textId="77777777" w:rsidR="00EB12AB" w:rsidRDefault="00EB12AB" w:rsidP="00EB12AB">
      <w:pPr>
        <w:pStyle w:val="HChG"/>
      </w:pPr>
      <w:r>
        <w:tab/>
        <w:t>XI.</w:t>
      </w:r>
      <w:r>
        <w:tab/>
        <w:t>Election of officers for the biennium 2019-2020 (agenda item 10)</w:t>
      </w:r>
    </w:p>
    <w:p w14:paraId="50E61BAE" w14:textId="67BC94F9" w:rsidR="00EB12AB" w:rsidRPr="00A036D1" w:rsidRDefault="00555602" w:rsidP="00EB12AB">
      <w:pPr>
        <w:pStyle w:val="SingleTxtG"/>
      </w:pPr>
      <w:r>
        <w:t>143</w:t>
      </w:r>
      <w:r w:rsidR="00EB12AB" w:rsidRPr="00C40A46">
        <w:t>.</w:t>
      </w:r>
      <w:r w:rsidR="00EB12AB" w:rsidRPr="00C40A46">
        <w:tab/>
        <w:t>On a proposal by the expert from Germany supported by the experts from Canada and China the Sub-Committee reelected Mr. D. Pfund (United States of America) as Chairman and Mr. C. Pfauvadel (France) as Vice-Chairman respectively, for the next biennium.</w:t>
      </w:r>
    </w:p>
    <w:p w14:paraId="1F4F75EB" w14:textId="17070473" w:rsidR="00EC51C7" w:rsidRDefault="00EC51C7" w:rsidP="00A224C6">
      <w:pPr>
        <w:pStyle w:val="HChG"/>
      </w:pPr>
      <w:r>
        <w:tab/>
        <w:t>XII.</w:t>
      </w:r>
      <w:r>
        <w:tab/>
        <w:t>Other business (agenda item 11)</w:t>
      </w:r>
    </w:p>
    <w:p w14:paraId="774D9E7D" w14:textId="48ABF351" w:rsidR="00A37032" w:rsidRDefault="00555602" w:rsidP="00A37032">
      <w:pPr>
        <w:pStyle w:val="SingleTxtG"/>
      </w:pPr>
      <w:r>
        <w:t>144</w:t>
      </w:r>
      <w:r w:rsidR="00A37032">
        <w:t>.</w:t>
      </w:r>
      <w:r w:rsidR="00A37032">
        <w:tab/>
        <w:t>The representative of CEFIC delivered a presentation on the “</w:t>
      </w:r>
      <w:r w:rsidR="00A37032" w:rsidRPr="0050231E">
        <w:t>Safety and Quality Assessment for Sustainability</w:t>
      </w:r>
      <w:r w:rsidR="00A37032">
        <w:t>” (SQAS)</w:t>
      </w:r>
      <w:r w:rsidR="00A37032" w:rsidRPr="0050231E">
        <w:rPr>
          <w:rFonts w:ascii="Arial" w:hAnsi="Arial" w:cs="Arial"/>
          <w:color w:val="6A747C"/>
          <w:sz w:val="18"/>
          <w:szCs w:val="18"/>
          <w:shd w:val="clear" w:color="auto" w:fill="FFFFFF"/>
        </w:rPr>
        <w:t xml:space="preserve"> </w:t>
      </w:r>
      <w:r w:rsidR="00A37032" w:rsidRPr="0050231E">
        <w:t>for evaluating the safety, security, heal</w:t>
      </w:r>
      <w:r w:rsidR="00A37032">
        <w:t>th, quality, environmental and corporate social r</w:t>
      </w:r>
      <w:r w:rsidR="00A37032" w:rsidRPr="0050231E">
        <w:t>esponsibility standards of their logistics service</w:t>
      </w:r>
      <w:r w:rsidR="00A37032">
        <w:rPr>
          <w:rFonts w:ascii="Arial" w:hAnsi="Arial" w:cs="Arial"/>
          <w:color w:val="6A747C"/>
          <w:sz w:val="18"/>
          <w:szCs w:val="18"/>
          <w:shd w:val="clear" w:color="auto" w:fill="FFFFFF"/>
        </w:rPr>
        <w:t xml:space="preserve"> </w:t>
      </w:r>
      <w:r w:rsidR="00A37032" w:rsidRPr="0050231E">
        <w:t>providers. SQAS covers all key service providers in the land-logistics chain: road transport companies, intermodal operators and terminals, rail carriers, rail tank car maintenance workshops, packaged goods warehouses and tank cleaning stations.</w:t>
      </w:r>
      <w:r w:rsidR="00A37032">
        <w:t xml:space="preserve"> </w:t>
      </w:r>
    </w:p>
    <w:p w14:paraId="77C613E6" w14:textId="07A2429F" w:rsidR="00A37032" w:rsidRDefault="00555602" w:rsidP="00A37032">
      <w:pPr>
        <w:pStyle w:val="SingleTxtG"/>
      </w:pPr>
      <w:r>
        <w:t>145</w:t>
      </w:r>
      <w:r w:rsidR="00A37032">
        <w:t>.</w:t>
      </w:r>
      <w:r w:rsidR="00A37032">
        <w:tab/>
        <w:t>The representative of RPMASA indicated that the chemical distribution industry had developed a similar tool for the supply chain</w:t>
      </w:r>
      <w:r w:rsidR="001021BC">
        <w:rPr>
          <w:rStyle w:val="FootnoteReference"/>
        </w:rPr>
        <w:footnoteReference w:id="4"/>
      </w:r>
      <w:r w:rsidR="00A37032">
        <w:t>.</w:t>
      </w:r>
    </w:p>
    <w:p w14:paraId="4156CC29" w14:textId="77777777" w:rsidR="00EB12AB" w:rsidRDefault="00EB12AB" w:rsidP="00EB12AB">
      <w:pPr>
        <w:pStyle w:val="HChG"/>
      </w:pPr>
      <w:r>
        <w:tab/>
        <w:t>XIII.</w:t>
      </w:r>
      <w:r>
        <w:tab/>
      </w:r>
      <w:r>
        <w:tab/>
        <w:t>Adoption of the report (agenda item 12)</w:t>
      </w:r>
    </w:p>
    <w:p w14:paraId="39E31304" w14:textId="51A1327F" w:rsidR="00EB12AB" w:rsidRDefault="00555602" w:rsidP="00EB12AB">
      <w:pPr>
        <w:pStyle w:val="SingleTxtG"/>
      </w:pPr>
      <w:r>
        <w:t>146</w:t>
      </w:r>
      <w:r w:rsidR="00EB12AB">
        <w:t>.</w:t>
      </w:r>
      <w:r w:rsidR="00EB12AB">
        <w:tab/>
        <w:t>In accordance with established practice, the Sub-Committee adopt</w:t>
      </w:r>
      <w:r w:rsidR="00972C2E">
        <w:t>ed</w:t>
      </w:r>
      <w:r w:rsidR="00EB12AB">
        <w:t xml:space="preserve"> the report on its fifty-fourth session on the basis of a draft prepared by the secretariat.</w:t>
      </w:r>
    </w:p>
    <w:p w14:paraId="7E65BEA8" w14:textId="695140AB" w:rsidR="0006628B" w:rsidRDefault="0006628B" w:rsidP="007B503C">
      <w:pPr>
        <w:pStyle w:val="SingleTxtG"/>
        <w:spacing w:before="240" w:after="0"/>
        <w:jc w:val="center"/>
        <w:rPr>
          <w:u w:val="single"/>
        </w:rPr>
      </w:pPr>
    </w:p>
    <w:p w14:paraId="6A48A72E" w14:textId="77777777" w:rsidR="0006628B" w:rsidRDefault="0006628B">
      <w:pPr>
        <w:suppressAutoHyphens w:val="0"/>
        <w:spacing w:line="240" w:lineRule="auto"/>
        <w:rPr>
          <w:u w:val="single"/>
        </w:rPr>
      </w:pPr>
      <w:r>
        <w:rPr>
          <w:u w:val="single"/>
        </w:rPr>
        <w:br w:type="page"/>
      </w:r>
    </w:p>
    <w:p w14:paraId="52EEE721" w14:textId="0D37A744" w:rsidR="007B503C" w:rsidRDefault="0006628B" w:rsidP="00A224C6">
      <w:pPr>
        <w:pStyle w:val="HChG"/>
      </w:pPr>
      <w:r>
        <w:lastRenderedPageBreak/>
        <w:t>Annexes</w:t>
      </w:r>
    </w:p>
    <w:p w14:paraId="6A5FA0B6" w14:textId="77777777" w:rsidR="00C11A81" w:rsidRDefault="00C11A81" w:rsidP="00C11A81">
      <w:pPr>
        <w:pStyle w:val="HChG"/>
      </w:pPr>
      <w:r>
        <w:tab/>
      </w:r>
      <w:r w:rsidRPr="008D42A9">
        <w:t>I.</w:t>
      </w:r>
      <w:r w:rsidRPr="008D42A9">
        <w:tab/>
        <w:t>Draft amendments to the twentieth revised edition of the Recommendations on the Transport of Dangerous Goods, Model Regulations (ST/SG/AC.10/1/Rev.20)</w:t>
      </w:r>
    </w:p>
    <w:p w14:paraId="59C84E4C" w14:textId="21F15587" w:rsidR="00C11A81" w:rsidRPr="0070045A" w:rsidRDefault="00C11A81" w:rsidP="0070045A">
      <w:pPr>
        <w:pStyle w:val="H1G"/>
      </w:pPr>
      <w:r w:rsidRPr="0070045A">
        <w:tab/>
      </w:r>
      <w:r w:rsidRPr="0070045A">
        <w:tab/>
        <w:t>(see ST/SG/AC.10/C.3/108/Add.1)</w:t>
      </w:r>
      <w:r w:rsidRPr="0070045A">
        <w:tab/>
      </w:r>
      <w:r w:rsidRPr="0070045A">
        <w:tab/>
      </w:r>
    </w:p>
    <w:p w14:paraId="02DFBA37" w14:textId="77777777" w:rsidR="00C11A81" w:rsidRDefault="00C11A81" w:rsidP="00C11A81">
      <w:pPr>
        <w:pStyle w:val="HChG"/>
      </w:pPr>
      <w:r w:rsidRPr="008D42A9">
        <w:tab/>
        <w:t>II.</w:t>
      </w:r>
      <w:r w:rsidRPr="008D42A9">
        <w:tab/>
        <w:t>Draft amendments to the sixth revised edition of the Recommendations on the Transport of Dangerous Goods, Manual of Tests and Criteria (ST/SG/AC.10/11/Rev.6 and Amend.1)</w:t>
      </w:r>
    </w:p>
    <w:p w14:paraId="7470A67B" w14:textId="4D8BF70B" w:rsidR="00C11A81" w:rsidRPr="0070045A" w:rsidRDefault="00C11A81" w:rsidP="0070045A">
      <w:pPr>
        <w:pStyle w:val="H1G"/>
      </w:pPr>
      <w:r w:rsidRPr="0070045A">
        <w:tab/>
      </w:r>
      <w:r w:rsidRPr="0070045A">
        <w:tab/>
      </w:r>
      <w:r w:rsidRPr="0070045A">
        <w:tab/>
        <w:t>(see ST/SG/AC.10/C.3/108/Add.1)</w:t>
      </w:r>
      <w:r w:rsidRPr="0070045A">
        <w:tab/>
      </w:r>
    </w:p>
    <w:p w14:paraId="3469CF22" w14:textId="77777777" w:rsidR="00C11A81" w:rsidRDefault="00C11A81" w:rsidP="00C11A81">
      <w:pPr>
        <w:pStyle w:val="HChG"/>
      </w:pPr>
      <w:r w:rsidRPr="008D42A9">
        <w:tab/>
        <w:t>III.</w:t>
      </w:r>
      <w:r w:rsidRPr="008D42A9">
        <w:tab/>
        <w:t>Corrections to the twentieth revised edition of the Recommendations on the Transport of Dangerous Goods, Model Regulations</w:t>
      </w:r>
      <w:r>
        <w:t xml:space="preserve"> </w:t>
      </w:r>
      <w:r w:rsidRPr="008D42A9">
        <w:t>(ST/SG/AC.10/1/Rev.20)</w:t>
      </w:r>
    </w:p>
    <w:p w14:paraId="20AFAA9B" w14:textId="2B2FCC23" w:rsidR="00C11A81" w:rsidRDefault="00C11A81" w:rsidP="0070045A">
      <w:pPr>
        <w:pStyle w:val="H1G"/>
      </w:pPr>
      <w:r>
        <w:tab/>
      </w:r>
      <w:r>
        <w:tab/>
        <w:t>(see ST/SG/AC.10/C.3/108/Add.1)</w:t>
      </w:r>
      <w:r w:rsidRPr="008D42A9">
        <w:tab/>
      </w:r>
    </w:p>
    <w:p w14:paraId="63B72DF5" w14:textId="056B08A4" w:rsidR="00EA74AF" w:rsidRPr="00EA74AF" w:rsidRDefault="00EA74AF" w:rsidP="00EA74AF">
      <w:pPr>
        <w:spacing w:before="240"/>
        <w:ind w:left="1134" w:right="1134"/>
        <w:jc w:val="center"/>
        <w:rPr>
          <w:u w:val="single"/>
        </w:rPr>
      </w:pPr>
      <w:r>
        <w:rPr>
          <w:u w:val="single"/>
        </w:rPr>
        <w:tab/>
      </w:r>
      <w:r>
        <w:rPr>
          <w:u w:val="single"/>
        </w:rPr>
        <w:tab/>
      </w:r>
      <w:r>
        <w:rPr>
          <w:u w:val="single"/>
        </w:rPr>
        <w:tab/>
      </w:r>
    </w:p>
    <w:p w14:paraId="0E30C1C5" w14:textId="77777777" w:rsidR="00C11A81" w:rsidRDefault="00C11A81" w:rsidP="00C11A81">
      <w:pPr>
        <w:pStyle w:val="HChG"/>
      </w:pPr>
    </w:p>
    <w:p w14:paraId="033D17D7" w14:textId="77777777" w:rsidR="00C11A81" w:rsidRPr="00C11A81" w:rsidRDefault="00C11A81" w:rsidP="00C11A81">
      <w:pPr>
        <w:pStyle w:val="HChG"/>
      </w:pPr>
    </w:p>
    <w:sectPr w:rsidR="00C11A81" w:rsidRPr="00C11A81" w:rsidSect="00570D7E">
      <w:headerReference w:type="even" r:id="rId13"/>
      <w:headerReference w:type="default" r:id="rId14"/>
      <w:footerReference w:type="even" r:id="rId15"/>
      <w:footerReference w:type="default" r:id="rId16"/>
      <w:footerReference w:type="first" r:id="rId17"/>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E4B1C" w14:textId="77777777" w:rsidR="00571077" w:rsidRDefault="00571077"/>
  </w:endnote>
  <w:endnote w:type="continuationSeparator" w:id="0">
    <w:p w14:paraId="64F79559" w14:textId="77777777" w:rsidR="00571077" w:rsidRDefault="00571077"/>
  </w:endnote>
  <w:endnote w:type="continuationNotice" w:id="1">
    <w:p w14:paraId="148B6F16" w14:textId="77777777" w:rsidR="00571077" w:rsidRDefault="005710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314AA" w14:textId="40E12B6A" w:rsidR="00571077" w:rsidRPr="0063461B" w:rsidRDefault="00571077" w:rsidP="0063461B">
    <w:pPr>
      <w:pStyle w:val="Footer"/>
      <w:tabs>
        <w:tab w:val="right" w:pos="9638"/>
      </w:tabs>
    </w:pPr>
    <w:r w:rsidRPr="0063461B">
      <w:rPr>
        <w:b/>
        <w:sz w:val="18"/>
      </w:rPr>
      <w:fldChar w:fldCharType="begin"/>
    </w:r>
    <w:r w:rsidRPr="0063461B">
      <w:rPr>
        <w:b/>
        <w:sz w:val="18"/>
      </w:rPr>
      <w:instrText xml:space="preserve"> PAGE  \* MERGEFORMAT </w:instrText>
    </w:r>
    <w:r w:rsidRPr="0063461B">
      <w:rPr>
        <w:b/>
        <w:sz w:val="18"/>
      </w:rPr>
      <w:fldChar w:fldCharType="separate"/>
    </w:r>
    <w:r>
      <w:rPr>
        <w:b/>
        <w:noProof/>
        <w:sz w:val="18"/>
      </w:rPr>
      <w:t>20</w:t>
    </w:r>
    <w:r w:rsidRPr="0063461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0AACE" w14:textId="4ED2F61B" w:rsidR="00571077" w:rsidRPr="0063461B" w:rsidRDefault="00571077" w:rsidP="0063461B">
    <w:pPr>
      <w:pStyle w:val="Footer"/>
      <w:tabs>
        <w:tab w:val="right" w:pos="9638"/>
      </w:tabs>
      <w:rPr>
        <w:b/>
        <w:sz w:val="18"/>
      </w:rPr>
    </w:pPr>
    <w:r>
      <w:tab/>
    </w:r>
    <w:r w:rsidRPr="0063461B">
      <w:rPr>
        <w:b/>
        <w:sz w:val="18"/>
      </w:rPr>
      <w:fldChar w:fldCharType="begin"/>
    </w:r>
    <w:r w:rsidRPr="0063461B">
      <w:rPr>
        <w:b/>
        <w:sz w:val="18"/>
      </w:rPr>
      <w:instrText xml:space="preserve"> PAGE  \* MERGEFORMAT </w:instrText>
    </w:r>
    <w:r w:rsidRPr="0063461B">
      <w:rPr>
        <w:b/>
        <w:sz w:val="18"/>
      </w:rPr>
      <w:fldChar w:fldCharType="separate"/>
    </w:r>
    <w:r>
      <w:rPr>
        <w:b/>
        <w:noProof/>
        <w:sz w:val="18"/>
      </w:rPr>
      <w:t>21</w:t>
    </w:r>
    <w:r w:rsidRPr="0063461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5359F" w14:textId="570B58F3" w:rsidR="00571077" w:rsidRPr="001B56C6" w:rsidRDefault="00571077">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F32AE" w14:textId="77777777" w:rsidR="00571077" w:rsidRPr="000B175B" w:rsidRDefault="00571077" w:rsidP="000B175B">
      <w:pPr>
        <w:tabs>
          <w:tab w:val="right" w:pos="2155"/>
        </w:tabs>
        <w:spacing w:after="80"/>
        <w:ind w:left="680"/>
        <w:rPr>
          <w:u w:val="single"/>
        </w:rPr>
      </w:pPr>
      <w:r>
        <w:rPr>
          <w:u w:val="single"/>
        </w:rPr>
        <w:tab/>
      </w:r>
    </w:p>
  </w:footnote>
  <w:footnote w:type="continuationSeparator" w:id="0">
    <w:p w14:paraId="522A5A5E" w14:textId="77777777" w:rsidR="00571077" w:rsidRPr="00FC68B7" w:rsidRDefault="00571077" w:rsidP="00FC68B7">
      <w:pPr>
        <w:tabs>
          <w:tab w:val="left" w:pos="2155"/>
        </w:tabs>
        <w:spacing w:after="80"/>
        <w:ind w:left="680"/>
        <w:rPr>
          <w:u w:val="single"/>
        </w:rPr>
      </w:pPr>
      <w:r>
        <w:rPr>
          <w:u w:val="single"/>
        </w:rPr>
        <w:tab/>
      </w:r>
    </w:p>
  </w:footnote>
  <w:footnote w:type="continuationNotice" w:id="1">
    <w:p w14:paraId="6105BA22" w14:textId="77777777" w:rsidR="00571077" w:rsidRDefault="00571077"/>
  </w:footnote>
  <w:footnote w:id="2">
    <w:p w14:paraId="7AF5F90D" w14:textId="77777777" w:rsidR="00571077" w:rsidRPr="008D42A9" w:rsidRDefault="00571077" w:rsidP="00D7747F">
      <w:pPr>
        <w:pStyle w:val="FootnoteText"/>
      </w:pPr>
      <w:r>
        <w:tab/>
      </w:r>
      <w:r w:rsidRPr="008D42A9">
        <w:rPr>
          <w:rStyle w:val="FootnoteReference"/>
        </w:rPr>
        <w:sym w:font="Symbol" w:char="F02A"/>
      </w:r>
      <w:r w:rsidRPr="008D42A9">
        <w:t xml:space="preserve"> </w:t>
      </w:r>
      <w:r>
        <w:tab/>
      </w:r>
      <w:r w:rsidRPr="008D42A9">
        <w:t>For practical reasons</w:t>
      </w:r>
      <w:r>
        <w:t>, this annex has been published in an addendum to this report (see ST/SG/AC.10/C.3/108/Add.1).</w:t>
      </w:r>
    </w:p>
  </w:footnote>
  <w:footnote w:id="3">
    <w:p w14:paraId="5A61735F" w14:textId="77777777" w:rsidR="00571077" w:rsidRPr="00C40753" w:rsidRDefault="00571077" w:rsidP="00FC1FE2">
      <w:pPr>
        <w:pStyle w:val="FootnoteText"/>
        <w:rPr>
          <w:lang w:val="fr-CH"/>
        </w:rPr>
      </w:pPr>
      <w:r>
        <w:tab/>
      </w:r>
      <w:r>
        <w:rPr>
          <w:rStyle w:val="FootnoteReference"/>
        </w:rPr>
        <w:footnoteRef/>
      </w:r>
      <w:r>
        <w:t xml:space="preserve"> </w:t>
      </w:r>
      <w:r>
        <w:tab/>
        <w:t>R</w:t>
      </w:r>
      <w:r w:rsidRPr="00C40753">
        <w:t>egulation (</w:t>
      </w:r>
      <w:r>
        <w:t>EC</w:t>
      </w:r>
      <w:r w:rsidRPr="00C40753">
        <w:t xml:space="preserve">) </w:t>
      </w:r>
      <w:r>
        <w:t>No.</w:t>
      </w:r>
      <w:r w:rsidRPr="00C40753">
        <w:t xml:space="preserve"> 1272/2008 of the </w:t>
      </w:r>
      <w:r>
        <w:t>European Parliament and of the C</w:t>
      </w:r>
      <w:r w:rsidRPr="00C40753">
        <w:t>ouncil of 16 December 2008 on classification, labelling and packaging of substances and mixtures</w:t>
      </w:r>
      <w:r>
        <w:t>.</w:t>
      </w:r>
    </w:p>
  </w:footnote>
  <w:footnote w:id="4">
    <w:p w14:paraId="122520CE" w14:textId="2021C4C7" w:rsidR="00571077" w:rsidRPr="00A224C6" w:rsidRDefault="00571077" w:rsidP="001021BC">
      <w:r>
        <w:rPr>
          <w:rStyle w:val="FootnoteReference"/>
        </w:rPr>
        <w:footnoteRef/>
      </w:r>
      <w:r>
        <w:t xml:space="preserve"> </w:t>
      </w:r>
      <w:r>
        <w:tab/>
        <w:t xml:space="preserve">See for instance, </w:t>
      </w:r>
      <w:hyperlink r:id="rId1" w:history="1">
        <w:r>
          <w:rPr>
            <w:rStyle w:val="Hyperlink"/>
            <w:lang w:val="en-ZA"/>
          </w:rPr>
          <w:t>www.cdi.org.uk</w:t>
        </w:r>
      </w:hyperlink>
      <w:r w:rsidRPr="00A224C6">
        <w:t xml:space="preserve"> </w:t>
      </w:r>
    </w:p>
    <w:p w14:paraId="47932594" w14:textId="1BD46C0F" w:rsidR="00571077" w:rsidRPr="00A224C6" w:rsidRDefault="00571077">
      <w:pPr>
        <w:pStyle w:val="FootnoteText"/>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55C5B" w14:textId="3169F5B1" w:rsidR="00571077" w:rsidRPr="0063461B" w:rsidRDefault="00571077" w:rsidP="00F245A8">
    <w:pPr>
      <w:pStyle w:val="Header"/>
    </w:pPr>
    <w:r>
      <w:t>ST/SG/AC.10/C.3/108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051F3" w14:textId="058665BA" w:rsidR="00571077" w:rsidRPr="0063461B" w:rsidRDefault="00571077" w:rsidP="00F245A8">
    <w:pPr>
      <w:pStyle w:val="Header"/>
      <w:jc w:val="right"/>
    </w:pPr>
    <w:r>
      <w:t>ST/SG/AC.10/C.3/108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FFFFFFFF">
      <w:start w:val="1"/>
      <w:numFmt w:val="bullet"/>
      <w:lvlText w:val="•"/>
      <w:lvlJc w:val="left"/>
      <w:pPr>
        <w:tabs>
          <w:tab w:val="num" w:pos="1701"/>
        </w:tabs>
        <w:ind w:left="1701" w:hanging="17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86F32F5"/>
    <w:multiLevelType w:val="hybridMultilevel"/>
    <w:tmpl w:val="6B9EF0B2"/>
    <w:lvl w:ilvl="0" w:tplc="CEFAC75C">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08CE72D2"/>
    <w:multiLevelType w:val="singleLevel"/>
    <w:tmpl w:val="0409000F"/>
    <w:lvl w:ilvl="0">
      <w:start w:val="1"/>
      <w:numFmt w:val="decimal"/>
      <w:pStyle w:val="Heading1"/>
      <w:lvlText w:val="%1."/>
      <w:lvlJc w:val="left"/>
      <w:pPr>
        <w:tabs>
          <w:tab w:val="num" w:pos="360"/>
        </w:tabs>
        <w:ind w:left="360" w:hanging="360"/>
      </w:pPr>
    </w:lvl>
  </w:abstractNum>
  <w:abstractNum w:abstractNumId="5" w15:restartNumberingAfterBreak="0">
    <w:nsid w:val="0C350514"/>
    <w:multiLevelType w:val="hybridMultilevel"/>
    <w:tmpl w:val="0D8E82C2"/>
    <w:lvl w:ilvl="0" w:tplc="844E4074">
      <w:start w:val="1"/>
      <w:numFmt w:val="decimal"/>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6" w15:restartNumberingAfterBreak="0">
    <w:nsid w:val="0D773EB6"/>
    <w:multiLevelType w:val="hybridMultilevel"/>
    <w:tmpl w:val="54F23D58"/>
    <w:lvl w:ilvl="0" w:tplc="ED80CD6C">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110F151D"/>
    <w:multiLevelType w:val="hybridMultilevel"/>
    <w:tmpl w:val="4A8C4DE8"/>
    <w:lvl w:ilvl="0" w:tplc="04090001">
      <w:start w:val="1"/>
      <w:numFmt w:val="bullet"/>
      <w:lvlText w:val=""/>
      <w:lvlJc w:val="left"/>
      <w:pPr>
        <w:ind w:left="2059" w:hanging="360"/>
      </w:pPr>
      <w:rPr>
        <w:rFonts w:ascii="Symbol" w:hAnsi="Symbol" w:hint="default"/>
      </w:rPr>
    </w:lvl>
    <w:lvl w:ilvl="1" w:tplc="04090003">
      <w:start w:val="1"/>
      <w:numFmt w:val="bullet"/>
      <w:lvlText w:val="o"/>
      <w:lvlJc w:val="left"/>
      <w:pPr>
        <w:ind w:left="2779" w:hanging="360"/>
      </w:pPr>
      <w:rPr>
        <w:rFonts w:ascii="Courier New" w:hAnsi="Courier New" w:cs="Courier New" w:hint="default"/>
      </w:rPr>
    </w:lvl>
    <w:lvl w:ilvl="2" w:tplc="04090005">
      <w:start w:val="1"/>
      <w:numFmt w:val="bullet"/>
      <w:lvlText w:val=""/>
      <w:lvlJc w:val="left"/>
      <w:pPr>
        <w:ind w:left="3499" w:hanging="360"/>
      </w:pPr>
      <w:rPr>
        <w:rFonts w:ascii="Wingdings" w:hAnsi="Wingdings" w:hint="default"/>
      </w:rPr>
    </w:lvl>
    <w:lvl w:ilvl="3" w:tplc="04090001">
      <w:start w:val="1"/>
      <w:numFmt w:val="bullet"/>
      <w:lvlText w:val=""/>
      <w:lvlJc w:val="left"/>
      <w:pPr>
        <w:ind w:left="4219" w:hanging="360"/>
      </w:pPr>
      <w:rPr>
        <w:rFonts w:ascii="Symbol" w:hAnsi="Symbol" w:hint="default"/>
      </w:rPr>
    </w:lvl>
    <w:lvl w:ilvl="4" w:tplc="04090003">
      <w:start w:val="1"/>
      <w:numFmt w:val="bullet"/>
      <w:lvlText w:val="o"/>
      <w:lvlJc w:val="left"/>
      <w:pPr>
        <w:ind w:left="4939" w:hanging="360"/>
      </w:pPr>
      <w:rPr>
        <w:rFonts w:ascii="Courier New" w:hAnsi="Courier New" w:cs="Courier New" w:hint="default"/>
      </w:rPr>
    </w:lvl>
    <w:lvl w:ilvl="5" w:tplc="04090005">
      <w:start w:val="1"/>
      <w:numFmt w:val="bullet"/>
      <w:lvlText w:val=""/>
      <w:lvlJc w:val="left"/>
      <w:pPr>
        <w:ind w:left="5659" w:hanging="360"/>
      </w:pPr>
      <w:rPr>
        <w:rFonts w:ascii="Wingdings" w:hAnsi="Wingdings" w:hint="default"/>
      </w:rPr>
    </w:lvl>
    <w:lvl w:ilvl="6" w:tplc="04090001">
      <w:start w:val="1"/>
      <w:numFmt w:val="bullet"/>
      <w:lvlText w:val=""/>
      <w:lvlJc w:val="left"/>
      <w:pPr>
        <w:ind w:left="6379" w:hanging="360"/>
      </w:pPr>
      <w:rPr>
        <w:rFonts w:ascii="Symbol" w:hAnsi="Symbol" w:hint="default"/>
      </w:rPr>
    </w:lvl>
    <w:lvl w:ilvl="7" w:tplc="04090003">
      <w:start w:val="1"/>
      <w:numFmt w:val="bullet"/>
      <w:lvlText w:val="o"/>
      <w:lvlJc w:val="left"/>
      <w:pPr>
        <w:ind w:left="7099" w:hanging="360"/>
      </w:pPr>
      <w:rPr>
        <w:rFonts w:ascii="Courier New" w:hAnsi="Courier New" w:cs="Courier New" w:hint="default"/>
      </w:rPr>
    </w:lvl>
    <w:lvl w:ilvl="8" w:tplc="04090005">
      <w:start w:val="1"/>
      <w:numFmt w:val="bullet"/>
      <w:lvlText w:val=""/>
      <w:lvlJc w:val="left"/>
      <w:pPr>
        <w:ind w:left="7819" w:hanging="360"/>
      </w:pPr>
      <w:rPr>
        <w:rFonts w:ascii="Wingdings" w:hAnsi="Wingdings" w:hint="default"/>
      </w:rPr>
    </w:lvl>
  </w:abstractNum>
  <w:abstractNum w:abstractNumId="8" w15:restartNumberingAfterBreak="0">
    <w:nsid w:val="124C2F1E"/>
    <w:multiLevelType w:val="hybridMultilevel"/>
    <w:tmpl w:val="44BAEB84"/>
    <w:lvl w:ilvl="0" w:tplc="0D2CCF96">
      <w:start w:val="1"/>
      <w:numFmt w:val="upperLetter"/>
      <w:lvlText w:val="%1."/>
      <w:lvlJc w:val="left"/>
      <w:pPr>
        <w:ind w:left="1488" w:hanging="36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9"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ACE7757"/>
    <w:multiLevelType w:val="hybridMultilevel"/>
    <w:tmpl w:val="CDEC7B26"/>
    <w:lvl w:ilvl="0" w:tplc="CEFAC75C">
      <w:start w:val="2"/>
      <w:numFmt w:val="upp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1"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052C73"/>
    <w:multiLevelType w:val="hybridMultilevel"/>
    <w:tmpl w:val="B7EA3C38"/>
    <w:lvl w:ilvl="0" w:tplc="3E328E62">
      <w:start w:val="1"/>
      <w:numFmt w:val="decimal"/>
      <w:lvlText w:val="%1."/>
      <w:lvlJc w:val="left"/>
      <w:pPr>
        <w:ind w:left="1848" w:hanging="360"/>
      </w:pPr>
      <w:rPr>
        <w:rFonts w:hint="default"/>
      </w:r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13" w15:restartNumberingAfterBreak="0">
    <w:nsid w:val="21D176E6"/>
    <w:multiLevelType w:val="hybridMultilevel"/>
    <w:tmpl w:val="942256A4"/>
    <w:lvl w:ilvl="0" w:tplc="E3F603A8">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15:restartNumberingAfterBreak="0">
    <w:nsid w:val="23CF07EF"/>
    <w:multiLevelType w:val="hybridMultilevel"/>
    <w:tmpl w:val="0F3A6EF8"/>
    <w:lvl w:ilvl="0" w:tplc="040696B4">
      <w:start w:val="1"/>
      <w:numFmt w:val="upperLetter"/>
      <w:lvlText w:val="%1."/>
      <w:lvlJc w:val="left"/>
      <w:pPr>
        <w:ind w:left="1488" w:hanging="360"/>
      </w:pPr>
      <w:rPr>
        <w:rFonts w:hint="default"/>
      </w:rPr>
    </w:lvl>
    <w:lvl w:ilvl="1" w:tplc="08090019">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5" w15:restartNumberingAfterBreak="0">
    <w:nsid w:val="295D0E11"/>
    <w:multiLevelType w:val="hybridMultilevel"/>
    <w:tmpl w:val="28D285F0"/>
    <w:lvl w:ilvl="0" w:tplc="EB70DEDC">
      <w:start w:val="1"/>
      <w:numFmt w:val="upp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2B761032"/>
    <w:multiLevelType w:val="hybridMultilevel"/>
    <w:tmpl w:val="C7FCA27E"/>
    <w:lvl w:ilvl="0" w:tplc="B644ED36">
      <w:start w:val="1"/>
      <w:numFmt w:val="upperRoman"/>
      <w:lvlText w:val="%1."/>
      <w:lvlJc w:val="left"/>
      <w:pPr>
        <w:ind w:left="1284" w:hanging="72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17" w15:restartNumberingAfterBreak="0">
    <w:nsid w:val="2ECC0FC0"/>
    <w:multiLevelType w:val="multilevel"/>
    <w:tmpl w:val="8234A334"/>
    <w:lvl w:ilvl="0">
      <w:start w:val="8"/>
      <w:numFmt w:val="decimal"/>
      <w:lvlText w:val="%1."/>
      <w:lvlJc w:val="left"/>
      <w:pPr>
        <w:tabs>
          <w:tab w:val="num" w:pos="720"/>
        </w:tabs>
        <w:ind w:left="1138" w:firstLine="0"/>
      </w:pPr>
      <w:rPr>
        <w:rFonts w:hint="default"/>
      </w:rPr>
    </w:lvl>
    <w:lvl w:ilvl="1">
      <w:start w:val="1"/>
      <w:numFmt w:val="lowerLetter"/>
      <w:lvlText w:val="(%2)"/>
      <w:lvlJc w:val="left"/>
      <w:pPr>
        <w:tabs>
          <w:tab w:val="num" w:pos="720"/>
        </w:tabs>
        <w:ind w:left="1858" w:firstLine="0"/>
      </w:pPr>
      <w:rPr>
        <w:rFonts w:hint="default"/>
      </w:rPr>
    </w:lvl>
    <w:lvl w:ilvl="2">
      <w:start w:val="1"/>
      <w:numFmt w:val="lowerRoman"/>
      <w:lvlText w:val="%3."/>
      <w:lvlJc w:val="right"/>
      <w:pPr>
        <w:tabs>
          <w:tab w:val="num" w:pos="720"/>
        </w:tabs>
        <w:ind w:left="2578"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636FBF"/>
    <w:multiLevelType w:val="hybridMultilevel"/>
    <w:tmpl w:val="BA4C691A"/>
    <w:lvl w:ilvl="0" w:tplc="8228A3AE">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0" w15:restartNumberingAfterBreak="0">
    <w:nsid w:val="3B8F160B"/>
    <w:multiLevelType w:val="hybridMultilevel"/>
    <w:tmpl w:val="CDEC7B26"/>
    <w:lvl w:ilvl="0" w:tplc="CEFAC75C">
      <w:start w:val="2"/>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3BD800A5"/>
    <w:multiLevelType w:val="hybridMultilevel"/>
    <w:tmpl w:val="6B9EF0B2"/>
    <w:lvl w:ilvl="0" w:tplc="CEFAC75C">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3D8312F8"/>
    <w:multiLevelType w:val="hybridMultilevel"/>
    <w:tmpl w:val="360CBB7E"/>
    <w:lvl w:ilvl="0" w:tplc="29D67A82">
      <w:start w:val="1"/>
      <w:numFmt w:val="decimal"/>
      <w:lvlText w:val="%1."/>
      <w:lvlJc w:val="left"/>
      <w:pPr>
        <w:ind w:left="1848" w:hanging="360"/>
      </w:pPr>
      <w:rPr>
        <w:rFonts w:hint="default"/>
      </w:r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23" w15:restartNumberingAfterBreak="0">
    <w:nsid w:val="3EF62816"/>
    <w:multiLevelType w:val="hybridMultilevel"/>
    <w:tmpl w:val="BEB82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4E5EB5"/>
    <w:multiLevelType w:val="hybridMultilevel"/>
    <w:tmpl w:val="74AA08CE"/>
    <w:lvl w:ilvl="0" w:tplc="9E128CB4">
      <w:start w:val="1"/>
      <w:numFmt w:val="upperLetter"/>
      <w:lvlText w:val="%1."/>
      <w:lvlJc w:val="left"/>
      <w:pPr>
        <w:ind w:left="1488" w:hanging="36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25" w15:restartNumberingAfterBreak="0">
    <w:nsid w:val="414E1F34"/>
    <w:multiLevelType w:val="hybridMultilevel"/>
    <w:tmpl w:val="6DDC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9637BE"/>
    <w:multiLevelType w:val="hybridMultilevel"/>
    <w:tmpl w:val="68C00F80"/>
    <w:lvl w:ilvl="0" w:tplc="9F422C0E">
      <w:start w:val="1"/>
      <w:numFmt w:val="decimal"/>
      <w:lvlText w:val="%1."/>
      <w:lvlJc w:val="left"/>
      <w:pPr>
        <w:ind w:left="1919" w:hanging="360"/>
      </w:pPr>
      <w:rPr>
        <w:rFonts w:hint="default"/>
      </w:rPr>
    </w:lvl>
    <w:lvl w:ilvl="1" w:tplc="08090019" w:tentative="1">
      <w:start w:val="1"/>
      <w:numFmt w:val="lowerLetter"/>
      <w:lvlText w:val="%2."/>
      <w:lvlJc w:val="left"/>
      <w:pPr>
        <w:ind w:left="2639" w:hanging="360"/>
      </w:pPr>
    </w:lvl>
    <w:lvl w:ilvl="2" w:tplc="0809001B" w:tentative="1">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27" w15:restartNumberingAfterBreak="0">
    <w:nsid w:val="476C3E0D"/>
    <w:multiLevelType w:val="multilevel"/>
    <w:tmpl w:val="42FA0602"/>
    <w:lvl w:ilvl="0">
      <w:start w:val="1"/>
      <w:numFmt w:val="decimal"/>
      <w:lvlText w:val="%1."/>
      <w:lvlJc w:val="left"/>
      <w:pPr>
        <w:tabs>
          <w:tab w:val="num" w:pos="720"/>
        </w:tabs>
        <w:ind w:left="1138" w:firstLine="0"/>
      </w:pPr>
      <w:rPr>
        <w:rFonts w:hint="default"/>
      </w:rPr>
    </w:lvl>
    <w:lvl w:ilvl="1">
      <w:start w:val="1"/>
      <w:numFmt w:val="lowerLetter"/>
      <w:lvlText w:val="(%2)"/>
      <w:lvlJc w:val="left"/>
      <w:pPr>
        <w:tabs>
          <w:tab w:val="num" w:pos="720"/>
        </w:tabs>
        <w:ind w:left="1858" w:firstLine="0"/>
      </w:pPr>
      <w:rPr>
        <w:rFonts w:hint="default"/>
      </w:rPr>
    </w:lvl>
    <w:lvl w:ilvl="2">
      <w:start w:val="1"/>
      <w:numFmt w:val="lowerRoman"/>
      <w:lvlText w:val="%3."/>
      <w:lvlJc w:val="right"/>
      <w:pPr>
        <w:tabs>
          <w:tab w:val="num" w:pos="720"/>
        </w:tabs>
        <w:ind w:left="2578"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8D25339"/>
    <w:multiLevelType w:val="hybridMultilevel"/>
    <w:tmpl w:val="2646C096"/>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9" w15:restartNumberingAfterBreak="0">
    <w:nsid w:val="49297561"/>
    <w:multiLevelType w:val="hybridMultilevel"/>
    <w:tmpl w:val="7A14E92C"/>
    <w:lvl w:ilvl="0" w:tplc="46C08464">
      <w:start w:val="1"/>
      <w:numFmt w:val="upperLetter"/>
      <w:lvlText w:val="%1."/>
      <w:lvlJc w:val="left"/>
      <w:pPr>
        <w:ind w:left="1488" w:hanging="360"/>
      </w:pPr>
      <w:rPr>
        <w:rFonts w:hint="default"/>
      </w:rPr>
    </w:lvl>
    <w:lvl w:ilvl="1" w:tplc="08090019">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30" w15:restartNumberingAfterBreak="0">
    <w:nsid w:val="4A317A7D"/>
    <w:multiLevelType w:val="hybridMultilevel"/>
    <w:tmpl w:val="1AB27342"/>
    <w:lvl w:ilvl="0" w:tplc="AA5E5F64">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4E096D02"/>
    <w:multiLevelType w:val="hybridMultilevel"/>
    <w:tmpl w:val="1696EEFA"/>
    <w:lvl w:ilvl="0" w:tplc="7FFED604">
      <w:start w:val="1"/>
      <w:numFmt w:val="decimal"/>
      <w:lvlText w:val="%1."/>
      <w:lvlJc w:val="left"/>
      <w:pPr>
        <w:ind w:left="1848" w:hanging="360"/>
      </w:pPr>
      <w:rPr>
        <w:rFonts w:hint="default"/>
      </w:r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32" w15:restartNumberingAfterBreak="0">
    <w:nsid w:val="50077358"/>
    <w:multiLevelType w:val="hybridMultilevel"/>
    <w:tmpl w:val="01962F46"/>
    <w:lvl w:ilvl="0" w:tplc="9FF4C5CE">
      <w:start w:val="1"/>
      <w:numFmt w:val="upperLetter"/>
      <w:lvlText w:val="%1."/>
      <w:lvlJc w:val="left"/>
      <w:pPr>
        <w:ind w:left="1704" w:hanging="576"/>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33" w15:restartNumberingAfterBreak="0">
    <w:nsid w:val="56802F74"/>
    <w:multiLevelType w:val="hybridMultilevel"/>
    <w:tmpl w:val="DE167682"/>
    <w:lvl w:ilvl="0" w:tplc="D4D69894">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1030AE6"/>
    <w:multiLevelType w:val="hybridMultilevel"/>
    <w:tmpl w:val="6B341BDA"/>
    <w:lvl w:ilvl="0" w:tplc="B13619BA">
      <w:numFmt w:val="bullet"/>
      <w:lvlText w:val=""/>
      <w:lvlJc w:val="left"/>
      <w:pPr>
        <w:ind w:left="2241" w:hanging="540"/>
      </w:pPr>
      <w:rPr>
        <w:rFonts w:ascii="Symbol" w:eastAsia="Times New Roman" w:hAnsi="Symbol"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5A6430"/>
    <w:multiLevelType w:val="hybridMultilevel"/>
    <w:tmpl w:val="FE9ADFE8"/>
    <w:lvl w:ilvl="0" w:tplc="A314D37E">
      <w:start w:val="2"/>
      <w:numFmt w:val="decimal"/>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38" w15:restartNumberingAfterBreak="0">
    <w:nsid w:val="68443301"/>
    <w:multiLevelType w:val="hybridMultilevel"/>
    <w:tmpl w:val="44B4416E"/>
    <w:lvl w:ilvl="0" w:tplc="4C0CC60C">
      <w:start w:val="1"/>
      <w:numFmt w:val="upperLetter"/>
      <w:lvlText w:val="%1."/>
      <w:lvlJc w:val="left"/>
      <w:pPr>
        <w:ind w:left="1488" w:hanging="36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39" w15:restartNumberingAfterBreak="0">
    <w:nsid w:val="684570BB"/>
    <w:multiLevelType w:val="hybridMultilevel"/>
    <w:tmpl w:val="C9A2C486"/>
    <w:lvl w:ilvl="0" w:tplc="B9C8B9A0">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47737CB"/>
    <w:multiLevelType w:val="hybridMultilevel"/>
    <w:tmpl w:val="9E76A56C"/>
    <w:lvl w:ilvl="0" w:tplc="160C1414">
      <w:start w:val="1"/>
      <w:numFmt w:val="upperLetter"/>
      <w:lvlText w:val="%1."/>
      <w:lvlJc w:val="left"/>
      <w:pPr>
        <w:ind w:left="1488" w:hanging="36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41" w15:restartNumberingAfterBreak="0">
    <w:nsid w:val="784246DD"/>
    <w:multiLevelType w:val="hybridMultilevel"/>
    <w:tmpl w:val="9C5E6B8A"/>
    <w:lvl w:ilvl="0" w:tplc="397EE45E">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2" w15:restartNumberingAfterBreak="0">
    <w:nsid w:val="7F802D16"/>
    <w:multiLevelType w:val="hybridMultilevel"/>
    <w:tmpl w:val="CD908C6A"/>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3" w15:restartNumberingAfterBreak="0">
    <w:nsid w:val="7FFD64B8"/>
    <w:multiLevelType w:val="hybridMultilevel"/>
    <w:tmpl w:val="30DAA28E"/>
    <w:lvl w:ilvl="0" w:tplc="009817B8">
      <w:start w:val="1"/>
      <w:numFmt w:val="decimal"/>
      <w:lvlText w:val="%1."/>
      <w:lvlJc w:val="left"/>
      <w:pPr>
        <w:ind w:left="1848" w:hanging="360"/>
      </w:pPr>
      <w:rPr>
        <w:rFonts w:hint="default"/>
      </w:r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num w:numId="1">
    <w:abstractNumId w:val="18"/>
  </w:num>
  <w:num w:numId="2">
    <w:abstractNumId w:val="11"/>
  </w:num>
  <w:num w:numId="3">
    <w:abstractNumId w:val="0"/>
  </w:num>
  <w:num w:numId="4">
    <w:abstractNumId w:val="38"/>
  </w:num>
  <w:num w:numId="5">
    <w:abstractNumId w:val="13"/>
  </w:num>
  <w:num w:numId="6">
    <w:abstractNumId w:val="43"/>
  </w:num>
  <w:num w:numId="7">
    <w:abstractNumId w:val="15"/>
  </w:num>
  <w:num w:numId="8">
    <w:abstractNumId w:val="26"/>
  </w:num>
  <w:num w:numId="9">
    <w:abstractNumId w:val="6"/>
  </w:num>
  <w:num w:numId="10">
    <w:abstractNumId w:val="30"/>
  </w:num>
  <w:num w:numId="11">
    <w:abstractNumId w:val="8"/>
  </w:num>
  <w:num w:numId="12">
    <w:abstractNumId w:val="31"/>
  </w:num>
  <w:num w:numId="13">
    <w:abstractNumId w:val="16"/>
  </w:num>
  <w:num w:numId="14">
    <w:abstractNumId w:val="4"/>
  </w:num>
  <w:num w:numId="15">
    <w:abstractNumId w:val="34"/>
  </w:num>
  <w:num w:numId="16">
    <w:abstractNumId w:val="9"/>
  </w:num>
  <w:num w:numId="17">
    <w:abstractNumId w:val="2"/>
  </w:num>
  <w:num w:numId="18">
    <w:abstractNumId w:val="20"/>
  </w:num>
  <w:num w:numId="19">
    <w:abstractNumId w:val="32"/>
  </w:num>
  <w:num w:numId="20">
    <w:abstractNumId w:val="23"/>
  </w:num>
  <w:num w:numId="21">
    <w:abstractNumId w:val="10"/>
  </w:num>
  <w:num w:numId="22">
    <w:abstractNumId w:val="41"/>
  </w:num>
  <w:num w:numId="23">
    <w:abstractNumId w:val="3"/>
  </w:num>
  <w:num w:numId="24">
    <w:abstractNumId w:val="33"/>
  </w:num>
  <w:num w:numId="25">
    <w:abstractNumId w:val="21"/>
  </w:num>
  <w:num w:numId="26">
    <w:abstractNumId w:val="1"/>
  </w:num>
  <w:num w:numId="27">
    <w:abstractNumId w:val="14"/>
  </w:num>
  <w:num w:numId="28">
    <w:abstractNumId w:val="40"/>
  </w:num>
  <w:num w:numId="29">
    <w:abstractNumId w:val="24"/>
  </w:num>
  <w:num w:numId="30">
    <w:abstractNumId w:val="12"/>
  </w:num>
  <w:num w:numId="31">
    <w:abstractNumId w:val="22"/>
  </w:num>
  <w:num w:numId="32">
    <w:abstractNumId w:val="29"/>
  </w:num>
  <w:num w:numId="33">
    <w:abstractNumId w:val="28"/>
  </w:num>
  <w:num w:numId="34">
    <w:abstractNumId w:val="17"/>
  </w:num>
  <w:num w:numId="35">
    <w:abstractNumId w:val="27"/>
  </w:num>
  <w:num w:numId="36">
    <w:abstractNumId w:val="39"/>
  </w:num>
  <w:num w:numId="37">
    <w:abstractNumId w:val="25"/>
  </w:num>
  <w:num w:numId="38">
    <w:abstractNumId w:val="42"/>
  </w:num>
  <w:num w:numId="39">
    <w:abstractNumId w:val="7"/>
  </w:num>
  <w:num w:numId="40">
    <w:abstractNumId w:val="37"/>
  </w:num>
  <w:num w:numId="41">
    <w:abstractNumId w:val="36"/>
  </w:num>
  <w:num w:numId="42">
    <w:abstractNumId w:val="35"/>
  </w:num>
  <w:num w:numId="43">
    <w:abstractNumId w:val="5"/>
  </w:num>
  <w:num w:numId="44">
    <w:abstractNumId w:val="19"/>
  </w:num>
  <w:num w:numId="45">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CA" w:vendorID="64" w:dllVersion="6" w:nlCheck="1" w:checkStyle="1"/>
  <w:activeWritingStyle w:appName="MSWord" w:lang="es-ES_tradnl"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32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61B"/>
    <w:rsid w:val="0000110E"/>
    <w:rsid w:val="0000145A"/>
    <w:rsid w:val="00001B00"/>
    <w:rsid w:val="00002351"/>
    <w:rsid w:val="00002A7D"/>
    <w:rsid w:val="00002BB2"/>
    <w:rsid w:val="00003165"/>
    <w:rsid w:val="000037A2"/>
    <w:rsid w:val="000038A8"/>
    <w:rsid w:val="00003A18"/>
    <w:rsid w:val="00003D91"/>
    <w:rsid w:val="00004458"/>
    <w:rsid w:val="00006790"/>
    <w:rsid w:val="00010B3B"/>
    <w:rsid w:val="00011808"/>
    <w:rsid w:val="000123BB"/>
    <w:rsid w:val="000130A9"/>
    <w:rsid w:val="00013568"/>
    <w:rsid w:val="0001439B"/>
    <w:rsid w:val="00014D4F"/>
    <w:rsid w:val="000156DE"/>
    <w:rsid w:val="00016FB9"/>
    <w:rsid w:val="0001753C"/>
    <w:rsid w:val="00017F67"/>
    <w:rsid w:val="00017FF2"/>
    <w:rsid w:val="000210E8"/>
    <w:rsid w:val="00022685"/>
    <w:rsid w:val="000244A1"/>
    <w:rsid w:val="000247BB"/>
    <w:rsid w:val="00025038"/>
    <w:rsid w:val="00025561"/>
    <w:rsid w:val="000260AC"/>
    <w:rsid w:val="00026837"/>
    <w:rsid w:val="0002697B"/>
    <w:rsid w:val="00027624"/>
    <w:rsid w:val="0002795B"/>
    <w:rsid w:val="00027BF7"/>
    <w:rsid w:val="00030AB9"/>
    <w:rsid w:val="00031EFA"/>
    <w:rsid w:val="0003208D"/>
    <w:rsid w:val="000327C1"/>
    <w:rsid w:val="00033246"/>
    <w:rsid w:val="0003331A"/>
    <w:rsid w:val="000345AB"/>
    <w:rsid w:val="000345BD"/>
    <w:rsid w:val="00035D90"/>
    <w:rsid w:val="000403DE"/>
    <w:rsid w:val="00040DC6"/>
    <w:rsid w:val="00040E30"/>
    <w:rsid w:val="00040FDD"/>
    <w:rsid w:val="0004101D"/>
    <w:rsid w:val="00042AB6"/>
    <w:rsid w:val="00043A40"/>
    <w:rsid w:val="00044239"/>
    <w:rsid w:val="00044276"/>
    <w:rsid w:val="00044536"/>
    <w:rsid w:val="00045864"/>
    <w:rsid w:val="00045CB9"/>
    <w:rsid w:val="00046540"/>
    <w:rsid w:val="00046724"/>
    <w:rsid w:val="00047020"/>
    <w:rsid w:val="0004769E"/>
    <w:rsid w:val="0005023A"/>
    <w:rsid w:val="0005069A"/>
    <w:rsid w:val="00050D76"/>
    <w:rsid w:val="00050F6B"/>
    <w:rsid w:val="000523C5"/>
    <w:rsid w:val="000524B6"/>
    <w:rsid w:val="00054B13"/>
    <w:rsid w:val="00054B8F"/>
    <w:rsid w:val="00055F5D"/>
    <w:rsid w:val="00056392"/>
    <w:rsid w:val="00056B4C"/>
    <w:rsid w:val="00061B16"/>
    <w:rsid w:val="00061BD9"/>
    <w:rsid w:val="000628C8"/>
    <w:rsid w:val="00063D1E"/>
    <w:rsid w:val="00064651"/>
    <w:rsid w:val="00064C5D"/>
    <w:rsid w:val="00065A9F"/>
    <w:rsid w:val="0006628B"/>
    <w:rsid w:val="00066320"/>
    <w:rsid w:val="000666F0"/>
    <w:rsid w:val="00067680"/>
    <w:rsid w:val="000678CD"/>
    <w:rsid w:val="00067994"/>
    <w:rsid w:val="00067D0E"/>
    <w:rsid w:val="0007221F"/>
    <w:rsid w:val="00072AFD"/>
    <w:rsid w:val="00072C66"/>
    <w:rsid w:val="00072C8C"/>
    <w:rsid w:val="00073957"/>
    <w:rsid w:val="00075179"/>
    <w:rsid w:val="00080766"/>
    <w:rsid w:val="00080C6F"/>
    <w:rsid w:val="00081288"/>
    <w:rsid w:val="00081CE0"/>
    <w:rsid w:val="00083D4D"/>
    <w:rsid w:val="00084D30"/>
    <w:rsid w:val="00087D93"/>
    <w:rsid w:val="00090320"/>
    <w:rsid w:val="00091656"/>
    <w:rsid w:val="000931C0"/>
    <w:rsid w:val="00093672"/>
    <w:rsid w:val="00093A50"/>
    <w:rsid w:val="00094B4E"/>
    <w:rsid w:val="00095CD6"/>
    <w:rsid w:val="00096FD7"/>
    <w:rsid w:val="000A0682"/>
    <w:rsid w:val="000A0C21"/>
    <w:rsid w:val="000A0FE6"/>
    <w:rsid w:val="000A1064"/>
    <w:rsid w:val="000A17D2"/>
    <w:rsid w:val="000A1DF0"/>
    <w:rsid w:val="000A2E09"/>
    <w:rsid w:val="000A2E93"/>
    <w:rsid w:val="000A3141"/>
    <w:rsid w:val="000A39B0"/>
    <w:rsid w:val="000A3ED7"/>
    <w:rsid w:val="000A45F6"/>
    <w:rsid w:val="000A573A"/>
    <w:rsid w:val="000A666C"/>
    <w:rsid w:val="000B031F"/>
    <w:rsid w:val="000B09F4"/>
    <w:rsid w:val="000B0C60"/>
    <w:rsid w:val="000B1631"/>
    <w:rsid w:val="000B175B"/>
    <w:rsid w:val="000B238B"/>
    <w:rsid w:val="000B3A0F"/>
    <w:rsid w:val="000B3CC6"/>
    <w:rsid w:val="000B4A6F"/>
    <w:rsid w:val="000B64F0"/>
    <w:rsid w:val="000B6EA2"/>
    <w:rsid w:val="000C0DB1"/>
    <w:rsid w:val="000C2C39"/>
    <w:rsid w:val="000C305C"/>
    <w:rsid w:val="000C33C0"/>
    <w:rsid w:val="000C3605"/>
    <w:rsid w:val="000C4114"/>
    <w:rsid w:val="000C44D9"/>
    <w:rsid w:val="000C48BC"/>
    <w:rsid w:val="000D0CD0"/>
    <w:rsid w:val="000D0D88"/>
    <w:rsid w:val="000D1F38"/>
    <w:rsid w:val="000D5CD5"/>
    <w:rsid w:val="000D618F"/>
    <w:rsid w:val="000D76F8"/>
    <w:rsid w:val="000D7B27"/>
    <w:rsid w:val="000E0415"/>
    <w:rsid w:val="000E07DD"/>
    <w:rsid w:val="000E1B2E"/>
    <w:rsid w:val="000E2382"/>
    <w:rsid w:val="000E256B"/>
    <w:rsid w:val="000E38EB"/>
    <w:rsid w:val="000E4B65"/>
    <w:rsid w:val="000E6494"/>
    <w:rsid w:val="000E6FBF"/>
    <w:rsid w:val="000E76F4"/>
    <w:rsid w:val="000E77BA"/>
    <w:rsid w:val="000E7D56"/>
    <w:rsid w:val="000E7FA2"/>
    <w:rsid w:val="000F0152"/>
    <w:rsid w:val="000F2EAD"/>
    <w:rsid w:val="000F39E0"/>
    <w:rsid w:val="000F3D82"/>
    <w:rsid w:val="000F4A5C"/>
    <w:rsid w:val="000F6BCD"/>
    <w:rsid w:val="000F7146"/>
    <w:rsid w:val="000F7715"/>
    <w:rsid w:val="000F77FA"/>
    <w:rsid w:val="000F79B7"/>
    <w:rsid w:val="000F7AFC"/>
    <w:rsid w:val="001021BC"/>
    <w:rsid w:val="001025C2"/>
    <w:rsid w:val="00102C9D"/>
    <w:rsid w:val="0010502D"/>
    <w:rsid w:val="001056BF"/>
    <w:rsid w:val="00105ED4"/>
    <w:rsid w:val="001060CF"/>
    <w:rsid w:val="00106F44"/>
    <w:rsid w:val="00107AD3"/>
    <w:rsid w:val="001107BA"/>
    <w:rsid w:val="00111256"/>
    <w:rsid w:val="001117DA"/>
    <w:rsid w:val="00112A64"/>
    <w:rsid w:val="00112FB1"/>
    <w:rsid w:val="001156E3"/>
    <w:rsid w:val="00115CA3"/>
    <w:rsid w:val="00117660"/>
    <w:rsid w:val="00117B7A"/>
    <w:rsid w:val="001203F4"/>
    <w:rsid w:val="0012096F"/>
    <w:rsid w:val="00123344"/>
    <w:rsid w:val="00124236"/>
    <w:rsid w:val="00124CA2"/>
    <w:rsid w:val="00124E94"/>
    <w:rsid w:val="0012563D"/>
    <w:rsid w:val="00126FE9"/>
    <w:rsid w:val="00127775"/>
    <w:rsid w:val="00130108"/>
    <w:rsid w:val="00131AEB"/>
    <w:rsid w:val="00131F62"/>
    <w:rsid w:val="0013225D"/>
    <w:rsid w:val="001322EF"/>
    <w:rsid w:val="00132352"/>
    <w:rsid w:val="00132CE8"/>
    <w:rsid w:val="00133515"/>
    <w:rsid w:val="00136033"/>
    <w:rsid w:val="0014155D"/>
    <w:rsid w:val="0014319A"/>
    <w:rsid w:val="00143B34"/>
    <w:rsid w:val="00144199"/>
    <w:rsid w:val="001466BD"/>
    <w:rsid w:val="001474EB"/>
    <w:rsid w:val="00147F92"/>
    <w:rsid w:val="001509A3"/>
    <w:rsid w:val="00154256"/>
    <w:rsid w:val="00154404"/>
    <w:rsid w:val="0015444A"/>
    <w:rsid w:val="00154FBA"/>
    <w:rsid w:val="001552C1"/>
    <w:rsid w:val="0015571C"/>
    <w:rsid w:val="00155E8F"/>
    <w:rsid w:val="00155FDF"/>
    <w:rsid w:val="00156B99"/>
    <w:rsid w:val="001575CD"/>
    <w:rsid w:val="001610E8"/>
    <w:rsid w:val="001637E0"/>
    <w:rsid w:val="00163A93"/>
    <w:rsid w:val="00163D38"/>
    <w:rsid w:val="00163EFA"/>
    <w:rsid w:val="00165632"/>
    <w:rsid w:val="0016610A"/>
    <w:rsid w:val="00166124"/>
    <w:rsid w:val="00167071"/>
    <w:rsid w:val="001679FB"/>
    <w:rsid w:val="0017051B"/>
    <w:rsid w:val="001718EC"/>
    <w:rsid w:val="00171B78"/>
    <w:rsid w:val="00172249"/>
    <w:rsid w:val="001725A3"/>
    <w:rsid w:val="00172E24"/>
    <w:rsid w:val="0017347E"/>
    <w:rsid w:val="0017503C"/>
    <w:rsid w:val="00175468"/>
    <w:rsid w:val="00177936"/>
    <w:rsid w:val="00177AB2"/>
    <w:rsid w:val="00177B23"/>
    <w:rsid w:val="00177F06"/>
    <w:rsid w:val="00180AC3"/>
    <w:rsid w:val="00180DE5"/>
    <w:rsid w:val="00181386"/>
    <w:rsid w:val="001824F7"/>
    <w:rsid w:val="00183153"/>
    <w:rsid w:val="001839D1"/>
    <w:rsid w:val="00183E62"/>
    <w:rsid w:val="001842E3"/>
    <w:rsid w:val="00184318"/>
    <w:rsid w:val="00184A74"/>
    <w:rsid w:val="00184AA2"/>
    <w:rsid w:val="00184DDA"/>
    <w:rsid w:val="00184EB8"/>
    <w:rsid w:val="001857B8"/>
    <w:rsid w:val="0018600D"/>
    <w:rsid w:val="00187222"/>
    <w:rsid w:val="00187692"/>
    <w:rsid w:val="001900CD"/>
    <w:rsid w:val="00190141"/>
    <w:rsid w:val="001907DD"/>
    <w:rsid w:val="001914F8"/>
    <w:rsid w:val="00191A30"/>
    <w:rsid w:val="00191E28"/>
    <w:rsid w:val="00191E97"/>
    <w:rsid w:val="0019301B"/>
    <w:rsid w:val="001932FA"/>
    <w:rsid w:val="00194059"/>
    <w:rsid w:val="00194A4B"/>
    <w:rsid w:val="001957EF"/>
    <w:rsid w:val="00195AF0"/>
    <w:rsid w:val="00195D59"/>
    <w:rsid w:val="00196C7A"/>
    <w:rsid w:val="001975AD"/>
    <w:rsid w:val="00197E40"/>
    <w:rsid w:val="001A0452"/>
    <w:rsid w:val="001A0B49"/>
    <w:rsid w:val="001A1516"/>
    <w:rsid w:val="001A19E4"/>
    <w:rsid w:val="001A2E39"/>
    <w:rsid w:val="001A46F2"/>
    <w:rsid w:val="001A5764"/>
    <w:rsid w:val="001A6FCC"/>
    <w:rsid w:val="001A7A01"/>
    <w:rsid w:val="001A7BF2"/>
    <w:rsid w:val="001A7D24"/>
    <w:rsid w:val="001B058D"/>
    <w:rsid w:val="001B0AAC"/>
    <w:rsid w:val="001B0F8A"/>
    <w:rsid w:val="001B162A"/>
    <w:rsid w:val="001B1AB5"/>
    <w:rsid w:val="001B30BE"/>
    <w:rsid w:val="001B43BF"/>
    <w:rsid w:val="001B4B04"/>
    <w:rsid w:val="001B4BDB"/>
    <w:rsid w:val="001B56C6"/>
    <w:rsid w:val="001B5875"/>
    <w:rsid w:val="001B7927"/>
    <w:rsid w:val="001B7F07"/>
    <w:rsid w:val="001C0B81"/>
    <w:rsid w:val="001C1E4E"/>
    <w:rsid w:val="001C22FC"/>
    <w:rsid w:val="001C2EBF"/>
    <w:rsid w:val="001C3F0C"/>
    <w:rsid w:val="001C49EC"/>
    <w:rsid w:val="001C4B9C"/>
    <w:rsid w:val="001C5779"/>
    <w:rsid w:val="001C5921"/>
    <w:rsid w:val="001C60FE"/>
    <w:rsid w:val="001C6663"/>
    <w:rsid w:val="001C7041"/>
    <w:rsid w:val="001C7895"/>
    <w:rsid w:val="001C7B56"/>
    <w:rsid w:val="001D1014"/>
    <w:rsid w:val="001D18F9"/>
    <w:rsid w:val="001D245A"/>
    <w:rsid w:val="001D26DF"/>
    <w:rsid w:val="001D29B9"/>
    <w:rsid w:val="001D2E19"/>
    <w:rsid w:val="001D3B92"/>
    <w:rsid w:val="001D4218"/>
    <w:rsid w:val="001D4D89"/>
    <w:rsid w:val="001E025A"/>
    <w:rsid w:val="001E07FA"/>
    <w:rsid w:val="001E16CB"/>
    <w:rsid w:val="001E1A07"/>
    <w:rsid w:val="001E257C"/>
    <w:rsid w:val="001E3403"/>
    <w:rsid w:val="001E3540"/>
    <w:rsid w:val="001E3D3F"/>
    <w:rsid w:val="001E45AA"/>
    <w:rsid w:val="001E57E9"/>
    <w:rsid w:val="001E60F9"/>
    <w:rsid w:val="001E6F55"/>
    <w:rsid w:val="001E72E6"/>
    <w:rsid w:val="001F0A5B"/>
    <w:rsid w:val="001F0E1B"/>
    <w:rsid w:val="001F0E73"/>
    <w:rsid w:val="001F1599"/>
    <w:rsid w:val="001F19C4"/>
    <w:rsid w:val="001F1CBF"/>
    <w:rsid w:val="001F23C7"/>
    <w:rsid w:val="001F317F"/>
    <w:rsid w:val="001F3827"/>
    <w:rsid w:val="001F3B24"/>
    <w:rsid w:val="001F48FD"/>
    <w:rsid w:val="001F5478"/>
    <w:rsid w:val="001F5840"/>
    <w:rsid w:val="001F60C2"/>
    <w:rsid w:val="001F706D"/>
    <w:rsid w:val="001F7076"/>
    <w:rsid w:val="002002B1"/>
    <w:rsid w:val="0020089A"/>
    <w:rsid w:val="0020136B"/>
    <w:rsid w:val="00202398"/>
    <w:rsid w:val="00202E91"/>
    <w:rsid w:val="00202EF2"/>
    <w:rsid w:val="002037EA"/>
    <w:rsid w:val="002043F0"/>
    <w:rsid w:val="002046A3"/>
    <w:rsid w:val="00204750"/>
    <w:rsid w:val="00205B0B"/>
    <w:rsid w:val="00206057"/>
    <w:rsid w:val="00206401"/>
    <w:rsid w:val="0020657C"/>
    <w:rsid w:val="00206B08"/>
    <w:rsid w:val="0020792C"/>
    <w:rsid w:val="00210580"/>
    <w:rsid w:val="00210C13"/>
    <w:rsid w:val="00211E0B"/>
    <w:rsid w:val="002126C1"/>
    <w:rsid w:val="0021368B"/>
    <w:rsid w:val="0021403C"/>
    <w:rsid w:val="00215648"/>
    <w:rsid w:val="00215EA3"/>
    <w:rsid w:val="00216465"/>
    <w:rsid w:val="0021692A"/>
    <w:rsid w:val="002175FF"/>
    <w:rsid w:val="00217D4C"/>
    <w:rsid w:val="00217FA4"/>
    <w:rsid w:val="00220980"/>
    <w:rsid w:val="00220D3F"/>
    <w:rsid w:val="00221319"/>
    <w:rsid w:val="00221533"/>
    <w:rsid w:val="002215FA"/>
    <w:rsid w:val="00221C7A"/>
    <w:rsid w:val="00222889"/>
    <w:rsid w:val="0022374C"/>
    <w:rsid w:val="0022437B"/>
    <w:rsid w:val="0023098F"/>
    <w:rsid w:val="00231E27"/>
    <w:rsid w:val="00232575"/>
    <w:rsid w:val="00232A6D"/>
    <w:rsid w:val="002333D9"/>
    <w:rsid w:val="002338BD"/>
    <w:rsid w:val="00233EB3"/>
    <w:rsid w:val="00235339"/>
    <w:rsid w:val="00235349"/>
    <w:rsid w:val="00235597"/>
    <w:rsid w:val="00235AED"/>
    <w:rsid w:val="00236F04"/>
    <w:rsid w:val="00237AAA"/>
    <w:rsid w:val="00237ECD"/>
    <w:rsid w:val="00240319"/>
    <w:rsid w:val="002417A4"/>
    <w:rsid w:val="00242369"/>
    <w:rsid w:val="002433E9"/>
    <w:rsid w:val="0024378F"/>
    <w:rsid w:val="00243938"/>
    <w:rsid w:val="00243CEA"/>
    <w:rsid w:val="0024402B"/>
    <w:rsid w:val="0024482C"/>
    <w:rsid w:val="00244C65"/>
    <w:rsid w:val="00245549"/>
    <w:rsid w:val="00246E74"/>
    <w:rsid w:val="00247258"/>
    <w:rsid w:val="00247579"/>
    <w:rsid w:val="00250244"/>
    <w:rsid w:val="002502C1"/>
    <w:rsid w:val="002510F0"/>
    <w:rsid w:val="00252841"/>
    <w:rsid w:val="00252BA3"/>
    <w:rsid w:val="0025429E"/>
    <w:rsid w:val="002548B2"/>
    <w:rsid w:val="00255806"/>
    <w:rsid w:val="002562B0"/>
    <w:rsid w:val="00256B18"/>
    <w:rsid w:val="0025719A"/>
    <w:rsid w:val="00257CAC"/>
    <w:rsid w:val="00260575"/>
    <w:rsid w:val="00260C33"/>
    <w:rsid w:val="00261148"/>
    <w:rsid w:val="00264522"/>
    <w:rsid w:val="00264E2B"/>
    <w:rsid w:val="002658F8"/>
    <w:rsid w:val="00265DF3"/>
    <w:rsid w:val="00266596"/>
    <w:rsid w:val="002677AE"/>
    <w:rsid w:val="00270A13"/>
    <w:rsid w:val="00270FF4"/>
    <w:rsid w:val="00271062"/>
    <w:rsid w:val="002722BA"/>
    <w:rsid w:val="00272A6D"/>
    <w:rsid w:val="00272BA6"/>
    <w:rsid w:val="002735C8"/>
    <w:rsid w:val="00274CF1"/>
    <w:rsid w:val="002752C7"/>
    <w:rsid w:val="00275383"/>
    <w:rsid w:val="00275B10"/>
    <w:rsid w:val="00276E8E"/>
    <w:rsid w:val="00281093"/>
    <w:rsid w:val="002814D9"/>
    <w:rsid w:val="00282231"/>
    <w:rsid w:val="00282C1E"/>
    <w:rsid w:val="0028383C"/>
    <w:rsid w:val="0028433C"/>
    <w:rsid w:val="002855D6"/>
    <w:rsid w:val="00285D97"/>
    <w:rsid w:val="00285EB3"/>
    <w:rsid w:val="002904F4"/>
    <w:rsid w:val="0029088C"/>
    <w:rsid w:val="00291254"/>
    <w:rsid w:val="002926D8"/>
    <w:rsid w:val="00293E47"/>
    <w:rsid w:val="0029457D"/>
    <w:rsid w:val="002950C6"/>
    <w:rsid w:val="002974E9"/>
    <w:rsid w:val="00297872"/>
    <w:rsid w:val="00297CBD"/>
    <w:rsid w:val="002A191F"/>
    <w:rsid w:val="002A34DF"/>
    <w:rsid w:val="002A353D"/>
    <w:rsid w:val="002A3CB4"/>
    <w:rsid w:val="002A752D"/>
    <w:rsid w:val="002A79B6"/>
    <w:rsid w:val="002A7F94"/>
    <w:rsid w:val="002B109A"/>
    <w:rsid w:val="002B25AF"/>
    <w:rsid w:val="002B2B4A"/>
    <w:rsid w:val="002B2F06"/>
    <w:rsid w:val="002B365D"/>
    <w:rsid w:val="002B3DCC"/>
    <w:rsid w:val="002B4713"/>
    <w:rsid w:val="002B548B"/>
    <w:rsid w:val="002B67D7"/>
    <w:rsid w:val="002B67F7"/>
    <w:rsid w:val="002B7921"/>
    <w:rsid w:val="002C1191"/>
    <w:rsid w:val="002C1631"/>
    <w:rsid w:val="002C277F"/>
    <w:rsid w:val="002C2EEC"/>
    <w:rsid w:val="002C2F19"/>
    <w:rsid w:val="002C3CA7"/>
    <w:rsid w:val="002C4375"/>
    <w:rsid w:val="002C4F4D"/>
    <w:rsid w:val="002C5787"/>
    <w:rsid w:val="002C588B"/>
    <w:rsid w:val="002C627E"/>
    <w:rsid w:val="002C6AF2"/>
    <w:rsid w:val="002C6C50"/>
    <w:rsid w:val="002C6D45"/>
    <w:rsid w:val="002C7CB5"/>
    <w:rsid w:val="002D1569"/>
    <w:rsid w:val="002D161A"/>
    <w:rsid w:val="002D1DA8"/>
    <w:rsid w:val="002D1FD3"/>
    <w:rsid w:val="002D3B19"/>
    <w:rsid w:val="002D4B71"/>
    <w:rsid w:val="002D5E7A"/>
    <w:rsid w:val="002D5F7D"/>
    <w:rsid w:val="002D68A3"/>
    <w:rsid w:val="002D6E53"/>
    <w:rsid w:val="002E0A7F"/>
    <w:rsid w:val="002E21D5"/>
    <w:rsid w:val="002E22E5"/>
    <w:rsid w:val="002E3C48"/>
    <w:rsid w:val="002E451F"/>
    <w:rsid w:val="002E4D5F"/>
    <w:rsid w:val="002E5234"/>
    <w:rsid w:val="002E7613"/>
    <w:rsid w:val="002F046D"/>
    <w:rsid w:val="002F0974"/>
    <w:rsid w:val="002F1EE1"/>
    <w:rsid w:val="002F2DAD"/>
    <w:rsid w:val="002F2DE2"/>
    <w:rsid w:val="002F33DB"/>
    <w:rsid w:val="002F35D5"/>
    <w:rsid w:val="002F4631"/>
    <w:rsid w:val="002F4E14"/>
    <w:rsid w:val="002F5179"/>
    <w:rsid w:val="002F688D"/>
    <w:rsid w:val="002F73BD"/>
    <w:rsid w:val="002F78B2"/>
    <w:rsid w:val="002F7FEF"/>
    <w:rsid w:val="00300F02"/>
    <w:rsid w:val="00301764"/>
    <w:rsid w:val="00302811"/>
    <w:rsid w:val="003028B0"/>
    <w:rsid w:val="0030536B"/>
    <w:rsid w:val="003065F3"/>
    <w:rsid w:val="00306CD5"/>
    <w:rsid w:val="0031038B"/>
    <w:rsid w:val="00310917"/>
    <w:rsid w:val="003133C5"/>
    <w:rsid w:val="00313C52"/>
    <w:rsid w:val="0031479D"/>
    <w:rsid w:val="003148AE"/>
    <w:rsid w:val="00314A4A"/>
    <w:rsid w:val="00314C42"/>
    <w:rsid w:val="0031536B"/>
    <w:rsid w:val="00316034"/>
    <w:rsid w:val="003165DD"/>
    <w:rsid w:val="0031695F"/>
    <w:rsid w:val="00317943"/>
    <w:rsid w:val="003179E0"/>
    <w:rsid w:val="00317B4A"/>
    <w:rsid w:val="00320EAF"/>
    <w:rsid w:val="00321E87"/>
    <w:rsid w:val="00321EB3"/>
    <w:rsid w:val="0032210A"/>
    <w:rsid w:val="0032272D"/>
    <w:rsid w:val="003229D8"/>
    <w:rsid w:val="00322EDB"/>
    <w:rsid w:val="00323700"/>
    <w:rsid w:val="003238B5"/>
    <w:rsid w:val="003238DF"/>
    <w:rsid w:val="0032616D"/>
    <w:rsid w:val="00327C73"/>
    <w:rsid w:val="00330DB6"/>
    <w:rsid w:val="00330DBA"/>
    <w:rsid w:val="00332D4E"/>
    <w:rsid w:val="00332FA6"/>
    <w:rsid w:val="003346A0"/>
    <w:rsid w:val="00334B84"/>
    <w:rsid w:val="00334E91"/>
    <w:rsid w:val="003353ED"/>
    <w:rsid w:val="00335F4D"/>
    <w:rsid w:val="003360EE"/>
    <w:rsid w:val="00336C97"/>
    <w:rsid w:val="003374C8"/>
    <w:rsid w:val="003379ED"/>
    <w:rsid w:val="00337C13"/>
    <w:rsid w:val="00337CDA"/>
    <w:rsid w:val="00337F88"/>
    <w:rsid w:val="00340332"/>
    <w:rsid w:val="00342432"/>
    <w:rsid w:val="003434CA"/>
    <w:rsid w:val="003435AA"/>
    <w:rsid w:val="00344881"/>
    <w:rsid w:val="00346830"/>
    <w:rsid w:val="00346CB0"/>
    <w:rsid w:val="003470D3"/>
    <w:rsid w:val="00350791"/>
    <w:rsid w:val="00350D2F"/>
    <w:rsid w:val="00351A9A"/>
    <w:rsid w:val="003524F9"/>
    <w:rsid w:val="00352BA1"/>
    <w:rsid w:val="00352D4B"/>
    <w:rsid w:val="003531C8"/>
    <w:rsid w:val="003547C3"/>
    <w:rsid w:val="00354D6A"/>
    <w:rsid w:val="00355701"/>
    <w:rsid w:val="003559FA"/>
    <w:rsid w:val="0035638C"/>
    <w:rsid w:val="00356ADE"/>
    <w:rsid w:val="00356B3C"/>
    <w:rsid w:val="00360341"/>
    <w:rsid w:val="00360370"/>
    <w:rsid w:val="003610E9"/>
    <w:rsid w:val="0036140B"/>
    <w:rsid w:val="00361C77"/>
    <w:rsid w:val="003624C6"/>
    <w:rsid w:val="0036535F"/>
    <w:rsid w:val="0036567C"/>
    <w:rsid w:val="00365EB5"/>
    <w:rsid w:val="003667AB"/>
    <w:rsid w:val="003669AD"/>
    <w:rsid w:val="003707E7"/>
    <w:rsid w:val="00371F0B"/>
    <w:rsid w:val="003727E5"/>
    <w:rsid w:val="00373F02"/>
    <w:rsid w:val="00375E71"/>
    <w:rsid w:val="00377B84"/>
    <w:rsid w:val="00380A1E"/>
    <w:rsid w:val="00380F6F"/>
    <w:rsid w:val="00382C6B"/>
    <w:rsid w:val="00382E61"/>
    <w:rsid w:val="00383694"/>
    <w:rsid w:val="003837BC"/>
    <w:rsid w:val="00385050"/>
    <w:rsid w:val="00386599"/>
    <w:rsid w:val="003867B1"/>
    <w:rsid w:val="00387427"/>
    <w:rsid w:val="003915B9"/>
    <w:rsid w:val="00392851"/>
    <w:rsid w:val="00392AE2"/>
    <w:rsid w:val="0039378C"/>
    <w:rsid w:val="00396281"/>
    <w:rsid w:val="00396694"/>
    <w:rsid w:val="0039697A"/>
    <w:rsid w:val="00396D59"/>
    <w:rsid w:val="00396DF4"/>
    <w:rsid w:val="00397080"/>
    <w:rsid w:val="003970E2"/>
    <w:rsid w:val="003A06C6"/>
    <w:rsid w:val="003A0853"/>
    <w:rsid w:val="003A12B5"/>
    <w:rsid w:val="003A1E7F"/>
    <w:rsid w:val="003A268D"/>
    <w:rsid w:val="003A46BB"/>
    <w:rsid w:val="003A4956"/>
    <w:rsid w:val="003A4EC7"/>
    <w:rsid w:val="003A7295"/>
    <w:rsid w:val="003B1495"/>
    <w:rsid w:val="003B1F39"/>
    <w:rsid w:val="003B1F60"/>
    <w:rsid w:val="003B20DA"/>
    <w:rsid w:val="003B244B"/>
    <w:rsid w:val="003B2FC5"/>
    <w:rsid w:val="003B352A"/>
    <w:rsid w:val="003B460E"/>
    <w:rsid w:val="003B472B"/>
    <w:rsid w:val="003B485B"/>
    <w:rsid w:val="003C0A51"/>
    <w:rsid w:val="003C1565"/>
    <w:rsid w:val="003C2A41"/>
    <w:rsid w:val="003C2CC4"/>
    <w:rsid w:val="003C3A07"/>
    <w:rsid w:val="003C43EC"/>
    <w:rsid w:val="003C6A54"/>
    <w:rsid w:val="003C6F55"/>
    <w:rsid w:val="003C706B"/>
    <w:rsid w:val="003D11DE"/>
    <w:rsid w:val="003D12B6"/>
    <w:rsid w:val="003D1399"/>
    <w:rsid w:val="003D1401"/>
    <w:rsid w:val="003D156F"/>
    <w:rsid w:val="003D2B01"/>
    <w:rsid w:val="003D2D2D"/>
    <w:rsid w:val="003D2D59"/>
    <w:rsid w:val="003D4172"/>
    <w:rsid w:val="003D4B23"/>
    <w:rsid w:val="003D5ED7"/>
    <w:rsid w:val="003D6807"/>
    <w:rsid w:val="003D6864"/>
    <w:rsid w:val="003D7BC1"/>
    <w:rsid w:val="003E1174"/>
    <w:rsid w:val="003E209F"/>
    <w:rsid w:val="003E278A"/>
    <w:rsid w:val="003E379F"/>
    <w:rsid w:val="003E3B2D"/>
    <w:rsid w:val="003E4499"/>
    <w:rsid w:val="003E4E32"/>
    <w:rsid w:val="003E55A4"/>
    <w:rsid w:val="003E6727"/>
    <w:rsid w:val="003F0264"/>
    <w:rsid w:val="003F1534"/>
    <w:rsid w:val="003F257A"/>
    <w:rsid w:val="003F2659"/>
    <w:rsid w:val="003F3655"/>
    <w:rsid w:val="003F3B6A"/>
    <w:rsid w:val="003F4AC6"/>
    <w:rsid w:val="003F4CE4"/>
    <w:rsid w:val="00400B29"/>
    <w:rsid w:val="004011F4"/>
    <w:rsid w:val="00401758"/>
    <w:rsid w:val="00402198"/>
    <w:rsid w:val="00402540"/>
    <w:rsid w:val="00402A7D"/>
    <w:rsid w:val="00402ABC"/>
    <w:rsid w:val="00403246"/>
    <w:rsid w:val="00403377"/>
    <w:rsid w:val="004073DA"/>
    <w:rsid w:val="00407897"/>
    <w:rsid w:val="004108F6"/>
    <w:rsid w:val="004109C2"/>
    <w:rsid w:val="0041189F"/>
    <w:rsid w:val="00412C1C"/>
    <w:rsid w:val="00412D01"/>
    <w:rsid w:val="00412E20"/>
    <w:rsid w:val="00413520"/>
    <w:rsid w:val="00413D2D"/>
    <w:rsid w:val="00415E5E"/>
    <w:rsid w:val="00416041"/>
    <w:rsid w:val="00416ED3"/>
    <w:rsid w:val="00417267"/>
    <w:rsid w:val="0042038B"/>
    <w:rsid w:val="0042059C"/>
    <w:rsid w:val="004211EB"/>
    <w:rsid w:val="004214C2"/>
    <w:rsid w:val="0042179E"/>
    <w:rsid w:val="00421A51"/>
    <w:rsid w:val="00421E1D"/>
    <w:rsid w:val="00422C12"/>
    <w:rsid w:val="00423689"/>
    <w:rsid w:val="0042372B"/>
    <w:rsid w:val="00424380"/>
    <w:rsid w:val="00425D07"/>
    <w:rsid w:val="00426040"/>
    <w:rsid w:val="004264E0"/>
    <w:rsid w:val="00426566"/>
    <w:rsid w:val="00426632"/>
    <w:rsid w:val="00426C17"/>
    <w:rsid w:val="004309A0"/>
    <w:rsid w:val="004309BD"/>
    <w:rsid w:val="00431398"/>
    <w:rsid w:val="004325CB"/>
    <w:rsid w:val="00432951"/>
    <w:rsid w:val="00432DFA"/>
    <w:rsid w:val="0043349E"/>
    <w:rsid w:val="00433F99"/>
    <w:rsid w:val="004348D1"/>
    <w:rsid w:val="004358E4"/>
    <w:rsid w:val="004363EA"/>
    <w:rsid w:val="00436595"/>
    <w:rsid w:val="00436D14"/>
    <w:rsid w:val="00437C19"/>
    <w:rsid w:val="004402C0"/>
    <w:rsid w:val="00440761"/>
    <w:rsid w:val="00440A07"/>
    <w:rsid w:val="004418E3"/>
    <w:rsid w:val="00442355"/>
    <w:rsid w:val="00442D36"/>
    <w:rsid w:val="00442F21"/>
    <w:rsid w:val="004432A6"/>
    <w:rsid w:val="00443D05"/>
    <w:rsid w:val="0044455F"/>
    <w:rsid w:val="00444A43"/>
    <w:rsid w:val="0044728B"/>
    <w:rsid w:val="00447D60"/>
    <w:rsid w:val="0045051D"/>
    <w:rsid w:val="0045059C"/>
    <w:rsid w:val="00450C92"/>
    <w:rsid w:val="00451691"/>
    <w:rsid w:val="00452275"/>
    <w:rsid w:val="00452538"/>
    <w:rsid w:val="004531E7"/>
    <w:rsid w:val="00454572"/>
    <w:rsid w:val="00454640"/>
    <w:rsid w:val="00454E7E"/>
    <w:rsid w:val="004553ED"/>
    <w:rsid w:val="004563C2"/>
    <w:rsid w:val="004574E6"/>
    <w:rsid w:val="00460D55"/>
    <w:rsid w:val="00462880"/>
    <w:rsid w:val="004647C7"/>
    <w:rsid w:val="004648B3"/>
    <w:rsid w:val="00464ACB"/>
    <w:rsid w:val="00466E4E"/>
    <w:rsid w:val="00470282"/>
    <w:rsid w:val="00473A0C"/>
    <w:rsid w:val="004751D5"/>
    <w:rsid w:val="00476590"/>
    <w:rsid w:val="00476F24"/>
    <w:rsid w:val="00480E5F"/>
    <w:rsid w:val="00480F4C"/>
    <w:rsid w:val="00480F76"/>
    <w:rsid w:val="00481A21"/>
    <w:rsid w:val="00482048"/>
    <w:rsid w:val="0048275B"/>
    <w:rsid w:val="00483423"/>
    <w:rsid w:val="00485BE7"/>
    <w:rsid w:val="0049044C"/>
    <w:rsid w:val="00491C61"/>
    <w:rsid w:val="00492D8C"/>
    <w:rsid w:val="00492F25"/>
    <w:rsid w:val="00493C34"/>
    <w:rsid w:val="00495410"/>
    <w:rsid w:val="0049693C"/>
    <w:rsid w:val="00497FB4"/>
    <w:rsid w:val="004A14B8"/>
    <w:rsid w:val="004A29A1"/>
    <w:rsid w:val="004A2CCD"/>
    <w:rsid w:val="004A387E"/>
    <w:rsid w:val="004A3BC6"/>
    <w:rsid w:val="004A49CE"/>
    <w:rsid w:val="004A5437"/>
    <w:rsid w:val="004A5507"/>
    <w:rsid w:val="004A55C7"/>
    <w:rsid w:val="004A5EFE"/>
    <w:rsid w:val="004A7F33"/>
    <w:rsid w:val="004B0364"/>
    <w:rsid w:val="004B0B18"/>
    <w:rsid w:val="004B23F2"/>
    <w:rsid w:val="004B3709"/>
    <w:rsid w:val="004B3D2C"/>
    <w:rsid w:val="004B4264"/>
    <w:rsid w:val="004B4340"/>
    <w:rsid w:val="004B5321"/>
    <w:rsid w:val="004B5448"/>
    <w:rsid w:val="004B56D0"/>
    <w:rsid w:val="004B6079"/>
    <w:rsid w:val="004B60D3"/>
    <w:rsid w:val="004B6A47"/>
    <w:rsid w:val="004C00D6"/>
    <w:rsid w:val="004C0801"/>
    <w:rsid w:val="004C3429"/>
    <w:rsid w:val="004C4E9A"/>
    <w:rsid w:val="004C55B0"/>
    <w:rsid w:val="004C596C"/>
    <w:rsid w:val="004C5BCC"/>
    <w:rsid w:val="004C6A9D"/>
    <w:rsid w:val="004C6CDC"/>
    <w:rsid w:val="004C6CE0"/>
    <w:rsid w:val="004C78C7"/>
    <w:rsid w:val="004D04DB"/>
    <w:rsid w:val="004D1703"/>
    <w:rsid w:val="004D1A81"/>
    <w:rsid w:val="004D2918"/>
    <w:rsid w:val="004D3F41"/>
    <w:rsid w:val="004D43A0"/>
    <w:rsid w:val="004D526F"/>
    <w:rsid w:val="004D53FD"/>
    <w:rsid w:val="004D7565"/>
    <w:rsid w:val="004E0F31"/>
    <w:rsid w:val="004E1786"/>
    <w:rsid w:val="004E2479"/>
    <w:rsid w:val="004E2756"/>
    <w:rsid w:val="004E2F61"/>
    <w:rsid w:val="004E3E41"/>
    <w:rsid w:val="004E4283"/>
    <w:rsid w:val="004E5B83"/>
    <w:rsid w:val="004E6B2D"/>
    <w:rsid w:val="004E6B46"/>
    <w:rsid w:val="004E6ECC"/>
    <w:rsid w:val="004E71A4"/>
    <w:rsid w:val="004E7399"/>
    <w:rsid w:val="004E7EB5"/>
    <w:rsid w:val="004F06C1"/>
    <w:rsid w:val="004F07D9"/>
    <w:rsid w:val="004F10F3"/>
    <w:rsid w:val="004F2A9D"/>
    <w:rsid w:val="004F2B8C"/>
    <w:rsid w:val="004F2FBA"/>
    <w:rsid w:val="004F3590"/>
    <w:rsid w:val="004F57E1"/>
    <w:rsid w:val="004F5EE0"/>
    <w:rsid w:val="004F6281"/>
    <w:rsid w:val="004F681B"/>
    <w:rsid w:val="004F6BA0"/>
    <w:rsid w:val="0050019B"/>
    <w:rsid w:val="005002B8"/>
    <w:rsid w:val="005008DC"/>
    <w:rsid w:val="00501091"/>
    <w:rsid w:val="00501AB4"/>
    <w:rsid w:val="00501BB1"/>
    <w:rsid w:val="00501E08"/>
    <w:rsid w:val="00502384"/>
    <w:rsid w:val="00503440"/>
    <w:rsid w:val="00503BEA"/>
    <w:rsid w:val="005043AB"/>
    <w:rsid w:val="00504536"/>
    <w:rsid w:val="00505F08"/>
    <w:rsid w:val="00506150"/>
    <w:rsid w:val="00506348"/>
    <w:rsid w:val="00507CA1"/>
    <w:rsid w:val="005111B8"/>
    <w:rsid w:val="005111F9"/>
    <w:rsid w:val="00511758"/>
    <w:rsid w:val="00511E3E"/>
    <w:rsid w:val="005141AB"/>
    <w:rsid w:val="005143BB"/>
    <w:rsid w:val="005144A3"/>
    <w:rsid w:val="00514AE9"/>
    <w:rsid w:val="00514B58"/>
    <w:rsid w:val="00514CAD"/>
    <w:rsid w:val="00515765"/>
    <w:rsid w:val="00515EF8"/>
    <w:rsid w:val="005161A1"/>
    <w:rsid w:val="005163F1"/>
    <w:rsid w:val="005165F3"/>
    <w:rsid w:val="00516CF0"/>
    <w:rsid w:val="00516EA0"/>
    <w:rsid w:val="00517E22"/>
    <w:rsid w:val="00517FDD"/>
    <w:rsid w:val="0052011A"/>
    <w:rsid w:val="00520429"/>
    <w:rsid w:val="00521325"/>
    <w:rsid w:val="00523D4F"/>
    <w:rsid w:val="00523E02"/>
    <w:rsid w:val="005241CB"/>
    <w:rsid w:val="00525598"/>
    <w:rsid w:val="00525BF5"/>
    <w:rsid w:val="00525F28"/>
    <w:rsid w:val="0052632E"/>
    <w:rsid w:val="00526862"/>
    <w:rsid w:val="005274AC"/>
    <w:rsid w:val="00527641"/>
    <w:rsid w:val="00527E4B"/>
    <w:rsid w:val="00530817"/>
    <w:rsid w:val="005311C6"/>
    <w:rsid w:val="00531295"/>
    <w:rsid w:val="00531FB7"/>
    <w:rsid w:val="005322EB"/>
    <w:rsid w:val="0053244F"/>
    <w:rsid w:val="0053359F"/>
    <w:rsid w:val="00533616"/>
    <w:rsid w:val="005339A4"/>
    <w:rsid w:val="00534723"/>
    <w:rsid w:val="0053496A"/>
    <w:rsid w:val="00534C09"/>
    <w:rsid w:val="0053552C"/>
    <w:rsid w:val="00535ABA"/>
    <w:rsid w:val="005361E6"/>
    <w:rsid w:val="00537143"/>
    <w:rsid w:val="0053768B"/>
    <w:rsid w:val="00541822"/>
    <w:rsid w:val="005420F2"/>
    <w:rsid w:val="0054285C"/>
    <w:rsid w:val="00542DB9"/>
    <w:rsid w:val="00542F3D"/>
    <w:rsid w:val="005431CE"/>
    <w:rsid w:val="00543AEE"/>
    <w:rsid w:val="00543BC9"/>
    <w:rsid w:val="00544E86"/>
    <w:rsid w:val="0054526B"/>
    <w:rsid w:val="00545292"/>
    <w:rsid w:val="005458E3"/>
    <w:rsid w:val="005468CE"/>
    <w:rsid w:val="00546933"/>
    <w:rsid w:val="00552334"/>
    <w:rsid w:val="00553384"/>
    <w:rsid w:val="00553850"/>
    <w:rsid w:val="00554486"/>
    <w:rsid w:val="005544F7"/>
    <w:rsid w:val="00555602"/>
    <w:rsid w:val="005558FE"/>
    <w:rsid w:val="00556733"/>
    <w:rsid w:val="005610C1"/>
    <w:rsid w:val="00562362"/>
    <w:rsid w:val="00562F68"/>
    <w:rsid w:val="00563325"/>
    <w:rsid w:val="00565E7C"/>
    <w:rsid w:val="00566360"/>
    <w:rsid w:val="005668B7"/>
    <w:rsid w:val="00566F95"/>
    <w:rsid w:val="00567BF8"/>
    <w:rsid w:val="00570334"/>
    <w:rsid w:val="00570D7E"/>
    <w:rsid w:val="00571077"/>
    <w:rsid w:val="00571BA0"/>
    <w:rsid w:val="00573CE6"/>
    <w:rsid w:val="00574A4A"/>
    <w:rsid w:val="00574F02"/>
    <w:rsid w:val="005754F6"/>
    <w:rsid w:val="0057623E"/>
    <w:rsid w:val="00576D44"/>
    <w:rsid w:val="00580432"/>
    <w:rsid w:val="00580F0F"/>
    <w:rsid w:val="00581CA6"/>
    <w:rsid w:val="00581D4A"/>
    <w:rsid w:val="00584173"/>
    <w:rsid w:val="00584627"/>
    <w:rsid w:val="00584696"/>
    <w:rsid w:val="0059039F"/>
    <w:rsid w:val="005904B9"/>
    <w:rsid w:val="00590AFF"/>
    <w:rsid w:val="00591383"/>
    <w:rsid w:val="005919B8"/>
    <w:rsid w:val="0059289D"/>
    <w:rsid w:val="0059375B"/>
    <w:rsid w:val="005942E8"/>
    <w:rsid w:val="00594F18"/>
    <w:rsid w:val="00595462"/>
    <w:rsid w:val="00595520"/>
    <w:rsid w:val="00595CB0"/>
    <w:rsid w:val="005968C5"/>
    <w:rsid w:val="005A04BD"/>
    <w:rsid w:val="005A08C1"/>
    <w:rsid w:val="005A0BD4"/>
    <w:rsid w:val="005A2025"/>
    <w:rsid w:val="005A2B9B"/>
    <w:rsid w:val="005A2F21"/>
    <w:rsid w:val="005A4168"/>
    <w:rsid w:val="005A43FA"/>
    <w:rsid w:val="005A44B9"/>
    <w:rsid w:val="005A5839"/>
    <w:rsid w:val="005A66C1"/>
    <w:rsid w:val="005A7760"/>
    <w:rsid w:val="005A7D18"/>
    <w:rsid w:val="005B0A7D"/>
    <w:rsid w:val="005B0BDC"/>
    <w:rsid w:val="005B0C1A"/>
    <w:rsid w:val="005B1752"/>
    <w:rsid w:val="005B1851"/>
    <w:rsid w:val="005B1BA0"/>
    <w:rsid w:val="005B1C70"/>
    <w:rsid w:val="005B3DB3"/>
    <w:rsid w:val="005C0371"/>
    <w:rsid w:val="005C13D5"/>
    <w:rsid w:val="005C1B78"/>
    <w:rsid w:val="005C2338"/>
    <w:rsid w:val="005C33A4"/>
    <w:rsid w:val="005C3974"/>
    <w:rsid w:val="005C4190"/>
    <w:rsid w:val="005C4214"/>
    <w:rsid w:val="005C4F8F"/>
    <w:rsid w:val="005C560D"/>
    <w:rsid w:val="005C576C"/>
    <w:rsid w:val="005C6154"/>
    <w:rsid w:val="005C6D03"/>
    <w:rsid w:val="005C79BC"/>
    <w:rsid w:val="005C79C8"/>
    <w:rsid w:val="005D0601"/>
    <w:rsid w:val="005D0C1C"/>
    <w:rsid w:val="005D111F"/>
    <w:rsid w:val="005D15CA"/>
    <w:rsid w:val="005D1E78"/>
    <w:rsid w:val="005D26F6"/>
    <w:rsid w:val="005D411E"/>
    <w:rsid w:val="005D47B5"/>
    <w:rsid w:val="005D4954"/>
    <w:rsid w:val="005D56C1"/>
    <w:rsid w:val="005D58F5"/>
    <w:rsid w:val="005D794C"/>
    <w:rsid w:val="005E2172"/>
    <w:rsid w:val="005E3371"/>
    <w:rsid w:val="005E411F"/>
    <w:rsid w:val="005E429A"/>
    <w:rsid w:val="005E4949"/>
    <w:rsid w:val="005E4E63"/>
    <w:rsid w:val="005E5361"/>
    <w:rsid w:val="005E5B52"/>
    <w:rsid w:val="005E6BE0"/>
    <w:rsid w:val="005E6CFE"/>
    <w:rsid w:val="005E70C5"/>
    <w:rsid w:val="005E7EF7"/>
    <w:rsid w:val="005F065E"/>
    <w:rsid w:val="005F13FB"/>
    <w:rsid w:val="005F1668"/>
    <w:rsid w:val="005F1D8D"/>
    <w:rsid w:val="005F3066"/>
    <w:rsid w:val="005F328F"/>
    <w:rsid w:val="005F3E61"/>
    <w:rsid w:val="005F42A8"/>
    <w:rsid w:val="005F43CE"/>
    <w:rsid w:val="005F4B09"/>
    <w:rsid w:val="005F5D54"/>
    <w:rsid w:val="005F65C1"/>
    <w:rsid w:val="005F7369"/>
    <w:rsid w:val="00601136"/>
    <w:rsid w:val="00601767"/>
    <w:rsid w:val="00601C34"/>
    <w:rsid w:val="00601D34"/>
    <w:rsid w:val="00602ED6"/>
    <w:rsid w:val="0060360E"/>
    <w:rsid w:val="00604DDD"/>
    <w:rsid w:val="006052C8"/>
    <w:rsid w:val="00605444"/>
    <w:rsid w:val="00607F91"/>
    <w:rsid w:val="00610C62"/>
    <w:rsid w:val="006115CC"/>
    <w:rsid w:val="00611D81"/>
    <w:rsid w:val="00611FC4"/>
    <w:rsid w:val="00613621"/>
    <w:rsid w:val="00613FAD"/>
    <w:rsid w:val="00614B51"/>
    <w:rsid w:val="00614BF3"/>
    <w:rsid w:val="00616B69"/>
    <w:rsid w:val="00616FAC"/>
    <w:rsid w:val="006176FB"/>
    <w:rsid w:val="0062080E"/>
    <w:rsid w:val="00622AF7"/>
    <w:rsid w:val="00622F2E"/>
    <w:rsid w:val="00624BF2"/>
    <w:rsid w:val="00625178"/>
    <w:rsid w:val="00625228"/>
    <w:rsid w:val="0062553B"/>
    <w:rsid w:val="00625586"/>
    <w:rsid w:val="006259CC"/>
    <w:rsid w:val="006301CE"/>
    <w:rsid w:val="00630FCB"/>
    <w:rsid w:val="006310B2"/>
    <w:rsid w:val="00631FD4"/>
    <w:rsid w:val="00632BAA"/>
    <w:rsid w:val="00633976"/>
    <w:rsid w:val="00634028"/>
    <w:rsid w:val="0063402F"/>
    <w:rsid w:val="0063461B"/>
    <w:rsid w:val="00634778"/>
    <w:rsid w:val="00635905"/>
    <w:rsid w:val="00637B5B"/>
    <w:rsid w:val="00640375"/>
    <w:rsid w:val="00640599"/>
    <w:rsid w:val="006406FD"/>
    <w:rsid w:val="00640B26"/>
    <w:rsid w:val="00641280"/>
    <w:rsid w:val="00641562"/>
    <w:rsid w:val="00644F4D"/>
    <w:rsid w:val="00645BB1"/>
    <w:rsid w:val="00645C04"/>
    <w:rsid w:val="006463E3"/>
    <w:rsid w:val="006464BE"/>
    <w:rsid w:val="00646F35"/>
    <w:rsid w:val="006501D8"/>
    <w:rsid w:val="00651176"/>
    <w:rsid w:val="006517D5"/>
    <w:rsid w:val="00651913"/>
    <w:rsid w:val="00651BEE"/>
    <w:rsid w:val="00652CD2"/>
    <w:rsid w:val="00653269"/>
    <w:rsid w:val="00653429"/>
    <w:rsid w:val="00653B9B"/>
    <w:rsid w:val="00653BCB"/>
    <w:rsid w:val="00656DB7"/>
    <w:rsid w:val="00657334"/>
    <w:rsid w:val="006619A4"/>
    <w:rsid w:val="00662461"/>
    <w:rsid w:val="00662A54"/>
    <w:rsid w:val="00664381"/>
    <w:rsid w:val="006644C2"/>
    <w:rsid w:val="0066499A"/>
    <w:rsid w:val="00665E70"/>
    <w:rsid w:val="006662E0"/>
    <w:rsid w:val="0066664F"/>
    <w:rsid w:val="00666E0F"/>
    <w:rsid w:val="00667C92"/>
    <w:rsid w:val="00667F16"/>
    <w:rsid w:val="00671096"/>
    <w:rsid w:val="0067125E"/>
    <w:rsid w:val="00671752"/>
    <w:rsid w:val="00673B76"/>
    <w:rsid w:val="00673C73"/>
    <w:rsid w:val="006740CA"/>
    <w:rsid w:val="006745D5"/>
    <w:rsid w:val="0067483E"/>
    <w:rsid w:val="006770B2"/>
    <w:rsid w:val="0067749D"/>
    <w:rsid w:val="00677510"/>
    <w:rsid w:val="006822AD"/>
    <w:rsid w:val="00682467"/>
    <w:rsid w:val="00682731"/>
    <w:rsid w:val="0068294C"/>
    <w:rsid w:val="00682B47"/>
    <w:rsid w:val="006839FA"/>
    <w:rsid w:val="006859C7"/>
    <w:rsid w:val="0068639C"/>
    <w:rsid w:val="00687EB0"/>
    <w:rsid w:val="0069019A"/>
    <w:rsid w:val="0069157C"/>
    <w:rsid w:val="00691E8A"/>
    <w:rsid w:val="00692B7C"/>
    <w:rsid w:val="006940E1"/>
    <w:rsid w:val="00694605"/>
    <w:rsid w:val="00694845"/>
    <w:rsid w:val="00694EC3"/>
    <w:rsid w:val="00697660"/>
    <w:rsid w:val="006976C4"/>
    <w:rsid w:val="006A0BB9"/>
    <w:rsid w:val="006A18AA"/>
    <w:rsid w:val="006A1D18"/>
    <w:rsid w:val="006A1E15"/>
    <w:rsid w:val="006A231E"/>
    <w:rsid w:val="006A2D47"/>
    <w:rsid w:val="006A2FFF"/>
    <w:rsid w:val="006A3374"/>
    <w:rsid w:val="006A3BA8"/>
    <w:rsid w:val="006A3C72"/>
    <w:rsid w:val="006A4C6A"/>
    <w:rsid w:val="006A4D54"/>
    <w:rsid w:val="006A4EC1"/>
    <w:rsid w:val="006A6210"/>
    <w:rsid w:val="006A7392"/>
    <w:rsid w:val="006A7D31"/>
    <w:rsid w:val="006B03A1"/>
    <w:rsid w:val="006B1A63"/>
    <w:rsid w:val="006B1D6B"/>
    <w:rsid w:val="006B2B3D"/>
    <w:rsid w:val="006B48ED"/>
    <w:rsid w:val="006B5A3F"/>
    <w:rsid w:val="006B66F1"/>
    <w:rsid w:val="006B67D9"/>
    <w:rsid w:val="006B701E"/>
    <w:rsid w:val="006B7F1E"/>
    <w:rsid w:val="006C0266"/>
    <w:rsid w:val="006C0CC8"/>
    <w:rsid w:val="006C1541"/>
    <w:rsid w:val="006C168A"/>
    <w:rsid w:val="006C229C"/>
    <w:rsid w:val="006C3359"/>
    <w:rsid w:val="006C38E1"/>
    <w:rsid w:val="006C3B22"/>
    <w:rsid w:val="006C3BAD"/>
    <w:rsid w:val="006C3C30"/>
    <w:rsid w:val="006C3CBA"/>
    <w:rsid w:val="006C40CA"/>
    <w:rsid w:val="006C45B9"/>
    <w:rsid w:val="006C5535"/>
    <w:rsid w:val="006C58E7"/>
    <w:rsid w:val="006C5DB5"/>
    <w:rsid w:val="006C63CD"/>
    <w:rsid w:val="006C66C1"/>
    <w:rsid w:val="006C6A18"/>
    <w:rsid w:val="006C6EFD"/>
    <w:rsid w:val="006C6F24"/>
    <w:rsid w:val="006C7E60"/>
    <w:rsid w:val="006D0589"/>
    <w:rsid w:val="006D08B4"/>
    <w:rsid w:val="006D0A9B"/>
    <w:rsid w:val="006D134D"/>
    <w:rsid w:val="006D1A6D"/>
    <w:rsid w:val="006D21F4"/>
    <w:rsid w:val="006D239D"/>
    <w:rsid w:val="006D242B"/>
    <w:rsid w:val="006D365A"/>
    <w:rsid w:val="006D367E"/>
    <w:rsid w:val="006D3E4A"/>
    <w:rsid w:val="006D4C8F"/>
    <w:rsid w:val="006D4F66"/>
    <w:rsid w:val="006D543A"/>
    <w:rsid w:val="006D6B8F"/>
    <w:rsid w:val="006D6DE6"/>
    <w:rsid w:val="006D7550"/>
    <w:rsid w:val="006D7A54"/>
    <w:rsid w:val="006D7E8B"/>
    <w:rsid w:val="006E0761"/>
    <w:rsid w:val="006E22A4"/>
    <w:rsid w:val="006E2450"/>
    <w:rsid w:val="006E24EF"/>
    <w:rsid w:val="006E3898"/>
    <w:rsid w:val="006E4223"/>
    <w:rsid w:val="006E46F7"/>
    <w:rsid w:val="006E4752"/>
    <w:rsid w:val="006E4792"/>
    <w:rsid w:val="006E4EB8"/>
    <w:rsid w:val="006E564B"/>
    <w:rsid w:val="006E6816"/>
    <w:rsid w:val="006E68DE"/>
    <w:rsid w:val="006E7154"/>
    <w:rsid w:val="006F0885"/>
    <w:rsid w:val="006F1B4A"/>
    <w:rsid w:val="006F1C8D"/>
    <w:rsid w:val="006F1D62"/>
    <w:rsid w:val="006F2874"/>
    <w:rsid w:val="006F2E03"/>
    <w:rsid w:val="006F399A"/>
    <w:rsid w:val="006F4058"/>
    <w:rsid w:val="006F4919"/>
    <w:rsid w:val="006F500E"/>
    <w:rsid w:val="006F71F9"/>
    <w:rsid w:val="006F7644"/>
    <w:rsid w:val="006F79E5"/>
    <w:rsid w:val="006F7DC2"/>
    <w:rsid w:val="007003CD"/>
    <w:rsid w:val="0070045A"/>
    <w:rsid w:val="00700AC5"/>
    <w:rsid w:val="00700B10"/>
    <w:rsid w:val="007018C4"/>
    <w:rsid w:val="00703B4A"/>
    <w:rsid w:val="0070467E"/>
    <w:rsid w:val="00705968"/>
    <w:rsid w:val="007061BB"/>
    <w:rsid w:val="007061DF"/>
    <w:rsid w:val="0070701E"/>
    <w:rsid w:val="00711A9B"/>
    <w:rsid w:val="00712576"/>
    <w:rsid w:val="0071429A"/>
    <w:rsid w:val="00717C51"/>
    <w:rsid w:val="00721E04"/>
    <w:rsid w:val="00722395"/>
    <w:rsid w:val="007238F7"/>
    <w:rsid w:val="00725985"/>
    <w:rsid w:val="00725C12"/>
    <w:rsid w:val="00726209"/>
    <w:rsid w:val="0072632A"/>
    <w:rsid w:val="007266F8"/>
    <w:rsid w:val="00726951"/>
    <w:rsid w:val="00730233"/>
    <w:rsid w:val="007334CB"/>
    <w:rsid w:val="0073388B"/>
    <w:rsid w:val="00733CF7"/>
    <w:rsid w:val="007358E8"/>
    <w:rsid w:val="00736465"/>
    <w:rsid w:val="00736797"/>
    <w:rsid w:val="00736ECE"/>
    <w:rsid w:val="0073744E"/>
    <w:rsid w:val="00737789"/>
    <w:rsid w:val="00737A3B"/>
    <w:rsid w:val="00737A4F"/>
    <w:rsid w:val="00741741"/>
    <w:rsid w:val="00743491"/>
    <w:rsid w:val="0074533B"/>
    <w:rsid w:val="007454AD"/>
    <w:rsid w:val="00746CE3"/>
    <w:rsid w:val="00751220"/>
    <w:rsid w:val="0075309F"/>
    <w:rsid w:val="0075329A"/>
    <w:rsid w:val="00753918"/>
    <w:rsid w:val="007552EC"/>
    <w:rsid w:val="00756889"/>
    <w:rsid w:val="007606D5"/>
    <w:rsid w:val="00760822"/>
    <w:rsid w:val="007643BC"/>
    <w:rsid w:val="007655A2"/>
    <w:rsid w:val="00766880"/>
    <w:rsid w:val="00766B95"/>
    <w:rsid w:val="00766F8D"/>
    <w:rsid w:val="00771216"/>
    <w:rsid w:val="007728A5"/>
    <w:rsid w:val="00772AEA"/>
    <w:rsid w:val="007772DE"/>
    <w:rsid w:val="00777BEC"/>
    <w:rsid w:val="00780E87"/>
    <w:rsid w:val="007817EE"/>
    <w:rsid w:val="00782CF8"/>
    <w:rsid w:val="007838FA"/>
    <w:rsid w:val="00783AC1"/>
    <w:rsid w:val="00785B6F"/>
    <w:rsid w:val="0078614F"/>
    <w:rsid w:val="00787260"/>
    <w:rsid w:val="00787678"/>
    <w:rsid w:val="007906A0"/>
    <w:rsid w:val="00790745"/>
    <w:rsid w:val="00790BF5"/>
    <w:rsid w:val="00791AAC"/>
    <w:rsid w:val="00792B01"/>
    <w:rsid w:val="00792F17"/>
    <w:rsid w:val="00792F74"/>
    <w:rsid w:val="00793F63"/>
    <w:rsid w:val="007955FB"/>
    <w:rsid w:val="00795898"/>
    <w:rsid w:val="007959FE"/>
    <w:rsid w:val="007979CA"/>
    <w:rsid w:val="00797A2A"/>
    <w:rsid w:val="00797FBA"/>
    <w:rsid w:val="007A0220"/>
    <w:rsid w:val="007A0CF1"/>
    <w:rsid w:val="007A0E6B"/>
    <w:rsid w:val="007A131E"/>
    <w:rsid w:val="007A199B"/>
    <w:rsid w:val="007A1E3F"/>
    <w:rsid w:val="007A1FB9"/>
    <w:rsid w:val="007A2D59"/>
    <w:rsid w:val="007A2F32"/>
    <w:rsid w:val="007A329D"/>
    <w:rsid w:val="007A5E7E"/>
    <w:rsid w:val="007A6CE7"/>
    <w:rsid w:val="007A7C24"/>
    <w:rsid w:val="007A7DA2"/>
    <w:rsid w:val="007B07FD"/>
    <w:rsid w:val="007B1415"/>
    <w:rsid w:val="007B4C06"/>
    <w:rsid w:val="007B4F87"/>
    <w:rsid w:val="007B503C"/>
    <w:rsid w:val="007B6BA5"/>
    <w:rsid w:val="007B786B"/>
    <w:rsid w:val="007C1662"/>
    <w:rsid w:val="007C183A"/>
    <w:rsid w:val="007C2A05"/>
    <w:rsid w:val="007C3390"/>
    <w:rsid w:val="007C3BA3"/>
    <w:rsid w:val="007C4106"/>
    <w:rsid w:val="007C42D8"/>
    <w:rsid w:val="007C4F4B"/>
    <w:rsid w:val="007C575A"/>
    <w:rsid w:val="007C5974"/>
    <w:rsid w:val="007C5A80"/>
    <w:rsid w:val="007C5CC3"/>
    <w:rsid w:val="007C6D88"/>
    <w:rsid w:val="007C720A"/>
    <w:rsid w:val="007C727A"/>
    <w:rsid w:val="007C7CEB"/>
    <w:rsid w:val="007D009C"/>
    <w:rsid w:val="007D03D5"/>
    <w:rsid w:val="007D1278"/>
    <w:rsid w:val="007D3A4A"/>
    <w:rsid w:val="007D4728"/>
    <w:rsid w:val="007D582A"/>
    <w:rsid w:val="007D5A17"/>
    <w:rsid w:val="007D6119"/>
    <w:rsid w:val="007D63A4"/>
    <w:rsid w:val="007D663D"/>
    <w:rsid w:val="007D66D4"/>
    <w:rsid w:val="007D681E"/>
    <w:rsid w:val="007D7362"/>
    <w:rsid w:val="007E043A"/>
    <w:rsid w:val="007E0AF4"/>
    <w:rsid w:val="007E1CEB"/>
    <w:rsid w:val="007E287E"/>
    <w:rsid w:val="007E2AC5"/>
    <w:rsid w:val="007E390B"/>
    <w:rsid w:val="007E3FCA"/>
    <w:rsid w:val="007E4623"/>
    <w:rsid w:val="007E47E7"/>
    <w:rsid w:val="007E66C0"/>
    <w:rsid w:val="007F0129"/>
    <w:rsid w:val="007F0425"/>
    <w:rsid w:val="007F0D8B"/>
    <w:rsid w:val="007F11F0"/>
    <w:rsid w:val="007F1E6C"/>
    <w:rsid w:val="007F1EEC"/>
    <w:rsid w:val="007F20C0"/>
    <w:rsid w:val="007F3D07"/>
    <w:rsid w:val="007F3DD7"/>
    <w:rsid w:val="007F4194"/>
    <w:rsid w:val="007F4B9E"/>
    <w:rsid w:val="007F5269"/>
    <w:rsid w:val="007F5C00"/>
    <w:rsid w:val="007F5CCA"/>
    <w:rsid w:val="007F5CE2"/>
    <w:rsid w:val="007F6611"/>
    <w:rsid w:val="007F6F42"/>
    <w:rsid w:val="008001FA"/>
    <w:rsid w:val="008008DF"/>
    <w:rsid w:val="00800F49"/>
    <w:rsid w:val="00804037"/>
    <w:rsid w:val="00804A30"/>
    <w:rsid w:val="008060A3"/>
    <w:rsid w:val="0080640A"/>
    <w:rsid w:val="00810211"/>
    <w:rsid w:val="00810BAC"/>
    <w:rsid w:val="00812CB0"/>
    <w:rsid w:val="008134E1"/>
    <w:rsid w:val="00814642"/>
    <w:rsid w:val="0081616C"/>
    <w:rsid w:val="0081675B"/>
    <w:rsid w:val="0081718D"/>
    <w:rsid w:val="008175E9"/>
    <w:rsid w:val="0082087E"/>
    <w:rsid w:val="00820B7D"/>
    <w:rsid w:val="008219C3"/>
    <w:rsid w:val="00821D7F"/>
    <w:rsid w:val="00822B9A"/>
    <w:rsid w:val="00823AAD"/>
    <w:rsid w:val="008242D7"/>
    <w:rsid w:val="00824F32"/>
    <w:rsid w:val="008255CD"/>
    <w:rsid w:val="0082577B"/>
    <w:rsid w:val="00825F48"/>
    <w:rsid w:val="00826CAA"/>
    <w:rsid w:val="00827670"/>
    <w:rsid w:val="0083041C"/>
    <w:rsid w:val="00832394"/>
    <w:rsid w:val="008340EE"/>
    <w:rsid w:val="00837038"/>
    <w:rsid w:val="008379F4"/>
    <w:rsid w:val="00837CF9"/>
    <w:rsid w:val="00840842"/>
    <w:rsid w:val="00840EBE"/>
    <w:rsid w:val="008411F8"/>
    <w:rsid w:val="00843674"/>
    <w:rsid w:val="0084369B"/>
    <w:rsid w:val="00843A8A"/>
    <w:rsid w:val="00843D5A"/>
    <w:rsid w:val="00844217"/>
    <w:rsid w:val="0084453E"/>
    <w:rsid w:val="00846B01"/>
    <w:rsid w:val="00846C31"/>
    <w:rsid w:val="008519C0"/>
    <w:rsid w:val="008529D9"/>
    <w:rsid w:val="00853C0E"/>
    <w:rsid w:val="00854CE4"/>
    <w:rsid w:val="00854F00"/>
    <w:rsid w:val="0085616C"/>
    <w:rsid w:val="00861A3C"/>
    <w:rsid w:val="00863468"/>
    <w:rsid w:val="00864A64"/>
    <w:rsid w:val="00864F21"/>
    <w:rsid w:val="008659A7"/>
    <w:rsid w:val="00865BF8"/>
    <w:rsid w:val="00865F21"/>
    <w:rsid w:val="0086622A"/>
    <w:rsid w:val="00866760"/>
    <w:rsid w:val="00866893"/>
    <w:rsid w:val="00866E93"/>
    <w:rsid w:val="00866F02"/>
    <w:rsid w:val="0086793F"/>
    <w:rsid w:val="00867D18"/>
    <w:rsid w:val="008705B4"/>
    <w:rsid w:val="008706B8"/>
    <w:rsid w:val="00871E01"/>
    <w:rsid w:val="00871F68"/>
    <w:rsid w:val="00871F9A"/>
    <w:rsid w:val="00871FD5"/>
    <w:rsid w:val="00872FF7"/>
    <w:rsid w:val="00874D32"/>
    <w:rsid w:val="00874F86"/>
    <w:rsid w:val="008772FF"/>
    <w:rsid w:val="0087748D"/>
    <w:rsid w:val="00880C45"/>
    <w:rsid w:val="00880C8C"/>
    <w:rsid w:val="00880F79"/>
    <w:rsid w:val="0088172E"/>
    <w:rsid w:val="00881EF9"/>
    <w:rsid w:val="00881EFA"/>
    <w:rsid w:val="00882A13"/>
    <w:rsid w:val="008832BC"/>
    <w:rsid w:val="00883356"/>
    <w:rsid w:val="0088473C"/>
    <w:rsid w:val="00884D23"/>
    <w:rsid w:val="00885547"/>
    <w:rsid w:val="0088614C"/>
    <w:rsid w:val="008869C0"/>
    <w:rsid w:val="008869D1"/>
    <w:rsid w:val="008874C1"/>
    <w:rsid w:val="008879CB"/>
    <w:rsid w:val="00887CA3"/>
    <w:rsid w:val="00890087"/>
    <w:rsid w:val="0089170C"/>
    <w:rsid w:val="00891960"/>
    <w:rsid w:val="00891BAB"/>
    <w:rsid w:val="00891ED9"/>
    <w:rsid w:val="008922F6"/>
    <w:rsid w:val="00892778"/>
    <w:rsid w:val="00893064"/>
    <w:rsid w:val="008945CB"/>
    <w:rsid w:val="00894EC5"/>
    <w:rsid w:val="00895F2A"/>
    <w:rsid w:val="00896369"/>
    <w:rsid w:val="00896F08"/>
    <w:rsid w:val="008979B1"/>
    <w:rsid w:val="00897C6F"/>
    <w:rsid w:val="008A0D86"/>
    <w:rsid w:val="008A0FAD"/>
    <w:rsid w:val="008A2250"/>
    <w:rsid w:val="008A352C"/>
    <w:rsid w:val="008A4191"/>
    <w:rsid w:val="008A4279"/>
    <w:rsid w:val="008A4A98"/>
    <w:rsid w:val="008A5772"/>
    <w:rsid w:val="008A6B25"/>
    <w:rsid w:val="008A6C4F"/>
    <w:rsid w:val="008A6D19"/>
    <w:rsid w:val="008A7340"/>
    <w:rsid w:val="008A7E01"/>
    <w:rsid w:val="008B1754"/>
    <w:rsid w:val="008B1932"/>
    <w:rsid w:val="008B1F84"/>
    <w:rsid w:val="008B2066"/>
    <w:rsid w:val="008B296E"/>
    <w:rsid w:val="008B2DD6"/>
    <w:rsid w:val="008B389E"/>
    <w:rsid w:val="008B5281"/>
    <w:rsid w:val="008B59D0"/>
    <w:rsid w:val="008B605E"/>
    <w:rsid w:val="008B66F1"/>
    <w:rsid w:val="008C104F"/>
    <w:rsid w:val="008C17DC"/>
    <w:rsid w:val="008C218D"/>
    <w:rsid w:val="008C2393"/>
    <w:rsid w:val="008C2915"/>
    <w:rsid w:val="008C3297"/>
    <w:rsid w:val="008C3C15"/>
    <w:rsid w:val="008C40B5"/>
    <w:rsid w:val="008C4E42"/>
    <w:rsid w:val="008C5256"/>
    <w:rsid w:val="008C6E27"/>
    <w:rsid w:val="008D0176"/>
    <w:rsid w:val="008D045E"/>
    <w:rsid w:val="008D064A"/>
    <w:rsid w:val="008D1101"/>
    <w:rsid w:val="008D1AE0"/>
    <w:rsid w:val="008D226E"/>
    <w:rsid w:val="008D24A3"/>
    <w:rsid w:val="008D32C3"/>
    <w:rsid w:val="008D345B"/>
    <w:rsid w:val="008D3F25"/>
    <w:rsid w:val="008D44BD"/>
    <w:rsid w:val="008D4D82"/>
    <w:rsid w:val="008D760E"/>
    <w:rsid w:val="008E0354"/>
    <w:rsid w:val="008E0E46"/>
    <w:rsid w:val="008E3AEC"/>
    <w:rsid w:val="008E4844"/>
    <w:rsid w:val="008E499E"/>
    <w:rsid w:val="008E4ACE"/>
    <w:rsid w:val="008E7116"/>
    <w:rsid w:val="008F093A"/>
    <w:rsid w:val="008F096D"/>
    <w:rsid w:val="008F0B38"/>
    <w:rsid w:val="008F143B"/>
    <w:rsid w:val="008F2E8A"/>
    <w:rsid w:val="008F3882"/>
    <w:rsid w:val="008F3CFA"/>
    <w:rsid w:val="008F4B7C"/>
    <w:rsid w:val="008F7486"/>
    <w:rsid w:val="00900673"/>
    <w:rsid w:val="00901FEE"/>
    <w:rsid w:val="009065DD"/>
    <w:rsid w:val="0090676D"/>
    <w:rsid w:val="009068F6"/>
    <w:rsid w:val="00906BE8"/>
    <w:rsid w:val="00907292"/>
    <w:rsid w:val="00907D74"/>
    <w:rsid w:val="00910058"/>
    <w:rsid w:val="00910D21"/>
    <w:rsid w:val="009114A7"/>
    <w:rsid w:val="0091271F"/>
    <w:rsid w:val="009127AF"/>
    <w:rsid w:val="009130C2"/>
    <w:rsid w:val="00913101"/>
    <w:rsid w:val="00914367"/>
    <w:rsid w:val="00915611"/>
    <w:rsid w:val="00915784"/>
    <w:rsid w:val="0091582D"/>
    <w:rsid w:val="00915E6E"/>
    <w:rsid w:val="0091609E"/>
    <w:rsid w:val="00917289"/>
    <w:rsid w:val="00917DAB"/>
    <w:rsid w:val="00920BC8"/>
    <w:rsid w:val="009223E6"/>
    <w:rsid w:val="009233BA"/>
    <w:rsid w:val="00923F13"/>
    <w:rsid w:val="009252BC"/>
    <w:rsid w:val="00926E47"/>
    <w:rsid w:val="00927BB5"/>
    <w:rsid w:val="00927D57"/>
    <w:rsid w:val="009301B3"/>
    <w:rsid w:val="009304B8"/>
    <w:rsid w:val="00930F31"/>
    <w:rsid w:val="00932A6D"/>
    <w:rsid w:val="00933E8B"/>
    <w:rsid w:val="00935AA3"/>
    <w:rsid w:val="00936881"/>
    <w:rsid w:val="00936B9B"/>
    <w:rsid w:val="009378E3"/>
    <w:rsid w:val="00940DB8"/>
    <w:rsid w:val="00943A22"/>
    <w:rsid w:val="00943D76"/>
    <w:rsid w:val="00944045"/>
    <w:rsid w:val="00944CFC"/>
    <w:rsid w:val="009451E4"/>
    <w:rsid w:val="00947162"/>
    <w:rsid w:val="0095008E"/>
    <w:rsid w:val="00951C16"/>
    <w:rsid w:val="009540C6"/>
    <w:rsid w:val="0095419E"/>
    <w:rsid w:val="0095500C"/>
    <w:rsid w:val="009558CB"/>
    <w:rsid w:val="00956144"/>
    <w:rsid w:val="0095625B"/>
    <w:rsid w:val="00956B7E"/>
    <w:rsid w:val="00956ECF"/>
    <w:rsid w:val="009575F1"/>
    <w:rsid w:val="00957FC1"/>
    <w:rsid w:val="009610D0"/>
    <w:rsid w:val="00962265"/>
    <w:rsid w:val="0096375C"/>
    <w:rsid w:val="00964AB8"/>
    <w:rsid w:val="0096535F"/>
    <w:rsid w:val="009658C0"/>
    <w:rsid w:val="00966017"/>
    <w:rsid w:val="009661FB"/>
    <w:rsid w:val="009662E6"/>
    <w:rsid w:val="00966772"/>
    <w:rsid w:val="00967BA3"/>
    <w:rsid w:val="00967E0B"/>
    <w:rsid w:val="0097095E"/>
    <w:rsid w:val="00970E30"/>
    <w:rsid w:val="00971472"/>
    <w:rsid w:val="0097153A"/>
    <w:rsid w:val="009718BB"/>
    <w:rsid w:val="0097255C"/>
    <w:rsid w:val="00972C2E"/>
    <w:rsid w:val="00973867"/>
    <w:rsid w:val="00973E55"/>
    <w:rsid w:val="00974792"/>
    <w:rsid w:val="0097535A"/>
    <w:rsid w:val="0097566C"/>
    <w:rsid w:val="00975FA7"/>
    <w:rsid w:val="0097613D"/>
    <w:rsid w:val="009772BE"/>
    <w:rsid w:val="00980EFE"/>
    <w:rsid w:val="009830B5"/>
    <w:rsid w:val="00983D24"/>
    <w:rsid w:val="00984CA3"/>
    <w:rsid w:val="0098580D"/>
    <w:rsid w:val="0098592B"/>
    <w:rsid w:val="00985948"/>
    <w:rsid w:val="00985A3B"/>
    <w:rsid w:val="00985FC4"/>
    <w:rsid w:val="00987C6B"/>
    <w:rsid w:val="0099026D"/>
    <w:rsid w:val="00990766"/>
    <w:rsid w:val="00990AE7"/>
    <w:rsid w:val="00991261"/>
    <w:rsid w:val="00991410"/>
    <w:rsid w:val="00991616"/>
    <w:rsid w:val="00991DCF"/>
    <w:rsid w:val="00991FFC"/>
    <w:rsid w:val="00992AF4"/>
    <w:rsid w:val="00992EC3"/>
    <w:rsid w:val="00992FE8"/>
    <w:rsid w:val="0099319E"/>
    <w:rsid w:val="0099374E"/>
    <w:rsid w:val="00993CF1"/>
    <w:rsid w:val="009941AD"/>
    <w:rsid w:val="009950E9"/>
    <w:rsid w:val="00995A1B"/>
    <w:rsid w:val="009964C4"/>
    <w:rsid w:val="00997955"/>
    <w:rsid w:val="009A1363"/>
    <w:rsid w:val="009A1847"/>
    <w:rsid w:val="009A1F5E"/>
    <w:rsid w:val="009A2665"/>
    <w:rsid w:val="009A28FC"/>
    <w:rsid w:val="009A2DF0"/>
    <w:rsid w:val="009A2DF8"/>
    <w:rsid w:val="009A3419"/>
    <w:rsid w:val="009A3830"/>
    <w:rsid w:val="009A3E8C"/>
    <w:rsid w:val="009A4629"/>
    <w:rsid w:val="009A50B7"/>
    <w:rsid w:val="009A52E8"/>
    <w:rsid w:val="009A659F"/>
    <w:rsid w:val="009A7B81"/>
    <w:rsid w:val="009B0165"/>
    <w:rsid w:val="009B0A90"/>
    <w:rsid w:val="009B2C45"/>
    <w:rsid w:val="009B2E46"/>
    <w:rsid w:val="009B3162"/>
    <w:rsid w:val="009B33F8"/>
    <w:rsid w:val="009B42E8"/>
    <w:rsid w:val="009B4B30"/>
    <w:rsid w:val="009B596C"/>
    <w:rsid w:val="009B6E0C"/>
    <w:rsid w:val="009B7683"/>
    <w:rsid w:val="009C0C27"/>
    <w:rsid w:val="009C2A55"/>
    <w:rsid w:val="009C2BB1"/>
    <w:rsid w:val="009C38AA"/>
    <w:rsid w:val="009C39D6"/>
    <w:rsid w:val="009C3BDF"/>
    <w:rsid w:val="009C3DFF"/>
    <w:rsid w:val="009C4382"/>
    <w:rsid w:val="009C497E"/>
    <w:rsid w:val="009C5168"/>
    <w:rsid w:val="009C674D"/>
    <w:rsid w:val="009C6BD3"/>
    <w:rsid w:val="009D01C0"/>
    <w:rsid w:val="009D027F"/>
    <w:rsid w:val="009D35A2"/>
    <w:rsid w:val="009D4179"/>
    <w:rsid w:val="009D43BA"/>
    <w:rsid w:val="009D6A08"/>
    <w:rsid w:val="009D722A"/>
    <w:rsid w:val="009D79DD"/>
    <w:rsid w:val="009E0A16"/>
    <w:rsid w:val="009E1D6F"/>
    <w:rsid w:val="009E21F2"/>
    <w:rsid w:val="009E27E7"/>
    <w:rsid w:val="009E2CC1"/>
    <w:rsid w:val="009E2E8D"/>
    <w:rsid w:val="009E497A"/>
    <w:rsid w:val="009E55F7"/>
    <w:rsid w:val="009E5EAD"/>
    <w:rsid w:val="009E6CB7"/>
    <w:rsid w:val="009E75CB"/>
    <w:rsid w:val="009E7970"/>
    <w:rsid w:val="009F2EAC"/>
    <w:rsid w:val="009F57E3"/>
    <w:rsid w:val="009F6161"/>
    <w:rsid w:val="009F6557"/>
    <w:rsid w:val="009F6989"/>
    <w:rsid w:val="009F7AF9"/>
    <w:rsid w:val="00A000E9"/>
    <w:rsid w:val="00A00766"/>
    <w:rsid w:val="00A00983"/>
    <w:rsid w:val="00A00B6F"/>
    <w:rsid w:val="00A023B9"/>
    <w:rsid w:val="00A03769"/>
    <w:rsid w:val="00A03AF8"/>
    <w:rsid w:val="00A048E6"/>
    <w:rsid w:val="00A07840"/>
    <w:rsid w:val="00A10B26"/>
    <w:rsid w:val="00A10F4F"/>
    <w:rsid w:val="00A11067"/>
    <w:rsid w:val="00A12258"/>
    <w:rsid w:val="00A12FDD"/>
    <w:rsid w:val="00A141CA"/>
    <w:rsid w:val="00A14D8A"/>
    <w:rsid w:val="00A15170"/>
    <w:rsid w:val="00A15E7D"/>
    <w:rsid w:val="00A16FD3"/>
    <w:rsid w:val="00A16FF1"/>
    <w:rsid w:val="00A17026"/>
    <w:rsid w:val="00A1704A"/>
    <w:rsid w:val="00A174AF"/>
    <w:rsid w:val="00A20356"/>
    <w:rsid w:val="00A20E88"/>
    <w:rsid w:val="00A2136F"/>
    <w:rsid w:val="00A2170D"/>
    <w:rsid w:val="00A21F6E"/>
    <w:rsid w:val="00A223DE"/>
    <w:rsid w:val="00A22446"/>
    <w:rsid w:val="00A224C6"/>
    <w:rsid w:val="00A24579"/>
    <w:rsid w:val="00A250E3"/>
    <w:rsid w:val="00A27A8C"/>
    <w:rsid w:val="00A27BC2"/>
    <w:rsid w:val="00A31026"/>
    <w:rsid w:val="00A31987"/>
    <w:rsid w:val="00A31BC0"/>
    <w:rsid w:val="00A321C4"/>
    <w:rsid w:val="00A34A62"/>
    <w:rsid w:val="00A34A64"/>
    <w:rsid w:val="00A350B3"/>
    <w:rsid w:val="00A354E2"/>
    <w:rsid w:val="00A356F5"/>
    <w:rsid w:val="00A35758"/>
    <w:rsid w:val="00A36792"/>
    <w:rsid w:val="00A367F4"/>
    <w:rsid w:val="00A36F54"/>
    <w:rsid w:val="00A36F69"/>
    <w:rsid w:val="00A37032"/>
    <w:rsid w:val="00A37255"/>
    <w:rsid w:val="00A377C1"/>
    <w:rsid w:val="00A40CFB"/>
    <w:rsid w:val="00A41173"/>
    <w:rsid w:val="00A415E4"/>
    <w:rsid w:val="00A417B8"/>
    <w:rsid w:val="00A41C80"/>
    <w:rsid w:val="00A41D6B"/>
    <w:rsid w:val="00A425EB"/>
    <w:rsid w:val="00A43149"/>
    <w:rsid w:val="00A43340"/>
    <w:rsid w:val="00A44CC8"/>
    <w:rsid w:val="00A4577C"/>
    <w:rsid w:val="00A4631A"/>
    <w:rsid w:val="00A4638A"/>
    <w:rsid w:val="00A46532"/>
    <w:rsid w:val="00A46870"/>
    <w:rsid w:val="00A46ABE"/>
    <w:rsid w:val="00A46DD0"/>
    <w:rsid w:val="00A5102A"/>
    <w:rsid w:val="00A516EF"/>
    <w:rsid w:val="00A51997"/>
    <w:rsid w:val="00A51CFF"/>
    <w:rsid w:val="00A5214C"/>
    <w:rsid w:val="00A52E45"/>
    <w:rsid w:val="00A53ED3"/>
    <w:rsid w:val="00A54384"/>
    <w:rsid w:val="00A5500A"/>
    <w:rsid w:val="00A553ED"/>
    <w:rsid w:val="00A55F85"/>
    <w:rsid w:val="00A56CEE"/>
    <w:rsid w:val="00A56EB2"/>
    <w:rsid w:val="00A57302"/>
    <w:rsid w:val="00A57893"/>
    <w:rsid w:val="00A60120"/>
    <w:rsid w:val="00A60D80"/>
    <w:rsid w:val="00A61507"/>
    <w:rsid w:val="00A615D4"/>
    <w:rsid w:val="00A621EA"/>
    <w:rsid w:val="00A6236B"/>
    <w:rsid w:val="00A6314B"/>
    <w:rsid w:val="00A6493C"/>
    <w:rsid w:val="00A650AA"/>
    <w:rsid w:val="00A65CE6"/>
    <w:rsid w:val="00A66B51"/>
    <w:rsid w:val="00A66C1F"/>
    <w:rsid w:val="00A6785E"/>
    <w:rsid w:val="00A71536"/>
    <w:rsid w:val="00A7198C"/>
    <w:rsid w:val="00A72F22"/>
    <w:rsid w:val="00A733BC"/>
    <w:rsid w:val="00A73612"/>
    <w:rsid w:val="00A7449E"/>
    <w:rsid w:val="00A748A6"/>
    <w:rsid w:val="00A7576F"/>
    <w:rsid w:val="00A75D5C"/>
    <w:rsid w:val="00A765FD"/>
    <w:rsid w:val="00A76A69"/>
    <w:rsid w:val="00A76DA0"/>
    <w:rsid w:val="00A7794D"/>
    <w:rsid w:val="00A77C98"/>
    <w:rsid w:val="00A77FBE"/>
    <w:rsid w:val="00A86F96"/>
    <w:rsid w:val="00A879A4"/>
    <w:rsid w:val="00A90941"/>
    <w:rsid w:val="00A92899"/>
    <w:rsid w:val="00A92B2D"/>
    <w:rsid w:val="00A932D0"/>
    <w:rsid w:val="00A93BF3"/>
    <w:rsid w:val="00A93EAF"/>
    <w:rsid w:val="00A94110"/>
    <w:rsid w:val="00A96566"/>
    <w:rsid w:val="00A975C8"/>
    <w:rsid w:val="00AA0F1C"/>
    <w:rsid w:val="00AA0FF8"/>
    <w:rsid w:val="00AA1848"/>
    <w:rsid w:val="00AA19D8"/>
    <w:rsid w:val="00AA1D65"/>
    <w:rsid w:val="00AA2E31"/>
    <w:rsid w:val="00AA34CC"/>
    <w:rsid w:val="00AA3E51"/>
    <w:rsid w:val="00AB0A4B"/>
    <w:rsid w:val="00AB11E4"/>
    <w:rsid w:val="00AB19D6"/>
    <w:rsid w:val="00AB2102"/>
    <w:rsid w:val="00AB2106"/>
    <w:rsid w:val="00AB26BE"/>
    <w:rsid w:val="00AB2E77"/>
    <w:rsid w:val="00AB2EA1"/>
    <w:rsid w:val="00AB324C"/>
    <w:rsid w:val="00AB3702"/>
    <w:rsid w:val="00AB3845"/>
    <w:rsid w:val="00AB6B99"/>
    <w:rsid w:val="00AB7B3C"/>
    <w:rsid w:val="00AC0C0A"/>
    <w:rsid w:val="00AC0C36"/>
    <w:rsid w:val="00AC0F2C"/>
    <w:rsid w:val="00AC2545"/>
    <w:rsid w:val="00AC27EA"/>
    <w:rsid w:val="00AC4DDB"/>
    <w:rsid w:val="00AC502A"/>
    <w:rsid w:val="00AC786D"/>
    <w:rsid w:val="00AC7B20"/>
    <w:rsid w:val="00AC7C16"/>
    <w:rsid w:val="00AC7DDE"/>
    <w:rsid w:val="00AD0112"/>
    <w:rsid w:val="00AD05F7"/>
    <w:rsid w:val="00AD0842"/>
    <w:rsid w:val="00AD153F"/>
    <w:rsid w:val="00AD1C1A"/>
    <w:rsid w:val="00AD1F1C"/>
    <w:rsid w:val="00AD27D1"/>
    <w:rsid w:val="00AD336F"/>
    <w:rsid w:val="00AD3691"/>
    <w:rsid w:val="00AD4144"/>
    <w:rsid w:val="00AD4D4C"/>
    <w:rsid w:val="00AD60DD"/>
    <w:rsid w:val="00AD66C3"/>
    <w:rsid w:val="00AD6756"/>
    <w:rsid w:val="00AD7924"/>
    <w:rsid w:val="00AE029A"/>
    <w:rsid w:val="00AE07F9"/>
    <w:rsid w:val="00AE0816"/>
    <w:rsid w:val="00AE0A89"/>
    <w:rsid w:val="00AE1499"/>
    <w:rsid w:val="00AE31D8"/>
    <w:rsid w:val="00AE32F4"/>
    <w:rsid w:val="00AE337A"/>
    <w:rsid w:val="00AE37C1"/>
    <w:rsid w:val="00AE3CF3"/>
    <w:rsid w:val="00AE45A4"/>
    <w:rsid w:val="00AE5EAE"/>
    <w:rsid w:val="00AE6E81"/>
    <w:rsid w:val="00AE6F66"/>
    <w:rsid w:val="00AE7151"/>
    <w:rsid w:val="00AE736C"/>
    <w:rsid w:val="00AE7722"/>
    <w:rsid w:val="00AE7F01"/>
    <w:rsid w:val="00AF0580"/>
    <w:rsid w:val="00AF1049"/>
    <w:rsid w:val="00AF10FB"/>
    <w:rsid w:val="00AF2B51"/>
    <w:rsid w:val="00AF58A0"/>
    <w:rsid w:val="00AF58C1"/>
    <w:rsid w:val="00AF65FC"/>
    <w:rsid w:val="00AF74E7"/>
    <w:rsid w:val="00B00671"/>
    <w:rsid w:val="00B0067F"/>
    <w:rsid w:val="00B010B2"/>
    <w:rsid w:val="00B01DAD"/>
    <w:rsid w:val="00B02754"/>
    <w:rsid w:val="00B038EF"/>
    <w:rsid w:val="00B03B62"/>
    <w:rsid w:val="00B0450F"/>
    <w:rsid w:val="00B0571E"/>
    <w:rsid w:val="00B05984"/>
    <w:rsid w:val="00B05B84"/>
    <w:rsid w:val="00B05D66"/>
    <w:rsid w:val="00B05EF0"/>
    <w:rsid w:val="00B05F87"/>
    <w:rsid w:val="00B06643"/>
    <w:rsid w:val="00B07E39"/>
    <w:rsid w:val="00B10783"/>
    <w:rsid w:val="00B10933"/>
    <w:rsid w:val="00B119A8"/>
    <w:rsid w:val="00B12E07"/>
    <w:rsid w:val="00B15055"/>
    <w:rsid w:val="00B15329"/>
    <w:rsid w:val="00B20548"/>
    <w:rsid w:val="00B22206"/>
    <w:rsid w:val="00B22BFF"/>
    <w:rsid w:val="00B23015"/>
    <w:rsid w:val="00B24FD3"/>
    <w:rsid w:val="00B25DA9"/>
    <w:rsid w:val="00B26C76"/>
    <w:rsid w:val="00B30179"/>
    <w:rsid w:val="00B31B0F"/>
    <w:rsid w:val="00B31C4B"/>
    <w:rsid w:val="00B31EE0"/>
    <w:rsid w:val="00B33247"/>
    <w:rsid w:val="00B343E3"/>
    <w:rsid w:val="00B34B5D"/>
    <w:rsid w:val="00B35B24"/>
    <w:rsid w:val="00B35BB8"/>
    <w:rsid w:val="00B36246"/>
    <w:rsid w:val="00B362B5"/>
    <w:rsid w:val="00B37615"/>
    <w:rsid w:val="00B37693"/>
    <w:rsid w:val="00B37B15"/>
    <w:rsid w:val="00B37E11"/>
    <w:rsid w:val="00B37E85"/>
    <w:rsid w:val="00B37ED3"/>
    <w:rsid w:val="00B40D6F"/>
    <w:rsid w:val="00B410EA"/>
    <w:rsid w:val="00B42733"/>
    <w:rsid w:val="00B42F8A"/>
    <w:rsid w:val="00B43035"/>
    <w:rsid w:val="00B455D2"/>
    <w:rsid w:val="00B45BD4"/>
    <w:rsid w:val="00B45C02"/>
    <w:rsid w:val="00B45F3E"/>
    <w:rsid w:val="00B46683"/>
    <w:rsid w:val="00B46F04"/>
    <w:rsid w:val="00B47242"/>
    <w:rsid w:val="00B479A3"/>
    <w:rsid w:val="00B47C66"/>
    <w:rsid w:val="00B500EF"/>
    <w:rsid w:val="00B515C8"/>
    <w:rsid w:val="00B5166E"/>
    <w:rsid w:val="00B516E8"/>
    <w:rsid w:val="00B5171E"/>
    <w:rsid w:val="00B5194D"/>
    <w:rsid w:val="00B5433E"/>
    <w:rsid w:val="00B54CC3"/>
    <w:rsid w:val="00B55B47"/>
    <w:rsid w:val="00B564EB"/>
    <w:rsid w:val="00B565AE"/>
    <w:rsid w:val="00B56C20"/>
    <w:rsid w:val="00B574C1"/>
    <w:rsid w:val="00B57C61"/>
    <w:rsid w:val="00B57CB6"/>
    <w:rsid w:val="00B6082F"/>
    <w:rsid w:val="00B61122"/>
    <w:rsid w:val="00B6251C"/>
    <w:rsid w:val="00B62D2F"/>
    <w:rsid w:val="00B6318B"/>
    <w:rsid w:val="00B64C8C"/>
    <w:rsid w:val="00B64F03"/>
    <w:rsid w:val="00B65588"/>
    <w:rsid w:val="00B66825"/>
    <w:rsid w:val="00B67A3A"/>
    <w:rsid w:val="00B67E04"/>
    <w:rsid w:val="00B72A1E"/>
    <w:rsid w:val="00B73035"/>
    <w:rsid w:val="00B73051"/>
    <w:rsid w:val="00B74164"/>
    <w:rsid w:val="00B74DC3"/>
    <w:rsid w:val="00B7554B"/>
    <w:rsid w:val="00B75ACF"/>
    <w:rsid w:val="00B75CE9"/>
    <w:rsid w:val="00B77F4E"/>
    <w:rsid w:val="00B80E84"/>
    <w:rsid w:val="00B81E12"/>
    <w:rsid w:val="00B827D2"/>
    <w:rsid w:val="00B82ADB"/>
    <w:rsid w:val="00B832B2"/>
    <w:rsid w:val="00B8330A"/>
    <w:rsid w:val="00B85D05"/>
    <w:rsid w:val="00B85D2C"/>
    <w:rsid w:val="00B85EAA"/>
    <w:rsid w:val="00B87A82"/>
    <w:rsid w:val="00B909D0"/>
    <w:rsid w:val="00B92D3C"/>
    <w:rsid w:val="00B94333"/>
    <w:rsid w:val="00B95101"/>
    <w:rsid w:val="00B97098"/>
    <w:rsid w:val="00B97AB3"/>
    <w:rsid w:val="00BA03C5"/>
    <w:rsid w:val="00BA08D9"/>
    <w:rsid w:val="00BA13F6"/>
    <w:rsid w:val="00BA2BD0"/>
    <w:rsid w:val="00BA339B"/>
    <w:rsid w:val="00BA3F7A"/>
    <w:rsid w:val="00BA6839"/>
    <w:rsid w:val="00BA686A"/>
    <w:rsid w:val="00BA6A9E"/>
    <w:rsid w:val="00BA7CAB"/>
    <w:rsid w:val="00BB05BD"/>
    <w:rsid w:val="00BB1A7E"/>
    <w:rsid w:val="00BB243D"/>
    <w:rsid w:val="00BB2827"/>
    <w:rsid w:val="00BB35A1"/>
    <w:rsid w:val="00BB58D7"/>
    <w:rsid w:val="00BB5ECB"/>
    <w:rsid w:val="00BB5EE7"/>
    <w:rsid w:val="00BB6F52"/>
    <w:rsid w:val="00BB7154"/>
    <w:rsid w:val="00BC0404"/>
    <w:rsid w:val="00BC0C1B"/>
    <w:rsid w:val="00BC0FBB"/>
    <w:rsid w:val="00BC1830"/>
    <w:rsid w:val="00BC1DD1"/>
    <w:rsid w:val="00BC1E7E"/>
    <w:rsid w:val="00BC351B"/>
    <w:rsid w:val="00BC4191"/>
    <w:rsid w:val="00BC4F4D"/>
    <w:rsid w:val="00BC530C"/>
    <w:rsid w:val="00BC5968"/>
    <w:rsid w:val="00BC5A6A"/>
    <w:rsid w:val="00BC5C47"/>
    <w:rsid w:val="00BC6B7C"/>
    <w:rsid w:val="00BC6F19"/>
    <w:rsid w:val="00BC74E9"/>
    <w:rsid w:val="00BD09AD"/>
    <w:rsid w:val="00BD0A18"/>
    <w:rsid w:val="00BD1D39"/>
    <w:rsid w:val="00BD1F38"/>
    <w:rsid w:val="00BD25D7"/>
    <w:rsid w:val="00BD3645"/>
    <w:rsid w:val="00BD4F6D"/>
    <w:rsid w:val="00BD503B"/>
    <w:rsid w:val="00BD60EB"/>
    <w:rsid w:val="00BE0654"/>
    <w:rsid w:val="00BE1BF5"/>
    <w:rsid w:val="00BE1D4A"/>
    <w:rsid w:val="00BE1DE4"/>
    <w:rsid w:val="00BE32A4"/>
    <w:rsid w:val="00BE36A9"/>
    <w:rsid w:val="00BE429A"/>
    <w:rsid w:val="00BE618E"/>
    <w:rsid w:val="00BE684E"/>
    <w:rsid w:val="00BE7BEC"/>
    <w:rsid w:val="00BF02C4"/>
    <w:rsid w:val="00BF0A5A"/>
    <w:rsid w:val="00BF0E63"/>
    <w:rsid w:val="00BF11CD"/>
    <w:rsid w:val="00BF12A3"/>
    <w:rsid w:val="00BF16D7"/>
    <w:rsid w:val="00BF2373"/>
    <w:rsid w:val="00BF3A9D"/>
    <w:rsid w:val="00BF400E"/>
    <w:rsid w:val="00BF4544"/>
    <w:rsid w:val="00BF4B2D"/>
    <w:rsid w:val="00BF5EA5"/>
    <w:rsid w:val="00BF7666"/>
    <w:rsid w:val="00C0050D"/>
    <w:rsid w:val="00C0068A"/>
    <w:rsid w:val="00C00B6A"/>
    <w:rsid w:val="00C01265"/>
    <w:rsid w:val="00C014D7"/>
    <w:rsid w:val="00C02061"/>
    <w:rsid w:val="00C02409"/>
    <w:rsid w:val="00C041D4"/>
    <w:rsid w:val="00C044E2"/>
    <w:rsid w:val="00C04661"/>
    <w:rsid w:val="00C048CB"/>
    <w:rsid w:val="00C04983"/>
    <w:rsid w:val="00C050E4"/>
    <w:rsid w:val="00C055EC"/>
    <w:rsid w:val="00C06160"/>
    <w:rsid w:val="00C066F3"/>
    <w:rsid w:val="00C069D7"/>
    <w:rsid w:val="00C07A6F"/>
    <w:rsid w:val="00C10869"/>
    <w:rsid w:val="00C1187C"/>
    <w:rsid w:val="00C11A81"/>
    <w:rsid w:val="00C1282E"/>
    <w:rsid w:val="00C1412D"/>
    <w:rsid w:val="00C14202"/>
    <w:rsid w:val="00C155B3"/>
    <w:rsid w:val="00C15619"/>
    <w:rsid w:val="00C15DA6"/>
    <w:rsid w:val="00C1678E"/>
    <w:rsid w:val="00C16E3A"/>
    <w:rsid w:val="00C1741F"/>
    <w:rsid w:val="00C17EE5"/>
    <w:rsid w:val="00C17FFA"/>
    <w:rsid w:val="00C20D71"/>
    <w:rsid w:val="00C211B8"/>
    <w:rsid w:val="00C2161E"/>
    <w:rsid w:val="00C2165E"/>
    <w:rsid w:val="00C22769"/>
    <w:rsid w:val="00C2376D"/>
    <w:rsid w:val="00C2607B"/>
    <w:rsid w:val="00C269D1"/>
    <w:rsid w:val="00C27766"/>
    <w:rsid w:val="00C3099B"/>
    <w:rsid w:val="00C31182"/>
    <w:rsid w:val="00C31678"/>
    <w:rsid w:val="00C32257"/>
    <w:rsid w:val="00C33E50"/>
    <w:rsid w:val="00C34E30"/>
    <w:rsid w:val="00C35A48"/>
    <w:rsid w:val="00C35BF9"/>
    <w:rsid w:val="00C35DE6"/>
    <w:rsid w:val="00C4116B"/>
    <w:rsid w:val="00C41D3F"/>
    <w:rsid w:val="00C42916"/>
    <w:rsid w:val="00C429FB"/>
    <w:rsid w:val="00C42C5F"/>
    <w:rsid w:val="00C42EF8"/>
    <w:rsid w:val="00C432BA"/>
    <w:rsid w:val="00C4417C"/>
    <w:rsid w:val="00C445C7"/>
    <w:rsid w:val="00C44E23"/>
    <w:rsid w:val="00C45626"/>
    <w:rsid w:val="00C45A1D"/>
    <w:rsid w:val="00C45D2E"/>
    <w:rsid w:val="00C46352"/>
    <w:rsid w:val="00C463DD"/>
    <w:rsid w:val="00C464D9"/>
    <w:rsid w:val="00C47C0D"/>
    <w:rsid w:val="00C47F13"/>
    <w:rsid w:val="00C54364"/>
    <w:rsid w:val="00C553A0"/>
    <w:rsid w:val="00C555EC"/>
    <w:rsid w:val="00C564D0"/>
    <w:rsid w:val="00C56B80"/>
    <w:rsid w:val="00C5715D"/>
    <w:rsid w:val="00C60004"/>
    <w:rsid w:val="00C61639"/>
    <w:rsid w:val="00C619CD"/>
    <w:rsid w:val="00C61B96"/>
    <w:rsid w:val="00C65835"/>
    <w:rsid w:val="00C65D4D"/>
    <w:rsid w:val="00C6700A"/>
    <w:rsid w:val="00C67217"/>
    <w:rsid w:val="00C67D6F"/>
    <w:rsid w:val="00C700C5"/>
    <w:rsid w:val="00C70A67"/>
    <w:rsid w:val="00C71ACE"/>
    <w:rsid w:val="00C72B5A"/>
    <w:rsid w:val="00C72DA9"/>
    <w:rsid w:val="00C741EE"/>
    <w:rsid w:val="00C745C3"/>
    <w:rsid w:val="00C768F6"/>
    <w:rsid w:val="00C7799F"/>
    <w:rsid w:val="00C779E4"/>
    <w:rsid w:val="00C809FB"/>
    <w:rsid w:val="00C812B8"/>
    <w:rsid w:val="00C81B92"/>
    <w:rsid w:val="00C8240A"/>
    <w:rsid w:val="00C82CF0"/>
    <w:rsid w:val="00C84919"/>
    <w:rsid w:val="00C855B7"/>
    <w:rsid w:val="00C85FD7"/>
    <w:rsid w:val="00C8779F"/>
    <w:rsid w:val="00C91C29"/>
    <w:rsid w:val="00C9269D"/>
    <w:rsid w:val="00C937A1"/>
    <w:rsid w:val="00C93A1A"/>
    <w:rsid w:val="00C94213"/>
    <w:rsid w:val="00C94B63"/>
    <w:rsid w:val="00C96678"/>
    <w:rsid w:val="00C9743C"/>
    <w:rsid w:val="00C97BA9"/>
    <w:rsid w:val="00CA02BD"/>
    <w:rsid w:val="00CA0966"/>
    <w:rsid w:val="00CA1AC1"/>
    <w:rsid w:val="00CA24A4"/>
    <w:rsid w:val="00CA24AE"/>
    <w:rsid w:val="00CA34A6"/>
    <w:rsid w:val="00CA38CD"/>
    <w:rsid w:val="00CA42BA"/>
    <w:rsid w:val="00CA6218"/>
    <w:rsid w:val="00CA7073"/>
    <w:rsid w:val="00CA786F"/>
    <w:rsid w:val="00CB23FC"/>
    <w:rsid w:val="00CB247E"/>
    <w:rsid w:val="00CB3363"/>
    <w:rsid w:val="00CB348D"/>
    <w:rsid w:val="00CB3952"/>
    <w:rsid w:val="00CB7139"/>
    <w:rsid w:val="00CB793C"/>
    <w:rsid w:val="00CC1145"/>
    <w:rsid w:val="00CC1296"/>
    <w:rsid w:val="00CC28CC"/>
    <w:rsid w:val="00CC3C7B"/>
    <w:rsid w:val="00CC402C"/>
    <w:rsid w:val="00CC40BF"/>
    <w:rsid w:val="00CC5240"/>
    <w:rsid w:val="00CC7A4C"/>
    <w:rsid w:val="00CD03DD"/>
    <w:rsid w:val="00CD0E53"/>
    <w:rsid w:val="00CD18A1"/>
    <w:rsid w:val="00CD1C9C"/>
    <w:rsid w:val="00CD3300"/>
    <w:rsid w:val="00CD348F"/>
    <w:rsid w:val="00CD34E7"/>
    <w:rsid w:val="00CD3B9F"/>
    <w:rsid w:val="00CD3D58"/>
    <w:rsid w:val="00CD3D74"/>
    <w:rsid w:val="00CD3EC0"/>
    <w:rsid w:val="00CD46EA"/>
    <w:rsid w:val="00CD46F5"/>
    <w:rsid w:val="00CD6679"/>
    <w:rsid w:val="00CD67FC"/>
    <w:rsid w:val="00CD6DD3"/>
    <w:rsid w:val="00CD6EF8"/>
    <w:rsid w:val="00CE0DCF"/>
    <w:rsid w:val="00CE186D"/>
    <w:rsid w:val="00CE31AA"/>
    <w:rsid w:val="00CE4A8F"/>
    <w:rsid w:val="00CE4C76"/>
    <w:rsid w:val="00CE619D"/>
    <w:rsid w:val="00CF071D"/>
    <w:rsid w:val="00CF1151"/>
    <w:rsid w:val="00CF1B99"/>
    <w:rsid w:val="00CF372E"/>
    <w:rsid w:val="00CF374B"/>
    <w:rsid w:val="00CF388E"/>
    <w:rsid w:val="00CF3C5D"/>
    <w:rsid w:val="00CF5271"/>
    <w:rsid w:val="00CF551C"/>
    <w:rsid w:val="00CF78CD"/>
    <w:rsid w:val="00D003C7"/>
    <w:rsid w:val="00D00471"/>
    <w:rsid w:val="00D00B23"/>
    <w:rsid w:val="00D01C4E"/>
    <w:rsid w:val="00D01E18"/>
    <w:rsid w:val="00D02B2E"/>
    <w:rsid w:val="00D038CB"/>
    <w:rsid w:val="00D0434A"/>
    <w:rsid w:val="00D0710E"/>
    <w:rsid w:val="00D07ACB"/>
    <w:rsid w:val="00D10049"/>
    <w:rsid w:val="00D101A6"/>
    <w:rsid w:val="00D15254"/>
    <w:rsid w:val="00D1566C"/>
    <w:rsid w:val="00D15B04"/>
    <w:rsid w:val="00D1669B"/>
    <w:rsid w:val="00D16995"/>
    <w:rsid w:val="00D2031B"/>
    <w:rsid w:val="00D21595"/>
    <w:rsid w:val="00D24440"/>
    <w:rsid w:val="00D25104"/>
    <w:rsid w:val="00D25277"/>
    <w:rsid w:val="00D25B14"/>
    <w:rsid w:val="00D25FE2"/>
    <w:rsid w:val="00D26DAF"/>
    <w:rsid w:val="00D3044A"/>
    <w:rsid w:val="00D30B61"/>
    <w:rsid w:val="00D30B7A"/>
    <w:rsid w:val="00D31069"/>
    <w:rsid w:val="00D32507"/>
    <w:rsid w:val="00D32A38"/>
    <w:rsid w:val="00D33287"/>
    <w:rsid w:val="00D334BF"/>
    <w:rsid w:val="00D3393D"/>
    <w:rsid w:val="00D34803"/>
    <w:rsid w:val="00D349B1"/>
    <w:rsid w:val="00D34AE4"/>
    <w:rsid w:val="00D35602"/>
    <w:rsid w:val="00D35DAB"/>
    <w:rsid w:val="00D36574"/>
    <w:rsid w:val="00D36775"/>
    <w:rsid w:val="00D37DA9"/>
    <w:rsid w:val="00D37FF3"/>
    <w:rsid w:val="00D406A7"/>
    <w:rsid w:val="00D411F2"/>
    <w:rsid w:val="00D41905"/>
    <w:rsid w:val="00D41D2A"/>
    <w:rsid w:val="00D41DD3"/>
    <w:rsid w:val="00D42493"/>
    <w:rsid w:val="00D42A6B"/>
    <w:rsid w:val="00D43252"/>
    <w:rsid w:val="00D43B66"/>
    <w:rsid w:val="00D44118"/>
    <w:rsid w:val="00D442D6"/>
    <w:rsid w:val="00D44C2B"/>
    <w:rsid w:val="00D44D86"/>
    <w:rsid w:val="00D44DCC"/>
    <w:rsid w:val="00D4638C"/>
    <w:rsid w:val="00D47B42"/>
    <w:rsid w:val="00D50B7D"/>
    <w:rsid w:val="00D50EE5"/>
    <w:rsid w:val="00D50FAF"/>
    <w:rsid w:val="00D515D1"/>
    <w:rsid w:val="00D52012"/>
    <w:rsid w:val="00D523C9"/>
    <w:rsid w:val="00D534A3"/>
    <w:rsid w:val="00D54DA5"/>
    <w:rsid w:val="00D556CE"/>
    <w:rsid w:val="00D57ADB"/>
    <w:rsid w:val="00D57BEF"/>
    <w:rsid w:val="00D57EFB"/>
    <w:rsid w:val="00D607BD"/>
    <w:rsid w:val="00D62769"/>
    <w:rsid w:val="00D63BE9"/>
    <w:rsid w:val="00D666AE"/>
    <w:rsid w:val="00D704E5"/>
    <w:rsid w:val="00D709F5"/>
    <w:rsid w:val="00D70B9F"/>
    <w:rsid w:val="00D713BC"/>
    <w:rsid w:val="00D719C7"/>
    <w:rsid w:val="00D72727"/>
    <w:rsid w:val="00D72F18"/>
    <w:rsid w:val="00D7530F"/>
    <w:rsid w:val="00D76FC8"/>
    <w:rsid w:val="00D7747F"/>
    <w:rsid w:val="00D77570"/>
    <w:rsid w:val="00D803B2"/>
    <w:rsid w:val="00D8090F"/>
    <w:rsid w:val="00D82152"/>
    <w:rsid w:val="00D8254C"/>
    <w:rsid w:val="00D8374E"/>
    <w:rsid w:val="00D84447"/>
    <w:rsid w:val="00D84C9F"/>
    <w:rsid w:val="00D85BDF"/>
    <w:rsid w:val="00D8655F"/>
    <w:rsid w:val="00D87C38"/>
    <w:rsid w:val="00D87D24"/>
    <w:rsid w:val="00D905D8"/>
    <w:rsid w:val="00D91FEC"/>
    <w:rsid w:val="00D9391C"/>
    <w:rsid w:val="00D93C25"/>
    <w:rsid w:val="00D94444"/>
    <w:rsid w:val="00D95100"/>
    <w:rsid w:val="00D95695"/>
    <w:rsid w:val="00D957D9"/>
    <w:rsid w:val="00D95D62"/>
    <w:rsid w:val="00D95DAE"/>
    <w:rsid w:val="00D963ED"/>
    <w:rsid w:val="00D978C6"/>
    <w:rsid w:val="00D97D48"/>
    <w:rsid w:val="00DA0956"/>
    <w:rsid w:val="00DA0FEA"/>
    <w:rsid w:val="00DA110A"/>
    <w:rsid w:val="00DA2686"/>
    <w:rsid w:val="00DA2C02"/>
    <w:rsid w:val="00DA357F"/>
    <w:rsid w:val="00DA39F8"/>
    <w:rsid w:val="00DA3E12"/>
    <w:rsid w:val="00DA4044"/>
    <w:rsid w:val="00DA76D6"/>
    <w:rsid w:val="00DB02B3"/>
    <w:rsid w:val="00DB03DF"/>
    <w:rsid w:val="00DB0BC5"/>
    <w:rsid w:val="00DB1AA6"/>
    <w:rsid w:val="00DB1AE2"/>
    <w:rsid w:val="00DB371F"/>
    <w:rsid w:val="00DB4F8A"/>
    <w:rsid w:val="00DB58E6"/>
    <w:rsid w:val="00DB605F"/>
    <w:rsid w:val="00DB7EFF"/>
    <w:rsid w:val="00DC18AD"/>
    <w:rsid w:val="00DC18F6"/>
    <w:rsid w:val="00DC2356"/>
    <w:rsid w:val="00DC2FC1"/>
    <w:rsid w:val="00DC35AA"/>
    <w:rsid w:val="00DC4253"/>
    <w:rsid w:val="00DC463C"/>
    <w:rsid w:val="00DC4BC6"/>
    <w:rsid w:val="00DC534C"/>
    <w:rsid w:val="00DC6803"/>
    <w:rsid w:val="00DC7A6F"/>
    <w:rsid w:val="00DC7AE8"/>
    <w:rsid w:val="00DD015F"/>
    <w:rsid w:val="00DD1286"/>
    <w:rsid w:val="00DD12D4"/>
    <w:rsid w:val="00DD22CC"/>
    <w:rsid w:val="00DD30A6"/>
    <w:rsid w:val="00DD33B7"/>
    <w:rsid w:val="00DD411B"/>
    <w:rsid w:val="00DD5075"/>
    <w:rsid w:val="00DD5BDD"/>
    <w:rsid w:val="00DD7315"/>
    <w:rsid w:val="00DE0F55"/>
    <w:rsid w:val="00DE1CB7"/>
    <w:rsid w:val="00DE44D4"/>
    <w:rsid w:val="00DE57FF"/>
    <w:rsid w:val="00DE5CDE"/>
    <w:rsid w:val="00DE71D0"/>
    <w:rsid w:val="00DE76B5"/>
    <w:rsid w:val="00DF0A52"/>
    <w:rsid w:val="00DF14FB"/>
    <w:rsid w:val="00DF189D"/>
    <w:rsid w:val="00DF1B90"/>
    <w:rsid w:val="00DF20DE"/>
    <w:rsid w:val="00DF5A69"/>
    <w:rsid w:val="00DF64D1"/>
    <w:rsid w:val="00DF6788"/>
    <w:rsid w:val="00DF69F0"/>
    <w:rsid w:val="00DF7CAE"/>
    <w:rsid w:val="00E01B83"/>
    <w:rsid w:val="00E02050"/>
    <w:rsid w:val="00E0234B"/>
    <w:rsid w:val="00E03AFC"/>
    <w:rsid w:val="00E125C6"/>
    <w:rsid w:val="00E12FA5"/>
    <w:rsid w:val="00E1393B"/>
    <w:rsid w:val="00E13CE0"/>
    <w:rsid w:val="00E22987"/>
    <w:rsid w:val="00E2360F"/>
    <w:rsid w:val="00E23EB6"/>
    <w:rsid w:val="00E30085"/>
    <w:rsid w:val="00E30797"/>
    <w:rsid w:val="00E30880"/>
    <w:rsid w:val="00E30AC5"/>
    <w:rsid w:val="00E30B13"/>
    <w:rsid w:val="00E3301C"/>
    <w:rsid w:val="00E335E3"/>
    <w:rsid w:val="00E33BEE"/>
    <w:rsid w:val="00E35A4A"/>
    <w:rsid w:val="00E363A7"/>
    <w:rsid w:val="00E36CEB"/>
    <w:rsid w:val="00E37762"/>
    <w:rsid w:val="00E400BD"/>
    <w:rsid w:val="00E40698"/>
    <w:rsid w:val="00E42390"/>
    <w:rsid w:val="00E423C0"/>
    <w:rsid w:val="00E427D3"/>
    <w:rsid w:val="00E43133"/>
    <w:rsid w:val="00E43E4B"/>
    <w:rsid w:val="00E441CD"/>
    <w:rsid w:val="00E44AF9"/>
    <w:rsid w:val="00E44B72"/>
    <w:rsid w:val="00E469A0"/>
    <w:rsid w:val="00E51BF1"/>
    <w:rsid w:val="00E52FA8"/>
    <w:rsid w:val="00E5312D"/>
    <w:rsid w:val="00E552FF"/>
    <w:rsid w:val="00E55556"/>
    <w:rsid w:val="00E55EF6"/>
    <w:rsid w:val="00E56147"/>
    <w:rsid w:val="00E56CD4"/>
    <w:rsid w:val="00E60016"/>
    <w:rsid w:val="00E60070"/>
    <w:rsid w:val="00E6045E"/>
    <w:rsid w:val="00E61FCE"/>
    <w:rsid w:val="00E627D2"/>
    <w:rsid w:val="00E62A9C"/>
    <w:rsid w:val="00E6414C"/>
    <w:rsid w:val="00E64159"/>
    <w:rsid w:val="00E64CFA"/>
    <w:rsid w:val="00E65473"/>
    <w:rsid w:val="00E65C51"/>
    <w:rsid w:val="00E708A5"/>
    <w:rsid w:val="00E7260F"/>
    <w:rsid w:val="00E733FD"/>
    <w:rsid w:val="00E758E5"/>
    <w:rsid w:val="00E75A59"/>
    <w:rsid w:val="00E779F9"/>
    <w:rsid w:val="00E77A52"/>
    <w:rsid w:val="00E805D2"/>
    <w:rsid w:val="00E80E60"/>
    <w:rsid w:val="00E81A46"/>
    <w:rsid w:val="00E83642"/>
    <w:rsid w:val="00E83A00"/>
    <w:rsid w:val="00E84051"/>
    <w:rsid w:val="00E84977"/>
    <w:rsid w:val="00E84BAE"/>
    <w:rsid w:val="00E8702D"/>
    <w:rsid w:val="00E90278"/>
    <w:rsid w:val="00E90D43"/>
    <w:rsid w:val="00E91425"/>
    <w:rsid w:val="00E916A9"/>
    <w:rsid w:val="00E916DE"/>
    <w:rsid w:val="00E91ADF"/>
    <w:rsid w:val="00E942AB"/>
    <w:rsid w:val="00E95AC4"/>
    <w:rsid w:val="00E96630"/>
    <w:rsid w:val="00E96AC8"/>
    <w:rsid w:val="00E97B69"/>
    <w:rsid w:val="00EA218A"/>
    <w:rsid w:val="00EA25B7"/>
    <w:rsid w:val="00EA36B0"/>
    <w:rsid w:val="00EA3D06"/>
    <w:rsid w:val="00EA4477"/>
    <w:rsid w:val="00EA5817"/>
    <w:rsid w:val="00EA5F2C"/>
    <w:rsid w:val="00EA727B"/>
    <w:rsid w:val="00EA74AF"/>
    <w:rsid w:val="00EA772D"/>
    <w:rsid w:val="00EA79D3"/>
    <w:rsid w:val="00EB0309"/>
    <w:rsid w:val="00EB0335"/>
    <w:rsid w:val="00EB0659"/>
    <w:rsid w:val="00EB12AB"/>
    <w:rsid w:val="00EB1B48"/>
    <w:rsid w:val="00EB2196"/>
    <w:rsid w:val="00EB3F6A"/>
    <w:rsid w:val="00EB3F80"/>
    <w:rsid w:val="00EB4265"/>
    <w:rsid w:val="00EB480E"/>
    <w:rsid w:val="00EB509D"/>
    <w:rsid w:val="00EB51D5"/>
    <w:rsid w:val="00EB54CD"/>
    <w:rsid w:val="00EC01A0"/>
    <w:rsid w:val="00EC04BA"/>
    <w:rsid w:val="00EC0CD4"/>
    <w:rsid w:val="00EC1311"/>
    <w:rsid w:val="00EC1D19"/>
    <w:rsid w:val="00EC2589"/>
    <w:rsid w:val="00EC280A"/>
    <w:rsid w:val="00EC3810"/>
    <w:rsid w:val="00EC4008"/>
    <w:rsid w:val="00EC51C7"/>
    <w:rsid w:val="00EC621C"/>
    <w:rsid w:val="00EC7509"/>
    <w:rsid w:val="00ED18DC"/>
    <w:rsid w:val="00ED19B9"/>
    <w:rsid w:val="00ED1C0A"/>
    <w:rsid w:val="00ED4213"/>
    <w:rsid w:val="00ED4DBD"/>
    <w:rsid w:val="00ED6201"/>
    <w:rsid w:val="00ED6E7C"/>
    <w:rsid w:val="00ED7A2A"/>
    <w:rsid w:val="00ED7E6C"/>
    <w:rsid w:val="00EE021D"/>
    <w:rsid w:val="00EE0256"/>
    <w:rsid w:val="00EE0419"/>
    <w:rsid w:val="00EE18B1"/>
    <w:rsid w:val="00EE2633"/>
    <w:rsid w:val="00EE2707"/>
    <w:rsid w:val="00EE32CE"/>
    <w:rsid w:val="00EE353D"/>
    <w:rsid w:val="00EE3684"/>
    <w:rsid w:val="00EE4A8F"/>
    <w:rsid w:val="00EF1530"/>
    <w:rsid w:val="00EF15AA"/>
    <w:rsid w:val="00EF1D7F"/>
    <w:rsid w:val="00EF2F2F"/>
    <w:rsid w:val="00EF34C8"/>
    <w:rsid w:val="00EF3842"/>
    <w:rsid w:val="00EF38E0"/>
    <w:rsid w:val="00EF4580"/>
    <w:rsid w:val="00EF508A"/>
    <w:rsid w:val="00EF623D"/>
    <w:rsid w:val="00EF7B9D"/>
    <w:rsid w:val="00F0113C"/>
    <w:rsid w:val="00F01186"/>
    <w:rsid w:val="00F0137E"/>
    <w:rsid w:val="00F015EB"/>
    <w:rsid w:val="00F0230E"/>
    <w:rsid w:val="00F03F6D"/>
    <w:rsid w:val="00F043A1"/>
    <w:rsid w:val="00F04DBC"/>
    <w:rsid w:val="00F053AB"/>
    <w:rsid w:val="00F057D6"/>
    <w:rsid w:val="00F06F56"/>
    <w:rsid w:val="00F0701B"/>
    <w:rsid w:val="00F10208"/>
    <w:rsid w:val="00F11C27"/>
    <w:rsid w:val="00F128EC"/>
    <w:rsid w:val="00F12BAE"/>
    <w:rsid w:val="00F12C97"/>
    <w:rsid w:val="00F1754D"/>
    <w:rsid w:val="00F2046F"/>
    <w:rsid w:val="00F204E0"/>
    <w:rsid w:val="00F21786"/>
    <w:rsid w:val="00F21BEB"/>
    <w:rsid w:val="00F21F55"/>
    <w:rsid w:val="00F2393A"/>
    <w:rsid w:val="00F23EF8"/>
    <w:rsid w:val="00F245A8"/>
    <w:rsid w:val="00F24615"/>
    <w:rsid w:val="00F25438"/>
    <w:rsid w:val="00F27300"/>
    <w:rsid w:val="00F2746B"/>
    <w:rsid w:val="00F2764C"/>
    <w:rsid w:val="00F30272"/>
    <w:rsid w:val="00F30932"/>
    <w:rsid w:val="00F3138B"/>
    <w:rsid w:val="00F3180D"/>
    <w:rsid w:val="00F3198E"/>
    <w:rsid w:val="00F32E33"/>
    <w:rsid w:val="00F335D4"/>
    <w:rsid w:val="00F34BAD"/>
    <w:rsid w:val="00F34D58"/>
    <w:rsid w:val="00F34FF5"/>
    <w:rsid w:val="00F355C9"/>
    <w:rsid w:val="00F35C89"/>
    <w:rsid w:val="00F3681B"/>
    <w:rsid w:val="00F370EB"/>
    <w:rsid w:val="00F3742B"/>
    <w:rsid w:val="00F37547"/>
    <w:rsid w:val="00F37638"/>
    <w:rsid w:val="00F40E07"/>
    <w:rsid w:val="00F41896"/>
    <w:rsid w:val="00F41FDB"/>
    <w:rsid w:val="00F42F33"/>
    <w:rsid w:val="00F43398"/>
    <w:rsid w:val="00F43C0F"/>
    <w:rsid w:val="00F44D67"/>
    <w:rsid w:val="00F44EFB"/>
    <w:rsid w:val="00F45EB9"/>
    <w:rsid w:val="00F46653"/>
    <w:rsid w:val="00F46AC1"/>
    <w:rsid w:val="00F50E91"/>
    <w:rsid w:val="00F516D0"/>
    <w:rsid w:val="00F52FCD"/>
    <w:rsid w:val="00F53C18"/>
    <w:rsid w:val="00F549D2"/>
    <w:rsid w:val="00F56D63"/>
    <w:rsid w:val="00F572E2"/>
    <w:rsid w:val="00F57471"/>
    <w:rsid w:val="00F578F9"/>
    <w:rsid w:val="00F602A2"/>
    <w:rsid w:val="00F6070B"/>
    <w:rsid w:val="00F609A9"/>
    <w:rsid w:val="00F62952"/>
    <w:rsid w:val="00F629A0"/>
    <w:rsid w:val="00F6313F"/>
    <w:rsid w:val="00F638D5"/>
    <w:rsid w:val="00F64345"/>
    <w:rsid w:val="00F65384"/>
    <w:rsid w:val="00F6689A"/>
    <w:rsid w:val="00F67342"/>
    <w:rsid w:val="00F67614"/>
    <w:rsid w:val="00F67C96"/>
    <w:rsid w:val="00F7047F"/>
    <w:rsid w:val="00F71189"/>
    <w:rsid w:val="00F71811"/>
    <w:rsid w:val="00F72363"/>
    <w:rsid w:val="00F723E2"/>
    <w:rsid w:val="00F725D3"/>
    <w:rsid w:val="00F72AEF"/>
    <w:rsid w:val="00F72EA1"/>
    <w:rsid w:val="00F761DE"/>
    <w:rsid w:val="00F804C9"/>
    <w:rsid w:val="00F807B1"/>
    <w:rsid w:val="00F80C4D"/>
    <w:rsid w:val="00F80C99"/>
    <w:rsid w:val="00F80F87"/>
    <w:rsid w:val="00F8115F"/>
    <w:rsid w:val="00F832C5"/>
    <w:rsid w:val="00F8339F"/>
    <w:rsid w:val="00F83E8D"/>
    <w:rsid w:val="00F83F65"/>
    <w:rsid w:val="00F85BEF"/>
    <w:rsid w:val="00F85DCC"/>
    <w:rsid w:val="00F867EC"/>
    <w:rsid w:val="00F86ACD"/>
    <w:rsid w:val="00F918B0"/>
    <w:rsid w:val="00F91B2B"/>
    <w:rsid w:val="00F93DE9"/>
    <w:rsid w:val="00F93F3D"/>
    <w:rsid w:val="00F96516"/>
    <w:rsid w:val="00F96C3E"/>
    <w:rsid w:val="00F975D2"/>
    <w:rsid w:val="00F978DA"/>
    <w:rsid w:val="00FA0664"/>
    <w:rsid w:val="00FA0C3C"/>
    <w:rsid w:val="00FA1B98"/>
    <w:rsid w:val="00FA2ED1"/>
    <w:rsid w:val="00FA31FA"/>
    <w:rsid w:val="00FA44E6"/>
    <w:rsid w:val="00FA4648"/>
    <w:rsid w:val="00FA50EC"/>
    <w:rsid w:val="00FA68BB"/>
    <w:rsid w:val="00FA79DB"/>
    <w:rsid w:val="00FB196B"/>
    <w:rsid w:val="00FB1B7E"/>
    <w:rsid w:val="00FB1F2D"/>
    <w:rsid w:val="00FB3344"/>
    <w:rsid w:val="00FB3485"/>
    <w:rsid w:val="00FB4A4B"/>
    <w:rsid w:val="00FB4AD6"/>
    <w:rsid w:val="00FB5F29"/>
    <w:rsid w:val="00FB7FAB"/>
    <w:rsid w:val="00FC03CD"/>
    <w:rsid w:val="00FC0646"/>
    <w:rsid w:val="00FC14C8"/>
    <w:rsid w:val="00FC183A"/>
    <w:rsid w:val="00FC19D1"/>
    <w:rsid w:val="00FC1FE2"/>
    <w:rsid w:val="00FC2408"/>
    <w:rsid w:val="00FC47AF"/>
    <w:rsid w:val="00FC4B2F"/>
    <w:rsid w:val="00FC53D1"/>
    <w:rsid w:val="00FC5564"/>
    <w:rsid w:val="00FC56DD"/>
    <w:rsid w:val="00FC612A"/>
    <w:rsid w:val="00FC68B7"/>
    <w:rsid w:val="00FC6CC7"/>
    <w:rsid w:val="00FC7080"/>
    <w:rsid w:val="00FD0FCF"/>
    <w:rsid w:val="00FD1123"/>
    <w:rsid w:val="00FD1815"/>
    <w:rsid w:val="00FD1FD9"/>
    <w:rsid w:val="00FD5A7C"/>
    <w:rsid w:val="00FE0788"/>
    <w:rsid w:val="00FE0ACD"/>
    <w:rsid w:val="00FE0C93"/>
    <w:rsid w:val="00FE0CCD"/>
    <w:rsid w:val="00FE157A"/>
    <w:rsid w:val="00FE1DD2"/>
    <w:rsid w:val="00FE1F3E"/>
    <w:rsid w:val="00FE253A"/>
    <w:rsid w:val="00FE646B"/>
    <w:rsid w:val="00FE6579"/>
    <w:rsid w:val="00FE6985"/>
    <w:rsid w:val="00FE7955"/>
    <w:rsid w:val="00FF108F"/>
    <w:rsid w:val="00FF1737"/>
    <w:rsid w:val="00FF23D4"/>
    <w:rsid w:val="00FF2A27"/>
    <w:rsid w:val="00FF4421"/>
    <w:rsid w:val="00FF4650"/>
    <w:rsid w:val="00FF4F8C"/>
    <w:rsid w:val="00FF6160"/>
    <w:rsid w:val="00FF68B2"/>
    <w:rsid w:val="00FF76EB"/>
    <w:rsid w:val="00FF7D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3297"/>
    <o:shapelayout v:ext="edit">
      <o:idmap v:ext="edit" data="1"/>
    </o:shapelayout>
  </w:shapeDefaults>
  <w:decimalSymbol w:val="."/>
  <w:listSeparator w:val=","/>
  <w14:docId w14:val="65E0E18A"/>
  <w15:docId w15:val="{A64FD3BC-A312-475C-A40A-305D5642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numPr>
        <w:numId w:val="14"/>
      </w:numPr>
      <w:spacing w:after="0" w:line="240" w:lineRule="auto"/>
      <w:ind w:right="0"/>
      <w:jc w:val="left"/>
      <w:outlineLvl w:val="0"/>
    </w:pPr>
  </w:style>
  <w:style w:type="paragraph" w:styleId="Heading2">
    <w:name w:val="heading 2"/>
    <w:basedOn w:val="Normal"/>
    <w:next w:val="Normal"/>
    <w:link w:val="Heading2Char"/>
    <w:qFormat/>
    <w:pPr>
      <w:tabs>
        <w:tab w:val="num" w:pos="360"/>
      </w:tabs>
      <w:spacing w:line="240" w:lineRule="auto"/>
      <w:ind w:left="360" w:hanging="360"/>
      <w:outlineLvl w:val="1"/>
    </w:pPr>
  </w:style>
  <w:style w:type="paragraph" w:styleId="Heading3">
    <w:name w:val="heading 3"/>
    <w:basedOn w:val="Normal"/>
    <w:next w:val="Normal"/>
    <w:link w:val="Heading3Char"/>
    <w:qFormat/>
    <w:pPr>
      <w:tabs>
        <w:tab w:val="num" w:pos="360"/>
      </w:tabs>
      <w:spacing w:line="240" w:lineRule="auto"/>
      <w:ind w:left="360" w:hanging="360"/>
      <w:outlineLvl w:val="2"/>
    </w:pPr>
  </w:style>
  <w:style w:type="paragraph" w:styleId="Heading4">
    <w:name w:val="heading 4"/>
    <w:basedOn w:val="Normal"/>
    <w:next w:val="Normal"/>
    <w:link w:val="Heading4Char"/>
    <w:qFormat/>
    <w:pPr>
      <w:tabs>
        <w:tab w:val="num" w:pos="360"/>
      </w:tabs>
      <w:spacing w:line="240" w:lineRule="auto"/>
      <w:ind w:left="360" w:hanging="360"/>
      <w:outlineLvl w:val="3"/>
    </w:pPr>
  </w:style>
  <w:style w:type="paragraph" w:styleId="Heading5">
    <w:name w:val="heading 5"/>
    <w:basedOn w:val="Normal"/>
    <w:next w:val="Normal"/>
    <w:link w:val="Heading5Char"/>
    <w:qFormat/>
    <w:pPr>
      <w:tabs>
        <w:tab w:val="num" w:pos="360"/>
      </w:tabs>
      <w:spacing w:line="240" w:lineRule="auto"/>
      <w:ind w:left="360" w:hanging="360"/>
      <w:outlineLvl w:val="4"/>
    </w:pPr>
  </w:style>
  <w:style w:type="paragraph" w:styleId="Heading6">
    <w:name w:val="heading 6"/>
    <w:basedOn w:val="Normal"/>
    <w:next w:val="Normal"/>
    <w:link w:val="Heading6Char"/>
    <w:qFormat/>
    <w:pPr>
      <w:tabs>
        <w:tab w:val="num" w:pos="360"/>
      </w:tabs>
      <w:spacing w:line="240" w:lineRule="auto"/>
      <w:ind w:left="360" w:hanging="360"/>
      <w:outlineLvl w:val="5"/>
    </w:pPr>
  </w:style>
  <w:style w:type="paragraph" w:styleId="Heading7">
    <w:name w:val="heading 7"/>
    <w:basedOn w:val="Normal"/>
    <w:next w:val="Normal"/>
    <w:link w:val="Heading7Char"/>
    <w:qFormat/>
    <w:pPr>
      <w:tabs>
        <w:tab w:val="num" w:pos="360"/>
      </w:tabs>
      <w:spacing w:line="240" w:lineRule="auto"/>
      <w:ind w:left="360" w:hanging="360"/>
      <w:outlineLvl w:val="6"/>
    </w:pPr>
  </w:style>
  <w:style w:type="paragraph" w:styleId="Heading8">
    <w:name w:val="heading 8"/>
    <w:basedOn w:val="Normal"/>
    <w:next w:val="Normal"/>
    <w:link w:val="Heading8Char"/>
    <w:qFormat/>
    <w:pPr>
      <w:tabs>
        <w:tab w:val="num" w:pos="360"/>
      </w:tabs>
      <w:spacing w:line="240" w:lineRule="auto"/>
      <w:ind w:left="360" w:hanging="360"/>
      <w:outlineLvl w:val="7"/>
    </w:pPr>
  </w:style>
  <w:style w:type="paragraph" w:styleId="Heading9">
    <w:name w:val="heading 9"/>
    <w:basedOn w:val="Normal"/>
    <w:next w:val="Normal"/>
    <w:link w:val="Heading9Char"/>
    <w:qFormat/>
    <w:pPr>
      <w:tabs>
        <w:tab w:val="num" w:pos="360"/>
      </w:tabs>
      <w:spacing w:line="240" w:lineRule="auto"/>
      <w:ind w:left="36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paragraph" w:styleId="EndnoteText">
    <w:name w:val="endnote text"/>
    <w:aliases w:val="2_G"/>
    <w:basedOn w:val="FootnoteText"/>
    <w:link w:val="EndnoteTextChar"/>
    <w:rsid w:val="007B6BA5"/>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styleId="Hyperlink">
    <w:name w:val="Hyperlink"/>
    <w:semiHidden/>
    <w:rsid w:val="008A6C4F"/>
    <w:rPr>
      <w:color w:val="0000FF"/>
      <w:u w:val="singl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paragraph" w:styleId="BodyTextIndent">
    <w:name w:val="Body Text Indent"/>
    <w:basedOn w:val="Normal"/>
    <w:link w:val="BodyTextIndentChar1"/>
    <w:rsid w:val="004574E6"/>
    <w:pPr>
      <w:widowControl w:val="0"/>
      <w:suppressAutoHyphens w:val="0"/>
      <w:spacing w:line="240" w:lineRule="auto"/>
      <w:ind w:firstLine="5103"/>
    </w:pPr>
    <w:rPr>
      <w:rFonts w:ascii="CG Times" w:hAnsi="CG Times"/>
      <w:snapToGrid w:val="0"/>
      <w:sz w:val="24"/>
    </w:rPr>
  </w:style>
  <w:style w:type="table" w:styleId="TableGrid">
    <w:name w:val="Table Grid"/>
    <w:basedOn w:val="TableNormal"/>
    <w:rsid w:val="004574E6"/>
    <w:pPr>
      <w:jc w:val="both"/>
    </w:pPr>
    <w:rPr>
      <w:snapToGrid w:val="0"/>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4574E6"/>
    <w:rPr>
      <w:b/>
      <w:sz w:val="28"/>
      <w:lang w:val="en-GB" w:eastAsia="en-US" w:bidi="ar-SA"/>
    </w:rPr>
  </w:style>
  <w:style w:type="character" w:customStyle="1" w:styleId="SingleTxtGChar">
    <w:name w:val="_ Single Txt_G Char"/>
    <w:link w:val="SingleTxtG"/>
    <w:qFormat/>
    <w:rsid w:val="004574E6"/>
    <w:rPr>
      <w:lang w:val="en-GB" w:eastAsia="en-US" w:bidi="ar-SA"/>
    </w:rPr>
  </w:style>
  <w:style w:type="character" w:customStyle="1" w:styleId="Heading6Char">
    <w:name w:val="Heading 6 Char"/>
    <w:link w:val="Heading6"/>
    <w:rsid w:val="00354D6A"/>
    <w:rPr>
      <w:lang w:eastAsia="en-US"/>
    </w:rPr>
  </w:style>
  <w:style w:type="character" w:customStyle="1" w:styleId="darkbluebold">
    <w:name w:val="darkbluebold"/>
    <w:basedOn w:val="DefaultParagraphFont"/>
    <w:rsid w:val="000A0FE6"/>
  </w:style>
  <w:style w:type="character" w:customStyle="1" w:styleId="H23GChar">
    <w:name w:val="_ H_2/3_G Char"/>
    <w:link w:val="H23G"/>
    <w:rsid w:val="00FE1F3E"/>
    <w:rPr>
      <w:b/>
      <w:lang w:val="en-GB" w:eastAsia="en-US" w:bidi="ar-SA"/>
    </w:rPr>
  </w:style>
  <w:style w:type="paragraph" w:customStyle="1" w:styleId="ParaNoG">
    <w:name w:val="_ParaNo._G"/>
    <w:basedOn w:val="SingleTxtG"/>
    <w:rsid w:val="00DE1CB7"/>
    <w:pPr>
      <w:numPr>
        <w:numId w:val="3"/>
      </w:numPr>
    </w:pPr>
  </w:style>
  <w:style w:type="paragraph" w:customStyle="1" w:styleId="Docs">
    <w:name w:val="Docs"/>
    <w:basedOn w:val="Normal"/>
    <w:rsid w:val="002502C1"/>
    <w:pPr>
      <w:keepNext/>
      <w:widowControl w:val="0"/>
      <w:autoSpaceDN w:val="0"/>
      <w:spacing w:after="240" w:line="240" w:lineRule="auto"/>
      <w:textAlignment w:val="baseline"/>
    </w:pPr>
    <w:rPr>
      <w:rFonts w:eastAsia="Lucida Sans Unicode"/>
      <w:kern w:val="3"/>
      <w:sz w:val="24"/>
      <w:szCs w:val="24"/>
      <w:lang w:val="en-US"/>
    </w:rPr>
  </w:style>
  <w:style w:type="paragraph" w:customStyle="1" w:styleId="DocList">
    <w:name w:val="DocList"/>
    <w:basedOn w:val="SingleTxtG"/>
    <w:rsid w:val="00A46DD0"/>
    <w:pPr>
      <w:spacing w:after="240"/>
      <w:ind w:left="3701" w:right="1138" w:hanging="2002"/>
      <w:jc w:val="left"/>
    </w:pPr>
    <w:rPr>
      <w:i/>
    </w:rPr>
  </w:style>
  <w:style w:type="character" w:customStyle="1" w:styleId="SingleTxtGZchnZchn">
    <w:name w:val="_ Single Txt_G Zchn Zchn"/>
    <w:rsid w:val="00A46DD0"/>
    <w:rPr>
      <w:lang w:val="en-GB" w:eastAsia="en-US" w:bidi="ar-SA"/>
    </w:rPr>
  </w:style>
  <w:style w:type="character" w:customStyle="1" w:styleId="Heading1Char">
    <w:name w:val="Heading 1 Char"/>
    <w:aliases w:val="Table_G Char"/>
    <w:link w:val="Heading1"/>
    <w:rsid w:val="00BA03C5"/>
    <w:rPr>
      <w:lang w:eastAsia="en-US"/>
    </w:rPr>
  </w:style>
  <w:style w:type="character" w:customStyle="1" w:styleId="Heading2Char">
    <w:name w:val="Heading 2 Char"/>
    <w:link w:val="Heading2"/>
    <w:rsid w:val="00BA03C5"/>
    <w:rPr>
      <w:lang w:eastAsia="en-US"/>
    </w:rPr>
  </w:style>
  <w:style w:type="character" w:customStyle="1" w:styleId="Heading3Char">
    <w:name w:val="Heading 3 Char"/>
    <w:link w:val="Heading3"/>
    <w:rsid w:val="00BA03C5"/>
    <w:rPr>
      <w:lang w:eastAsia="en-US"/>
    </w:rPr>
  </w:style>
  <w:style w:type="character" w:customStyle="1" w:styleId="Heading4Char">
    <w:name w:val="Heading 4 Char"/>
    <w:link w:val="Heading4"/>
    <w:rsid w:val="00BA03C5"/>
    <w:rPr>
      <w:lang w:eastAsia="en-US"/>
    </w:rPr>
  </w:style>
  <w:style w:type="character" w:customStyle="1" w:styleId="Heading5Char">
    <w:name w:val="Heading 5 Char"/>
    <w:link w:val="Heading5"/>
    <w:rsid w:val="00BA03C5"/>
    <w:rPr>
      <w:lang w:eastAsia="en-US"/>
    </w:rPr>
  </w:style>
  <w:style w:type="character" w:customStyle="1" w:styleId="Heading7Char">
    <w:name w:val="Heading 7 Char"/>
    <w:link w:val="Heading7"/>
    <w:rsid w:val="00BA03C5"/>
    <w:rPr>
      <w:lang w:eastAsia="en-US"/>
    </w:rPr>
  </w:style>
  <w:style w:type="character" w:customStyle="1" w:styleId="Heading8Char">
    <w:name w:val="Heading 8 Char"/>
    <w:link w:val="Heading8"/>
    <w:rsid w:val="00BA03C5"/>
    <w:rPr>
      <w:lang w:eastAsia="en-US"/>
    </w:rPr>
  </w:style>
  <w:style w:type="character" w:customStyle="1" w:styleId="Heading9Char">
    <w:name w:val="Heading 9 Char"/>
    <w:link w:val="Heading9"/>
    <w:rsid w:val="00BA03C5"/>
    <w:rPr>
      <w:lang w:eastAsia="en-US"/>
    </w:rPr>
  </w:style>
  <w:style w:type="paragraph" w:styleId="PlainText">
    <w:name w:val="Plain Text"/>
    <w:basedOn w:val="Normal"/>
    <w:link w:val="PlainTextChar"/>
    <w:rsid w:val="00BA03C5"/>
    <w:rPr>
      <w:rFonts w:cs="Courier New"/>
    </w:rPr>
  </w:style>
  <w:style w:type="character" w:customStyle="1" w:styleId="PlainTextChar">
    <w:name w:val="Plain Text Char"/>
    <w:link w:val="PlainText"/>
    <w:rsid w:val="00BA03C5"/>
    <w:rPr>
      <w:rFonts w:cs="Courier New"/>
      <w:lang w:eastAsia="en-US"/>
    </w:rPr>
  </w:style>
  <w:style w:type="paragraph" w:styleId="BodyText">
    <w:name w:val="Body Text"/>
    <w:basedOn w:val="Normal"/>
    <w:next w:val="Normal"/>
    <w:link w:val="BodyTextChar"/>
    <w:rsid w:val="00BA03C5"/>
  </w:style>
  <w:style w:type="character" w:customStyle="1" w:styleId="BodyTextChar">
    <w:name w:val="Body Text Char"/>
    <w:link w:val="BodyText"/>
    <w:rsid w:val="00BA03C5"/>
    <w:rPr>
      <w:lang w:eastAsia="en-US"/>
    </w:rPr>
  </w:style>
  <w:style w:type="character" w:customStyle="1" w:styleId="BodyTextIndentChar">
    <w:name w:val="Body Text Indent Char"/>
    <w:semiHidden/>
    <w:rsid w:val="00BA03C5"/>
    <w:rPr>
      <w:lang w:eastAsia="en-US"/>
    </w:rPr>
  </w:style>
  <w:style w:type="paragraph" w:styleId="BlockText">
    <w:name w:val="Block Text"/>
    <w:basedOn w:val="Normal"/>
    <w:rsid w:val="00BA03C5"/>
    <w:pPr>
      <w:ind w:left="1440" w:right="1440"/>
    </w:pPr>
  </w:style>
  <w:style w:type="character" w:customStyle="1" w:styleId="FootnoteTextChar">
    <w:name w:val="Footnote Text Char"/>
    <w:aliases w:val="5_G Char"/>
    <w:link w:val="FootnoteText"/>
    <w:rsid w:val="00BA03C5"/>
    <w:rPr>
      <w:sz w:val="18"/>
      <w:lang w:eastAsia="en-US"/>
    </w:rPr>
  </w:style>
  <w:style w:type="character" w:customStyle="1" w:styleId="EndnoteTextChar">
    <w:name w:val="Endnote Text Char"/>
    <w:aliases w:val="2_G Char"/>
    <w:link w:val="EndnoteText"/>
    <w:rsid w:val="00BA03C5"/>
    <w:rPr>
      <w:sz w:val="18"/>
      <w:lang w:eastAsia="en-US"/>
    </w:rPr>
  </w:style>
  <w:style w:type="character" w:styleId="CommentReference">
    <w:name w:val="annotation reference"/>
    <w:rsid w:val="00BA03C5"/>
    <w:rPr>
      <w:sz w:val="6"/>
    </w:rPr>
  </w:style>
  <w:style w:type="paragraph" w:styleId="CommentText">
    <w:name w:val="annotation text"/>
    <w:basedOn w:val="Normal"/>
    <w:link w:val="CommentTextChar"/>
    <w:rsid w:val="00BA03C5"/>
  </w:style>
  <w:style w:type="character" w:customStyle="1" w:styleId="CommentTextChar">
    <w:name w:val="Comment Text Char"/>
    <w:link w:val="CommentText"/>
    <w:rsid w:val="00BA03C5"/>
    <w:rPr>
      <w:lang w:eastAsia="en-US"/>
    </w:rPr>
  </w:style>
  <w:style w:type="character" w:styleId="LineNumber">
    <w:name w:val="line number"/>
    <w:rsid w:val="00BA03C5"/>
    <w:rPr>
      <w:sz w:val="14"/>
    </w:rPr>
  </w:style>
  <w:style w:type="numbering" w:styleId="111111">
    <w:name w:val="Outline List 2"/>
    <w:basedOn w:val="NoList"/>
    <w:rsid w:val="00BA03C5"/>
    <w:pPr>
      <w:numPr>
        <w:numId w:val="15"/>
      </w:numPr>
    </w:pPr>
  </w:style>
  <w:style w:type="numbering" w:styleId="1ai">
    <w:name w:val="Outline List 1"/>
    <w:basedOn w:val="NoList"/>
    <w:rsid w:val="00BA03C5"/>
    <w:pPr>
      <w:numPr>
        <w:numId w:val="16"/>
      </w:numPr>
    </w:pPr>
  </w:style>
  <w:style w:type="numbering" w:styleId="ArticleSection">
    <w:name w:val="Outline List 3"/>
    <w:basedOn w:val="NoList"/>
    <w:rsid w:val="00BA03C5"/>
    <w:pPr>
      <w:numPr>
        <w:numId w:val="17"/>
      </w:numPr>
    </w:pPr>
  </w:style>
  <w:style w:type="paragraph" w:styleId="BodyText2">
    <w:name w:val="Body Text 2"/>
    <w:basedOn w:val="Normal"/>
    <w:link w:val="BodyText2Char"/>
    <w:rsid w:val="00BA03C5"/>
    <w:pPr>
      <w:spacing w:after="120" w:line="480" w:lineRule="auto"/>
    </w:pPr>
  </w:style>
  <w:style w:type="character" w:customStyle="1" w:styleId="BodyText2Char">
    <w:name w:val="Body Text 2 Char"/>
    <w:link w:val="BodyText2"/>
    <w:rsid w:val="00BA03C5"/>
    <w:rPr>
      <w:lang w:eastAsia="en-US"/>
    </w:rPr>
  </w:style>
  <w:style w:type="paragraph" w:styleId="BodyText3">
    <w:name w:val="Body Text 3"/>
    <w:basedOn w:val="Normal"/>
    <w:link w:val="BodyText3Char"/>
    <w:rsid w:val="00BA03C5"/>
    <w:pPr>
      <w:spacing w:after="120"/>
    </w:pPr>
    <w:rPr>
      <w:sz w:val="16"/>
      <w:szCs w:val="16"/>
    </w:rPr>
  </w:style>
  <w:style w:type="character" w:customStyle="1" w:styleId="BodyText3Char">
    <w:name w:val="Body Text 3 Char"/>
    <w:link w:val="BodyText3"/>
    <w:rsid w:val="00BA03C5"/>
    <w:rPr>
      <w:sz w:val="16"/>
      <w:szCs w:val="16"/>
      <w:lang w:eastAsia="en-US"/>
    </w:rPr>
  </w:style>
  <w:style w:type="paragraph" w:styleId="BodyTextFirstIndent">
    <w:name w:val="Body Text First Indent"/>
    <w:basedOn w:val="BodyText"/>
    <w:link w:val="BodyTextFirstIndentChar"/>
    <w:rsid w:val="00BA03C5"/>
    <w:pPr>
      <w:spacing w:after="120"/>
      <w:ind w:firstLine="210"/>
    </w:pPr>
  </w:style>
  <w:style w:type="character" w:customStyle="1" w:styleId="BodyTextFirstIndentChar">
    <w:name w:val="Body Text First Indent Char"/>
    <w:basedOn w:val="BodyTextChar"/>
    <w:link w:val="BodyTextFirstIndent"/>
    <w:rsid w:val="00BA03C5"/>
    <w:rPr>
      <w:lang w:eastAsia="en-US"/>
    </w:rPr>
  </w:style>
  <w:style w:type="paragraph" w:styleId="BodyTextFirstIndent2">
    <w:name w:val="Body Text First Indent 2"/>
    <w:basedOn w:val="BodyTextIndent"/>
    <w:link w:val="BodyTextFirstIndent2Char"/>
    <w:rsid w:val="00BA03C5"/>
    <w:pPr>
      <w:widowControl/>
      <w:suppressAutoHyphens/>
      <w:spacing w:after="120" w:line="240" w:lineRule="atLeast"/>
      <w:ind w:left="283" w:firstLine="210"/>
    </w:pPr>
    <w:rPr>
      <w:rFonts w:ascii="Times New Roman" w:hAnsi="Times New Roman"/>
      <w:snapToGrid/>
      <w:sz w:val="20"/>
    </w:rPr>
  </w:style>
  <w:style w:type="character" w:customStyle="1" w:styleId="BodyTextIndentChar1">
    <w:name w:val="Body Text Indent Char1"/>
    <w:link w:val="BodyTextIndent"/>
    <w:rsid w:val="00BA03C5"/>
    <w:rPr>
      <w:rFonts w:ascii="CG Times" w:hAnsi="CG Times"/>
      <w:snapToGrid w:val="0"/>
      <w:sz w:val="24"/>
      <w:lang w:eastAsia="en-US"/>
    </w:rPr>
  </w:style>
  <w:style w:type="character" w:customStyle="1" w:styleId="BodyTextFirstIndent2Char">
    <w:name w:val="Body Text First Indent 2 Char"/>
    <w:link w:val="BodyTextFirstIndent2"/>
    <w:rsid w:val="00BA03C5"/>
    <w:rPr>
      <w:rFonts w:ascii="CG Times" w:hAnsi="CG Times"/>
      <w:snapToGrid/>
      <w:sz w:val="24"/>
      <w:lang w:eastAsia="en-US"/>
    </w:rPr>
  </w:style>
  <w:style w:type="paragraph" w:styleId="BodyTextIndent2">
    <w:name w:val="Body Text Indent 2"/>
    <w:basedOn w:val="Normal"/>
    <w:link w:val="BodyTextIndent2Char"/>
    <w:rsid w:val="00BA03C5"/>
    <w:pPr>
      <w:spacing w:after="120" w:line="480" w:lineRule="auto"/>
      <w:ind w:left="283"/>
    </w:pPr>
  </w:style>
  <w:style w:type="character" w:customStyle="1" w:styleId="BodyTextIndent2Char">
    <w:name w:val="Body Text Indent 2 Char"/>
    <w:link w:val="BodyTextIndent2"/>
    <w:rsid w:val="00BA03C5"/>
    <w:rPr>
      <w:lang w:eastAsia="en-US"/>
    </w:rPr>
  </w:style>
  <w:style w:type="paragraph" w:styleId="BodyTextIndent3">
    <w:name w:val="Body Text Indent 3"/>
    <w:basedOn w:val="Normal"/>
    <w:link w:val="BodyTextIndent3Char"/>
    <w:rsid w:val="00BA03C5"/>
    <w:pPr>
      <w:spacing w:after="120"/>
      <w:ind w:left="283"/>
    </w:pPr>
    <w:rPr>
      <w:sz w:val="16"/>
      <w:szCs w:val="16"/>
    </w:rPr>
  </w:style>
  <w:style w:type="character" w:customStyle="1" w:styleId="BodyTextIndent3Char">
    <w:name w:val="Body Text Indent 3 Char"/>
    <w:link w:val="BodyTextIndent3"/>
    <w:rsid w:val="00BA03C5"/>
    <w:rPr>
      <w:sz w:val="16"/>
      <w:szCs w:val="16"/>
      <w:lang w:eastAsia="en-US"/>
    </w:rPr>
  </w:style>
  <w:style w:type="paragraph" w:styleId="Closing">
    <w:name w:val="Closing"/>
    <w:basedOn w:val="Normal"/>
    <w:link w:val="ClosingChar"/>
    <w:rsid w:val="00BA03C5"/>
    <w:pPr>
      <w:ind w:left="4252"/>
    </w:pPr>
  </w:style>
  <w:style w:type="character" w:customStyle="1" w:styleId="ClosingChar">
    <w:name w:val="Closing Char"/>
    <w:link w:val="Closing"/>
    <w:rsid w:val="00BA03C5"/>
    <w:rPr>
      <w:lang w:eastAsia="en-US"/>
    </w:rPr>
  </w:style>
  <w:style w:type="paragraph" w:styleId="Date">
    <w:name w:val="Date"/>
    <w:basedOn w:val="Normal"/>
    <w:next w:val="Normal"/>
    <w:link w:val="DateChar"/>
    <w:rsid w:val="00BA03C5"/>
  </w:style>
  <w:style w:type="character" w:customStyle="1" w:styleId="DateChar">
    <w:name w:val="Date Char"/>
    <w:link w:val="Date"/>
    <w:rsid w:val="00BA03C5"/>
    <w:rPr>
      <w:lang w:eastAsia="en-US"/>
    </w:rPr>
  </w:style>
  <w:style w:type="paragraph" w:styleId="E-mailSignature">
    <w:name w:val="E-mail Signature"/>
    <w:basedOn w:val="Normal"/>
    <w:link w:val="E-mailSignatureChar"/>
    <w:rsid w:val="00BA03C5"/>
  </w:style>
  <w:style w:type="character" w:customStyle="1" w:styleId="E-mailSignatureChar">
    <w:name w:val="E-mail Signature Char"/>
    <w:link w:val="E-mailSignature"/>
    <w:rsid w:val="00BA03C5"/>
    <w:rPr>
      <w:lang w:eastAsia="en-US"/>
    </w:rPr>
  </w:style>
  <w:style w:type="character" w:styleId="Emphasis">
    <w:name w:val="Emphasis"/>
    <w:qFormat/>
    <w:rsid w:val="00BA03C5"/>
    <w:rPr>
      <w:i/>
      <w:iCs/>
    </w:rPr>
  </w:style>
  <w:style w:type="paragraph" w:styleId="EnvelopeReturn">
    <w:name w:val="envelope return"/>
    <w:basedOn w:val="Normal"/>
    <w:rsid w:val="00BA03C5"/>
    <w:rPr>
      <w:rFonts w:ascii="Arial" w:hAnsi="Arial" w:cs="Arial"/>
    </w:rPr>
  </w:style>
  <w:style w:type="character" w:styleId="FollowedHyperlink">
    <w:name w:val="FollowedHyperlink"/>
    <w:rsid w:val="00BA03C5"/>
    <w:rPr>
      <w:color w:val="800080"/>
      <w:u w:val="single"/>
    </w:rPr>
  </w:style>
  <w:style w:type="character" w:styleId="HTMLAcronym">
    <w:name w:val="HTML Acronym"/>
    <w:rsid w:val="00BA03C5"/>
  </w:style>
  <w:style w:type="paragraph" w:styleId="HTMLAddress">
    <w:name w:val="HTML Address"/>
    <w:basedOn w:val="Normal"/>
    <w:link w:val="HTMLAddressChar"/>
    <w:rsid w:val="00BA03C5"/>
    <w:rPr>
      <w:i/>
      <w:iCs/>
    </w:rPr>
  </w:style>
  <w:style w:type="character" w:customStyle="1" w:styleId="HTMLAddressChar">
    <w:name w:val="HTML Address Char"/>
    <w:link w:val="HTMLAddress"/>
    <w:rsid w:val="00BA03C5"/>
    <w:rPr>
      <w:i/>
      <w:iCs/>
      <w:lang w:eastAsia="en-US"/>
    </w:rPr>
  </w:style>
  <w:style w:type="character" w:styleId="HTMLCite">
    <w:name w:val="HTML Cite"/>
    <w:rsid w:val="00BA03C5"/>
    <w:rPr>
      <w:i/>
      <w:iCs/>
    </w:rPr>
  </w:style>
  <w:style w:type="character" w:styleId="HTMLCode">
    <w:name w:val="HTML Code"/>
    <w:rsid w:val="00BA03C5"/>
    <w:rPr>
      <w:rFonts w:ascii="Courier New" w:hAnsi="Courier New" w:cs="Courier New"/>
      <w:sz w:val="20"/>
      <w:szCs w:val="20"/>
    </w:rPr>
  </w:style>
  <w:style w:type="character" w:styleId="HTMLDefinition">
    <w:name w:val="HTML Definition"/>
    <w:rsid w:val="00BA03C5"/>
    <w:rPr>
      <w:i/>
      <w:iCs/>
    </w:rPr>
  </w:style>
  <w:style w:type="character" w:styleId="HTMLKeyboard">
    <w:name w:val="HTML Keyboard"/>
    <w:rsid w:val="00BA03C5"/>
    <w:rPr>
      <w:rFonts w:ascii="Courier New" w:hAnsi="Courier New" w:cs="Courier New"/>
      <w:sz w:val="20"/>
      <w:szCs w:val="20"/>
    </w:rPr>
  </w:style>
  <w:style w:type="paragraph" w:styleId="HTMLPreformatted">
    <w:name w:val="HTML Preformatted"/>
    <w:basedOn w:val="Normal"/>
    <w:link w:val="HTMLPreformattedChar"/>
    <w:rsid w:val="00BA03C5"/>
    <w:rPr>
      <w:rFonts w:ascii="Courier New" w:hAnsi="Courier New" w:cs="Courier New"/>
    </w:rPr>
  </w:style>
  <w:style w:type="character" w:customStyle="1" w:styleId="HTMLPreformattedChar">
    <w:name w:val="HTML Preformatted Char"/>
    <w:link w:val="HTMLPreformatted"/>
    <w:rsid w:val="00BA03C5"/>
    <w:rPr>
      <w:rFonts w:ascii="Courier New" w:hAnsi="Courier New" w:cs="Courier New"/>
      <w:lang w:eastAsia="en-US"/>
    </w:rPr>
  </w:style>
  <w:style w:type="character" w:styleId="HTMLSample">
    <w:name w:val="HTML Sample"/>
    <w:rsid w:val="00BA03C5"/>
    <w:rPr>
      <w:rFonts w:ascii="Courier New" w:hAnsi="Courier New" w:cs="Courier New"/>
    </w:rPr>
  </w:style>
  <w:style w:type="character" w:styleId="HTMLTypewriter">
    <w:name w:val="HTML Typewriter"/>
    <w:rsid w:val="00BA03C5"/>
    <w:rPr>
      <w:rFonts w:ascii="Courier New" w:hAnsi="Courier New" w:cs="Courier New"/>
      <w:sz w:val="20"/>
      <w:szCs w:val="20"/>
    </w:rPr>
  </w:style>
  <w:style w:type="character" w:styleId="HTMLVariable">
    <w:name w:val="HTML Variable"/>
    <w:rsid w:val="00BA03C5"/>
    <w:rPr>
      <w:i/>
      <w:iCs/>
    </w:rPr>
  </w:style>
  <w:style w:type="paragraph" w:styleId="List">
    <w:name w:val="List"/>
    <w:basedOn w:val="Normal"/>
    <w:rsid w:val="00BA03C5"/>
    <w:pPr>
      <w:ind w:left="283" w:hanging="283"/>
    </w:pPr>
  </w:style>
  <w:style w:type="paragraph" w:styleId="List2">
    <w:name w:val="List 2"/>
    <w:basedOn w:val="Normal"/>
    <w:rsid w:val="00BA03C5"/>
    <w:pPr>
      <w:ind w:left="566" w:hanging="283"/>
    </w:pPr>
  </w:style>
  <w:style w:type="paragraph" w:styleId="List3">
    <w:name w:val="List 3"/>
    <w:basedOn w:val="Normal"/>
    <w:rsid w:val="00BA03C5"/>
    <w:pPr>
      <w:ind w:left="849" w:hanging="283"/>
    </w:pPr>
  </w:style>
  <w:style w:type="paragraph" w:styleId="List4">
    <w:name w:val="List 4"/>
    <w:basedOn w:val="Normal"/>
    <w:rsid w:val="00BA03C5"/>
    <w:pPr>
      <w:ind w:left="1132" w:hanging="283"/>
    </w:pPr>
  </w:style>
  <w:style w:type="paragraph" w:styleId="List5">
    <w:name w:val="List 5"/>
    <w:basedOn w:val="Normal"/>
    <w:rsid w:val="00BA03C5"/>
    <w:pPr>
      <w:ind w:left="1415" w:hanging="283"/>
    </w:pPr>
  </w:style>
  <w:style w:type="paragraph" w:styleId="ListBullet">
    <w:name w:val="List Bullet"/>
    <w:basedOn w:val="Normal"/>
    <w:rsid w:val="00BA03C5"/>
    <w:pPr>
      <w:tabs>
        <w:tab w:val="num" w:pos="360"/>
      </w:tabs>
      <w:ind w:left="360" w:hanging="360"/>
    </w:pPr>
  </w:style>
  <w:style w:type="paragraph" w:styleId="ListBullet2">
    <w:name w:val="List Bullet 2"/>
    <w:basedOn w:val="Normal"/>
    <w:rsid w:val="00BA03C5"/>
    <w:pPr>
      <w:tabs>
        <w:tab w:val="num" w:pos="643"/>
      </w:tabs>
      <w:ind w:left="643" w:hanging="360"/>
    </w:pPr>
  </w:style>
  <w:style w:type="paragraph" w:styleId="ListBullet3">
    <w:name w:val="List Bullet 3"/>
    <w:basedOn w:val="Normal"/>
    <w:rsid w:val="00BA03C5"/>
    <w:pPr>
      <w:tabs>
        <w:tab w:val="num" w:pos="926"/>
      </w:tabs>
      <w:ind w:left="926" w:hanging="360"/>
    </w:pPr>
  </w:style>
  <w:style w:type="paragraph" w:styleId="ListBullet4">
    <w:name w:val="List Bullet 4"/>
    <w:basedOn w:val="Normal"/>
    <w:rsid w:val="00BA03C5"/>
    <w:pPr>
      <w:tabs>
        <w:tab w:val="num" w:pos="1209"/>
      </w:tabs>
      <w:ind w:left="1209" w:hanging="360"/>
    </w:pPr>
  </w:style>
  <w:style w:type="paragraph" w:styleId="ListBullet5">
    <w:name w:val="List Bullet 5"/>
    <w:basedOn w:val="Normal"/>
    <w:rsid w:val="00BA03C5"/>
    <w:pPr>
      <w:tabs>
        <w:tab w:val="num" w:pos="1492"/>
      </w:tabs>
      <w:ind w:left="1492" w:hanging="360"/>
    </w:pPr>
  </w:style>
  <w:style w:type="paragraph" w:styleId="ListContinue">
    <w:name w:val="List Continue"/>
    <w:basedOn w:val="Normal"/>
    <w:rsid w:val="00BA03C5"/>
    <w:pPr>
      <w:spacing w:after="120"/>
      <w:ind w:left="283"/>
    </w:pPr>
  </w:style>
  <w:style w:type="paragraph" w:styleId="ListContinue2">
    <w:name w:val="List Continue 2"/>
    <w:basedOn w:val="Normal"/>
    <w:rsid w:val="00BA03C5"/>
    <w:pPr>
      <w:spacing w:after="120"/>
      <w:ind w:left="566"/>
    </w:pPr>
  </w:style>
  <w:style w:type="paragraph" w:styleId="ListContinue3">
    <w:name w:val="List Continue 3"/>
    <w:basedOn w:val="Normal"/>
    <w:rsid w:val="00BA03C5"/>
    <w:pPr>
      <w:spacing w:after="120"/>
      <w:ind w:left="849"/>
    </w:pPr>
  </w:style>
  <w:style w:type="paragraph" w:styleId="ListContinue4">
    <w:name w:val="List Continue 4"/>
    <w:basedOn w:val="Normal"/>
    <w:rsid w:val="00BA03C5"/>
    <w:pPr>
      <w:spacing w:after="120"/>
      <w:ind w:left="1132"/>
    </w:pPr>
  </w:style>
  <w:style w:type="paragraph" w:styleId="ListContinue5">
    <w:name w:val="List Continue 5"/>
    <w:basedOn w:val="Normal"/>
    <w:rsid w:val="00BA03C5"/>
    <w:pPr>
      <w:spacing w:after="120"/>
      <w:ind w:left="1415"/>
    </w:pPr>
  </w:style>
  <w:style w:type="paragraph" w:styleId="ListNumber">
    <w:name w:val="List Number"/>
    <w:basedOn w:val="Normal"/>
    <w:rsid w:val="00BA03C5"/>
    <w:pPr>
      <w:tabs>
        <w:tab w:val="num" w:pos="360"/>
      </w:tabs>
      <w:ind w:left="360" w:hanging="360"/>
    </w:pPr>
  </w:style>
  <w:style w:type="paragraph" w:styleId="ListNumber2">
    <w:name w:val="List Number 2"/>
    <w:basedOn w:val="Normal"/>
    <w:rsid w:val="00BA03C5"/>
    <w:pPr>
      <w:tabs>
        <w:tab w:val="num" w:pos="643"/>
      </w:tabs>
      <w:ind w:left="643" w:hanging="360"/>
    </w:pPr>
  </w:style>
  <w:style w:type="paragraph" w:styleId="ListNumber3">
    <w:name w:val="List Number 3"/>
    <w:basedOn w:val="Normal"/>
    <w:rsid w:val="00BA03C5"/>
    <w:pPr>
      <w:tabs>
        <w:tab w:val="num" w:pos="926"/>
      </w:tabs>
      <w:ind w:left="926" w:hanging="360"/>
    </w:pPr>
  </w:style>
  <w:style w:type="paragraph" w:styleId="ListNumber4">
    <w:name w:val="List Number 4"/>
    <w:basedOn w:val="Normal"/>
    <w:rsid w:val="00BA03C5"/>
    <w:pPr>
      <w:tabs>
        <w:tab w:val="num" w:pos="1209"/>
      </w:tabs>
      <w:ind w:left="1209" w:hanging="360"/>
    </w:pPr>
  </w:style>
  <w:style w:type="paragraph" w:styleId="ListNumber5">
    <w:name w:val="List Number 5"/>
    <w:basedOn w:val="Normal"/>
    <w:rsid w:val="00BA03C5"/>
    <w:pPr>
      <w:tabs>
        <w:tab w:val="num" w:pos="1492"/>
      </w:tabs>
      <w:ind w:left="1492" w:hanging="360"/>
    </w:pPr>
  </w:style>
  <w:style w:type="paragraph" w:styleId="MessageHeader">
    <w:name w:val="Message Header"/>
    <w:basedOn w:val="Normal"/>
    <w:link w:val="MessageHeaderChar"/>
    <w:rsid w:val="00BA03C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rsid w:val="00BA03C5"/>
    <w:rPr>
      <w:rFonts w:ascii="Arial" w:hAnsi="Arial" w:cs="Arial"/>
      <w:sz w:val="24"/>
      <w:szCs w:val="24"/>
      <w:shd w:val="pct20" w:color="auto" w:fill="auto"/>
      <w:lang w:eastAsia="en-US"/>
    </w:rPr>
  </w:style>
  <w:style w:type="paragraph" w:styleId="NormalWeb">
    <w:name w:val="Normal (Web)"/>
    <w:basedOn w:val="Normal"/>
    <w:rsid w:val="00BA03C5"/>
    <w:rPr>
      <w:sz w:val="24"/>
      <w:szCs w:val="24"/>
    </w:rPr>
  </w:style>
  <w:style w:type="paragraph" w:styleId="NormalIndent">
    <w:name w:val="Normal Indent"/>
    <w:basedOn w:val="Normal"/>
    <w:rsid w:val="00BA03C5"/>
    <w:pPr>
      <w:ind w:left="567"/>
    </w:pPr>
  </w:style>
  <w:style w:type="paragraph" w:styleId="NoteHeading">
    <w:name w:val="Note Heading"/>
    <w:basedOn w:val="Normal"/>
    <w:next w:val="Normal"/>
    <w:link w:val="NoteHeadingChar"/>
    <w:rsid w:val="00BA03C5"/>
  </w:style>
  <w:style w:type="character" w:customStyle="1" w:styleId="NoteHeadingChar">
    <w:name w:val="Note Heading Char"/>
    <w:link w:val="NoteHeading"/>
    <w:rsid w:val="00BA03C5"/>
    <w:rPr>
      <w:lang w:eastAsia="en-US"/>
    </w:rPr>
  </w:style>
  <w:style w:type="paragraph" w:styleId="Salutation">
    <w:name w:val="Salutation"/>
    <w:basedOn w:val="Normal"/>
    <w:next w:val="Normal"/>
    <w:link w:val="SalutationChar"/>
    <w:rsid w:val="00BA03C5"/>
  </w:style>
  <w:style w:type="character" w:customStyle="1" w:styleId="SalutationChar">
    <w:name w:val="Salutation Char"/>
    <w:link w:val="Salutation"/>
    <w:rsid w:val="00BA03C5"/>
    <w:rPr>
      <w:lang w:eastAsia="en-US"/>
    </w:rPr>
  </w:style>
  <w:style w:type="paragraph" w:styleId="Signature">
    <w:name w:val="Signature"/>
    <w:basedOn w:val="Normal"/>
    <w:link w:val="SignatureChar"/>
    <w:rsid w:val="00BA03C5"/>
    <w:pPr>
      <w:ind w:left="4252"/>
    </w:pPr>
  </w:style>
  <w:style w:type="character" w:customStyle="1" w:styleId="SignatureChar">
    <w:name w:val="Signature Char"/>
    <w:link w:val="Signature"/>
    <w:rsid w:val="00BA03C5"/>
    <w:rPr>
      <w:lang w:eastAsia="en-US"/>
    </w:rPr>
  </w:style>
  <w:style w:type="character" w:styleId="Strong">
    <w:name w:val="Strong"/>
    <w:qFormat/>
    <w:rsid w:val="00BA03C5"/>
    <w:rPr>
      <w:b/>
      <w:bCs/>
    </w:rPr>
  </w:style>
  <w:style w:type="paragraph" w:styleId="Subtitle">
    <w:name w:val="Subtitle"/>
    <w:basedOn w:val="Normal"/>
    <w:link w:val="SubtitleChar"/>
    <w:qFormat/>
    <w:rsid w:val="00BA03C5"/>
    <w:pPr>
      <w:spacing w:after="60"/>
      <w:jc w:val="center"/>
      <w:outlineLvl w:val="1"/>
    </w:pPr>
    <w:rPr>
      <w:rFonts w:ascii="Arial" w:hAnsi="Arial" w:cs="Arial"/>
      <w:sz w:val="24"/>
      <w:szCs w:val="24"/>
    </w:rPr>
  </w:style>
  <w:style w:type="character" w:customStyle="1" w:styleId="SubtitleChar">
    <w:name w:val="Subtitle Char"/>
    <w:link w:val="Subtitle"/>
    <w:rsid w:val="00BA03C5"/>
    <w:rPr>
      <w:rFonts w:ascii="Arial" w:hAnsi="Arial" w:cs="Arial"/>
      <w:sz w:val="24"/>
      <w:szCs w:val="24"/>
      <w:lang w:eastAsia="en-US"/>
    </w:rPr>
  </w:style>
  <w:style w:type="table" w:styleId="Table3Deffects1">
    <w:name w:val="Table 3D effects 1"/>
    <w:basedOn w:val="TableNormal"/>
    <w:rsid w:val="00BA03C5"/>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A03C5"/>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A03C5"/>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A03C5"/>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A03C5"/>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A03C5"/>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A03C5"/>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A03C5"/>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A03C5"/>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A03C5"/>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A03C5"/>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A03C5"/>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A03C5"/>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A03C5"/>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A03C5"/>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A03C5"/>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A03C5"/>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A03C5"/>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A03C5"/>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A03C5"/>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A03C5"/>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A03C5"/>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A03C5"/>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A03C5"/>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A03C5"/>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A03C5"/>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A03C5"/>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A03C5"/>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A03C5"/>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A03C5"/>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A03C5"/>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A03C5"/>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A03C5"/>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A03C5"/>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A03C5"/>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A03C5"/>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A03C5"/>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A03C5"/>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A03C5"/>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A03C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A03C5"/>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A03C5"/>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A03C5"/>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A03C5"/>
    <w:pPr>
      <w:spacing w:before="240" w:after="60"/>
      <w:jc w:val="center"/>
      <w:outlineLvl w:val="0"/>
    </w:pPr>
    <w:rPr>
      <w:rFonts w:ascii="Arial" w:hAnsi="Arial" w:cs="Arial"/>
      <w:b/>
      <w:bCs/>
      <w:kern w:val="28"/>
      <w:sz w:val="32"/>
      <w:szCs w:val="32"/>
    </w:rPr>
  </w:style>
  <w:style w:type="character" w:customStyle="1" w:styleId="TitleChar">
    <w:name w:val="Title Char"/>
    <w:link w:val="Title"/>
    <w:rsid w:val="00BA03C5"/>
    <w:rPr>
      <w:rFonts w:ascii="Arial" w:hAnsi="Arial" w:cs="Arial"/>
      <w:b/>
      <w:bCs/>
      <w:kern w:val="28"/>
      <w:sz w:val="32"/>
      <w:szCs w:val="32"/>
      <w:lang w:eastAsia="en-US"/>
    </w:rPr>
  </w:style>
  <w:style w:type="paragraph" w:styleId="EnvelopeAddress">
    <w:name w:val="envelope address"/>
    <w:basedOn w:val="Normal"/>
    <w:rsid w:val="00BA03C5"/>
    <w:pPr>
      <w:framePr w:w="7920" w:h="1980" w:hRule="exact" w:hSpace="180" w:wrap="auto" w:hAnchor="page" w:xAlign="center" w:yAlign="bottom"/>
      <w:ind w:left="2880"/>
    </w:pPr>
    <w:rPr>
      <w:rFonts w:ascii="Arial" w:hAnsi="Arial" w:cs="Arial"/>
      <w:sz w:val="24"/>
      <w:szCs w:val="24"/>
    </w:rPr>
  </w:style>
  <w:style w:type="character" w:customStyle="1" w:styleId="FooterChar">
    <w:name w:val="Footer Char"/>
    <w:aliases w:val="3_G Char"/>
    <w:link w:val="Footer"/>
    <w:uiPriority w:val="99"/>
    <w:rsid w:val="00BA03C5"/>
    <w:rPr>
      <w:sz w:val="16"/>
      <w:lang w:eastAsia="en-US"/>
    </w:rPr>
  </w:style>
  <w:style w:type="character" w:customStyle="1" w:styleId="HeaderChar">
    <w:name w:val="Header Char"/>
    <w:aliases w:val="6_G Char"/>
    <w:link w:val="Header"/>
    <w:rsid w:val="00BA03C5"/>
    <w:rPr>
      <w:b/>
      <w:sz w:val="18"/>
      <w:lang w:eastAsia="en-US"/>
    </w:rPr>
  </w:style>
  <w:style w:type="paragraph" w:styleId="BalloonText">
    <w:name w:val="Balloon Text"/>
    <w:basedOn w:val="Normal"/>
    <w:link w:val="BalloonTextChar"/>
    <w:rsid w:val="00787260"/>
    <w:pPr>
      <w:spacing w:line="240" w:lineRule="auto"/>
    </w:pPr>
    <w:rPr>
      <w:rFonts w:ascii="Tahoma" w:hAnsi="Tahoma" w:cs="Tahoma"/>
      <w:sz w:val="16"/>
      <w:szCs w:val="16"/>
    </w:rPr>
  </w:style>
  <w:style w:type="character" w:customStyle="1" w:styleId="BalloonTextChar">
    <w:name w:val="Balloon Text Char"/>
    <w:link w:val="BalloonText"/>
    <w:rsid w:val="00787260"/>
    <w:rPr>
      <w:rFonts w:ascii="Tahoma" w:hAnsi="Tahoma" w:cs="Tahoma"/>
      <w:sz w:val="16"/>
      <w:szCs w:val="16"/>
      <w:lang w:eastAsia="en-US"/>
    </w:rPr>
  </w:style>
  <w:style w:type="paragraph" w:customStyle="1" w:styleId="H1">
    <w:name w:val="_ H_1"/>
    <w:basedOn w:val="Normal"/>
    <w:next w:val="SingleTxt"/>
    <w:rsid w:val="001F3B2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rsid w:val="001F3B24"/>
    <w:pPr>
      <w:spacing w:line="300" w:lineRule="exact"/>
      <w:ind w:left="0" w:right="0" w:firstLine="0"/>
    </w:pPr>
    <w:rPr>
      <w:spacing w:val="-2"/>
      <w:sz w:val="28"/>
    </w:rPr>
  </w:style>
  <w:style w:type="paragraph" w:customStyle="1" w:styleId="SingleTxt">
    <w:name w:val="__Single Txt"/>
    <w:basedOn w:val="Normal"/>
    <w:rsid w:val="001F3B2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H23">
    <w:name w:val="_ H_2/3"/>
    <w:basedOn w:val="Normal"/>
    <w:next w:val="SingleTxt"/>
    <w:rsid w:val="006D242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SimSun"/>
      <w:b/>
      <w:spacing w:val="2"/>
      <w:w w:val="103"/>
      <w:kern w:val="14"/>
      <w:lang w:eastAsia="zh-CN"/>
    </w:rPr>
  </w:style>
  <w:style w:type="character" w:customStyle="1" w:styleId="H1GChar">
    <w:name w:val="_ H_1_G Char"/>
    <w:link w:val="H1G"/>
    <w:rsid w:val="000B3CC6"/>
    <w:rPr>
      <w:b/>
      <w:sz w:val="24"/>
      <w:lang w:eastAsia="en-US"/>
    </w:rPr>
  </w:style>
  <w:style w:type="paragraph" w:customStyle="1" w:styleId="Default">
    <w:name w:val="Default"/>
    <w:rsid w:val="000B3CC6"/>
    <w:pPr>
      <w:widowControl w:val="0"/>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A12FDD"/>
    <w:pPr>
      <w:suppressAutoHyphens w:val="0"/>
      <w:spacing w:after="200" w:line="276" w:lineRule="auto"/>
      <w:ind w:left="720"/>
      <w:contextualSpacing/>
    </w:pPr>
    <w:rPr>
      <w:rFonts w:ascii="Calibri" w:eastAsia="Calibri" w:hAnsi="Calibri"/>
      <w:sz w:val="22"/>
      <w:szCs w:val="22"/>
      <w:lang w:val="en-US"/>
    </w:rPr>
  </w:style>
  <w:style w:type="paragraph" w:styleId="Revision">
    <w:name w:val="Revision"/>
    <w:hidden/>
    <w:uiPriority w:val="99"/>
    <w:semiHidden/>
    <w:rsid w:val="00314C42"/>
    <w:rPr>
      <w:lang w:eastAsia="en-US"/>
    </w:rPr>
  </w:style>
  <w:style w:type="paragraph" w:styleId="CommentSubject">
    <w:name w:val="annotation subject"/>
    <w:basedOn w:val="CommentText"/>
    <w:next w:val="CommentText"/>
    <w:link w:val="CommentSubjectChar"/>
    <w:semiHidden/>
    <w:unhideWhenUsed/>
    <w:rsid w:val="00066320"/>
    <w:pPr>
      <w:spacing w:line="240" w:lineRule="auto"/>
    </w:pPr>
    <w:rPr>
      <w:b/>
      <w:bCs/>
    </w:rPr>
  </w:style>
  <w:style w:type="character" w:customStyle="1" w:styleId="CommentSubjectChar">
    <w:name w:val="Comment Subject Char"/>
    <w:basedOn w:val="CommentTextChar"/>
    <w:link w:val="CommentSubject"/>
    <w:semiHidden/>
    <w:rsid w:val="0006632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089008">
      <w:bodyDiv w:val="1"/>
      <w:marLeft w:val="0"/>
      <w:marRight w:val="0"/>
      <w:marTop w:val="0"/>
      <w:marBottom w:val="0"/>
      <w:divBdr>
        <w:top w:val="none" w:sz="0" w:space="0" w:color="auto"/>
        <w:left w:val="none" w:sz="0" w:space="0" w:color="auto"/>
        <w:bottom w:val="none" w:sz="0" w:space="0" w:color="auto"/>
        <w:right w:val="none" w:sz="0" w:space="0" w:color="auto"/>
      </w:divBdr>
    </w:div>
    <w:div w:id="739640243">
      <w:bodyDiv w:val="1"/>
      <w:marLeft w:val="0"/>
      <w:marRight w:val="0"/>
      <w:marTop w:val="0"/>
      <w:marBottom w:val="0"/>
      <w:divBdr>
        <w:top w:val="none" w:sz="0" w:space="0" w:color="auto"/>
        <w:left w:val="none" w:sz="0" w:space="0" w:color="auto"/>
        <w:bottom w:val="none" w:sz="0" w:space="0" w:color="auto"/>
        <w:right w:val="none" w:sz="0" w:space="0" w:color="auto"/>
      </w:divBdr>
    </w:div>
    <w:div w:id="855853284">
      <w:bodyDiv w:val="1"/>
      <w:marLeft w:val="0"/>
      <w:marRight w:val="0"/>
      <w:marTop w:val="0"/>
      <w:marBottom w:val="0"/>
      <w:divBdr>
        <w:top w:val="none" w:sz="0" w:space="0" w:color="auto"/>
        <w:left w:val="none" w:sz="0" w:space="0" w:color="auto"/>
        <w:bottom w:val="none" w:sz="0" w:space="0" w:color="auto"/>
        <w:right w:val="none" w:sz="0" w:space="0" w:color="auto"/>
      </w:divBdr>
    </w:div>
    <w:div w:id="999189906">
      <w:bodyDiv w:val="1"/>
      <w:marLeft w:val="0"/>
      <w:marRight w:val="0"/>
      <w:marTop w:val="0"/>
      <w:marBottom w:val="0"/>
      <w:divBdr>
        <w:top w:val="none" w:sz="0" w:space="0" w:color="auto"/>
        <w:left w:val="none" w:sz="0" w:space="0" w:color="auto"/>
        <w:bottom w:val="none" w:sz="0" w:space="0" w:color="auto"/>
        <w:right w:val="none" w:sz="0" w:space="0" w:color="auto"/>
      </w:divBdr>
    </w:div>
    <w:div w:id="1126850362">
      <w:bodyDiv w:val="1"/>
      <w:marLeft w:val="0"/>
      <w:marRight w:val="0"/>
      <w:marTop w:val="0"/>
      <w:marBottom w:val="0"/>
      <w:divBdr>
        <w:top w:val="none" w:sz="0" w:space="0" w:color="auto"/>
        <w:left w:val="none" w:sz="0" w:space="0" w:color="auto"/>
        <w:bottom w:val="none" w:sz="0" w:space="0" w:color="auto"/>
        <w:right w:val="none" w:sz="0" w:space="0" w:color="auto"/>
      </w:divBdr>
    </w:div>
    <w:div w:id="1339381257">
      <w:bodyDiv w:val="1"/>
      <w:marLeft w:val="0"/>
      <w:marRight w:val="0"/>
      <w:marTop w:val="0"/>
      <w:marBottom w:val="0"/>
      <w:divBdr>
        <w:top w:val="none" w:sz="0" w:space="0" w:color="auto"/>
        <w:left w:val="none" w:sz="0" w:space="0" w:color="auto"/>
        <w:bottom w:val="none" w:sz="0" w:space="0" w:color="auto"/>
        <w:right w:val="none" w:sz="0" w:space="0" w:color="auto"/>
      </w:divBdr>
    </w:div>
    <w:div w:id="1357656460">
      <w:bodyDiv w:val="1"/>
      <w:marLeft w:val="0"/>
      <w:marRight w:val="0"/>
      <w:marTop w:val="0"/>
      <w:marBottom w:val="0"/>
      <w:divBdr>
        <w:top w:val="none" w:sz="0" w:space="0" w:color="auto"/>
        <w:left w:val="none" w:sz="0" w:space="0" w:color="auto"/>
        <w:bottom w:val="none" w:sz="0" w:space="0" w:color="auto"/>
        <w:right w:val="none" w:sz="0" w:space="0" w:color="auto"/>
      </w:divBdr>
    </w:div>
    <w:div w:id="1505973851">
      <w:bodyDiv w:val="1"/>
      <w:marLeft w:val="0"/>
      <w:marRight w:val="0"/>
      <w:marTop w:val="0"/>
      <w:marBottom w:val="0"/>
      <w:divBdr>
        <w:top w:val="none" w:sz="0" w:space="0" w:color="auto"/>
        <w:left w:val="none" w:sz="0" w:space="0" w:color="auto"/>
        <w:bottom w:val="none" w:sz="0" w:space="0" w:color="auto"/>
        <w:right w:val="none" w:sz="0" w:space="0" w:color="auto"/>
      </w:divBdr>
    </w:div>
    <w:div w:id="1544094683">
      <w:bodyDiv w:val="1"/>
      <w:marLeft w:val="0"/>
      <w:marRight w:val="0"/>
      <w:marTop w:val="0"/>
      <w:marBottom w:val="0"/>
      <w:divBdr>
        <w:top w:val="none" w:sz="0" w:space="0" w:color="auto"/>
        <w:left w:val="none" w:sz="0" w:space="0" w:color="auto"/>
        <w:bottom w:val="none" w:sz="0" w:space="0" w:color="auto"/>
        <w:right w:val="none" w:sz="0" w:space="0" w:color="auto"/>
      </w:divBdr>
    </w:div>
    <w:div w:id="1658605341">
      <w:bodyDiv w:val="1"/>
      <w:marLeft w:val="0"/>
      <w:marRight w:val="0"/>
      <w:marTop w:val="0"/>
      <w:marBottom w:val="0"/>
      <w:divBdr>
        <w:top w:val="none" w:sz="0" w:space="0" w:color="auto"/>
        <w:left w:val="none" w:sz="0" w:space="0" w:color="auto"/>
        <w:bottom w:val="none" w:sz="0" w:space="0" w:color="auto"/>
        <w:right w:val="none" w:sz="0" w:space="0" w:color="auto"/>
      </w:divBdr>
    </w:div>
    <w:div w:id="1851678327">
      <w:bodyDiv w:val="1"/>
      <w:marLeft w:val="0"/>
      <w:marRight w:val="0"/>
      <w:marTop w:val="0"/>
      <w:marBottom w:val="0"/>
      <w:divBdr>
        <w:top w:val="none" w:sz="0" w:space="0" w:color="auto"/>
        <w:left w:val="none" w:sz="0" w:space="0" w:color="auto"/>
        <w:bottom w:val="none" w:sz="0" w:space="0" w:color="auto"/>
        <w:right w:val="none" w:sz="0" w:space="0" w:color="auto"/>
      </w:divBdr>
    </w:div>
    <w:div w:id="195567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H:\UN\undocs\AC10\C3\2018\54th%20Session\ST-SG-AC.10-C.3-2018-64e.docx"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H:\UN\undocs\AC10\C3\2018\54th%20Session\ST-SG-AC.10-C.3-2018-64e.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H:\UN\undocs\AC10\C3\2018\54th%20Session\ST-SG-AC.10-C.3-2018-65e.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H:\UN\undocs\AC10\C3\2018\54th%20Session\ST-SG-AC.10-C.3-2018-64e.docx"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cdi.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rthet\Templates\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03EBD-D8D1-4FDE-9055-EE85B1A38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2186</TotalTime>
  <Pages>29</Pages>
  <Words>10864</Words>
  <Characters>61384</Characters>
  <Application>Microsoft Office Word</Application>
  <DocSecurity>0</DocSecurity>
  <Lines>1116</Lines>
  <Paragraphs>560</Paragraphs>
  <ScaleCrop>false</ScaleCrop>
  <HeadingPairs>
    <vt:vector size="2" baseType="variant">
      <vt:variant>
        <vt:lpstr>Title</vt:lpstr>
      </vt:variant>
      <vt:variant>
        <vt:i4>1</vt:i4>
      </vt:variant>
    </vt:vector>
  </HeadingPairs>
  <TitlesOfParts>
    <vt:vector size="1" baseType="lpstr">
      <vt:lpstr>1622034</vt:lpstr>
    </vt:vector>
  </TitlesOfParts>
  <Company>CSD</Company>
  <LinksUpToDate>false</LinksUpToDate>
  <CharactersWithSpaces>71688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1622034</dc:title>
  <dc:subject>ST/SG/AC.10/C.3/100</dc:subject>
  <dc:creator>Berthet</dc:creator>
  <cp:lastModifiedBy>Laurence Berthet</cp:lastModifiedBy>
  <cp:revision>88</cp:revision>
  <cp:lastPrinted>2018-12-20T15:43:00Z</cp:lastPrinted>
  <dcterms:created xsi:type="dcterms:W3CDTF">2018-11-16T10:20:00Z</dcterms:created>
  <dcterms:modified xsi:type="dcterms:W3CDTF">2018-12-20T15:43:00Z</dcterms:modified>
</cp:coreProperties>
</file>