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9B614C" w14:paraId="7A90AB05" w14:textId="77777777" w:rsidTr="0034591A">
        <w:trPr>
          <w:trHeight w:hRule="exact" w:val="851"/>
        </w:trPr>
        <w:tc>
          <w:tcPr>
            <w:tcW w:w="1276" w:type="dxa"/>
            <w:tcBorders>
              <w:bottom w:val="single" w:sz="4" w:space="0" w:color="auto"/>
            </w:tcBorders>
          </w:tcPr>
          <w:p w14:paraId="4C11FF1B" w14:textId="77777777" w:rsidR="00482AF2" w:rsidRPr="009B614C" w:rsidRDefault="00482AF2" w:rsidP="00866D64">
            <w:pPr>
              <w:rPr>
                <w:lang w:val="fr-FR"/>
              </w:rPr>
            </w:pPr>
          </w:p>
        </w:tc>
        <w:tc>
          <w:tcPr>
            <w:tcW w:w="2268" w:type="dxa"/>
            <w:tcBorders>
              <w:bottom w:val="single" w:sz="4" w:space="0" w:color="auto"/>
            </w:tcBorders>
            <w:vAlign w:val="bottom"/>
          </w:tcPr>
          <w:p w14:paraId="69748A25" w14:textId="77777777" w:rsidR="00482AF2" w:rsidRPr="009B614C" w:rsidRDefault="00482AF2" w:rsidP="00866D64">
            <w:pPr>
              <w:spacing w:after="80" w:line="300" w:lineRule="exact"/>
              <w:rPr>
                <w:sz w:val="28"/>
                <w:lang w:val="fr-FR"/>
              </w:rPr>
            </w:pPr>
            <w:r w:rsidRPr="009B614C">
              <w:rPr>
                <w:sz w:val="28"/>
                <w:lang w:val="fr-FR"/>
              </w:rPr>
              <w:t>Nations Unies</w:t>
            </w:r>
          </w:p>
        </w:tc>
        <w:tc>
          <w:tcPr>
            <w:tcW w:w="6095" w:type="dxa"/>
            <w:gridSpan w:val="2"/>
            <w:tcBorders>
              <w:bottom w:val="single" w:sz="4" w:space="0" w:color="auto"/>
            </w:tcBorders>
            <w:vAlign w:val="bottom"/>
          </w:tcPr>
          <w:p w14:paraId="36E49764" w14:textId="77777777" w:rsidR="00482AF2" w:rsidRPr="009B614C" w:rsidRDefault="00D148AA" w:rsidP="00D148AA">
            <w:pPr>
              <w:jc w:val="right"/>
              <w:rPr>
                <w:lang w:val="fr-FR"/>
              </w:rPr>
            </w:pPr>
            <w:r w:rsidRPr="00D148AA">
              <w:rPr>
                <w:sz w:val="40"/>
                <w:lang w:val="fr-FR"/>
              </w:rPr>
              <w:t>ST</w:t>
            </w:r>
            <w:r>
              <w:rPr>
                <w:lang w:val="fr-FR"/>
              </w:rPr>
              <w:t>/SG/AC.10/C.3/108/Add.1</w:t>
            </w:r>
          </w:p>
        </w:tc>
      </w:tr>
      <w:tr w:rsidR="00482AF2" w:rsidRPr="009B614C" w14:paraId="7BF5973C" w14:textId="77777777" w:rsidTr="00866D64">
        <w:trPr>
          <w:trHeight w:hRule="exact" w:val="2835"/>
        </w:trPr>
        <w:tc>
          <w:tcPr>
            <w:tcW w:w="1276" w:type="dxa"/>
            <w:tcBorders>
              <w:top w:val="single" w:sz="4" w:space="0" w:color="auto"/>
              <w:bottom w:val="single" w:sz="12" w:space="0" w:color="auto"/>
            </w:tcBorders>
          </w:tcPr>
          <w:p w14:paraId="1AFDDAE6" w14:textId="77777777" w:rsidR="00482AF2" w:rsidRPr="009B614C" w:rsidRDefault="009B614C" w:rsidP="00866D64">
            <w:pPr>
              <w:spacing w:before="120"/>
              <w:jc w:val="center"/>
              <w:rPr>
                <w:lang w:val="fr-FR"/>
              </w:rPr>
            </w:pPr>
            <w:r>
              <w:rPr>
                <w:noProof/>
                <w:lang w:val="en-GB" w:eastAsia="en-GB"/>
              </w:rPr>
              <w:drawing>
                <wp:inline distT="0" distB="0" distL="0" distR="0" wp14:anchorId="4B0FC28A" wp14:editId="36A6FF93">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C37B9B" w14:textId="77777777" w:rsidR="00482AF2" w:rsidRPr="009B614C" w:rsidRDefault="00482AF2" w:rsidP="00866D64">
            <w:pPr>
              <w:spacing w:before="120" w:line="420" w:lineRule="exact"/>
              <w:rPr>
                <w:b/>
                <w:sz w:val="40"/>
                <w:szCs w:val="40"/>
                <w:lang w:val="fr-FR"/>
              </w:rPr>
            </w:pPr>
            <w:r w:rsidRPr="009B614C">
              <w:rPr>
                <w:b/>
                <w:sz w:val="40"/>
                <w:szCs w:val="40"/>
                <w:lang w:val="fr-FR"/>
              </w:rPr>
              <w:t>Secrétariat</w:t>
            </w:r>
          </w:p>
        </w:tc>
        <w:tc>
          <w:tcPr>
            <w:tcW w:w="2835" w:type="dxa"/>
            <w:tcBorders>
              <w:top w:val="single" w:sz="4" w:space="0" w:color="auto"/>
              <w:bottom w:val="single" w:sz="12" w:space="0" w:color="auto"/>
            </w:tcBorders>
          </w:tcPr>
          <w:p w14:paraId="416998D0" w14:textId="77777777" w:rsidR="00482AF2" w:rsidRPr="00855512" w:rsidRDefault="00D148AA" w:rsidP="00D148AA">
            <w:pPr>
              <w:spacing w:before="240" w:line="240" w:lineRule="exact"/>
              <w:rPr>
                <w:lang w:val="fr-FR"/>
              </w:rPr>
            </w:pPr>
            <w:proofErr w:type="spellStart"/>
            <w:r w:rsidRPr="00855512">
              <w:rPr>
                <w:lang w:val="fr-FR"/>
              </w:rPr>
              <w:t>Distr</w:t>
            </w:r>
            <w:proofErr w:type="spellEnd"/>
            <w:r w:rsidRPr="00855512">
              <w:rPr>
                <w:lang w:val="fr-FR"/>
              </w:rPr>
              <w:t>. Générale</w:t>
            </w:r>
          </w:p>
          <w:p w14:paraId="0B18438D" w14:textId="2D71E882" w:rsidR="00D148AA" w:rsidRPr="00855512" w:rsidRDefault="00A61F69" w:rsidP="00D148AA">
            <w:pPr>
              <w:spacing w:line="240" w:lineRule="exact"/>
              <w:rPr>
                <w:lang w:val="fr-FR"/>
              </w:rPr>
            </w:pPr>
            <w:r w:rsidRPr="00855512">
              <w:rPr>
                <w:lang w:val="fr-FR"/>
              </w:rPr>
              <w:t xml:space="preserve">21 </w:t>
            </w:r>
            <w:r w:rsidR="00D148AA" w:rsidRPr="00855512">
              <w:rPr>
                <w:lang w:val="fr-FR"/>
              </w:rPr>
              <w:t>décembre 2018</w:t>
            </w:r>
          </w:p>
          <w:p w14:paraId="3CE41F7C" w14:textId="77777777" w:rsidR="00D148AA" w:rsidRPr="00855512" w:rsidRDefault="009F5122" w:rsidP="00D148AA">
            <w:pPr>
              <w:spacing w:line="240" w:lineRule="exact"/>
              <w:rPr>
                <w:lang w:val="fr-FR"/>
              </w:rPr>
            </w:pPr>
            <w:r w:rsidRPr="00855512">
              <w:rPr>
                <w:lang w:val="fr-FR"/>
              </w:rPr>
              <w:t>Français</w:t>
            </w:r>
          </w:p>
          <w:p w14:paraId="1698B8C8" w14:textId="77777777" w:rsidR="00D148AA" w:rsidRPr="009B614C" w:rsidRDefault="00D148AA" w:rsidP="00D148AA">
            <w:pPr>
              <w:spacing w:line="240" w:lineRule="exact"/>
              <w:rPr>
                <w:lang w:val="fr-FR"/>
              </w:rPr>
            </w:pPr>
            <w:r w:rsidRPr="00855512">
              <w:rPr>
                <w:lang w:val="fr-FR"/>
              </w:rPr>
              <w:t>Original : français et anglais</w:t>
            </w:r>
          </w:p>
        </w:tc>
      </w:tr>
    </w:tbl>
    <w:p w14:paraId="17B7DD0C" w14:textId="77777777" w:rsidR="0034591A" w:rsidRPr="009B614C" w:rsidRDefault="0034591A" w:rsidP="00CA0680">
      <w:pPr>
        <w:spacing w:before="120"/>
        <w:rPr>
          <w:b/>
          <w:sz w:val="24"/>
          <w:szCs w:val="24"/>
          <w:lang w:val="fr-FR"/>
        </w:rPr>
      </w:pPr>
      <w:r w:rsidRPr="009B614C">
        <w:rPr>
          <w:b/>
          <w:sz w:val="24"/>
          <w:szCs w:val="24"/>
          <w:lang w:val="fr-FR"/>
        </w:rPr>
        <w:t>C</w:t>
      </w:r>
      <w:r w:rsidR="00CA0680" w:rsidRPr="009B614C">
        <w:rPr>
          <w:b/>
          <w:sz w:val="24"/>
          <w:szCs w:val="24"/>
          <w:lang w:val="fr-FR"/>
        </w:rPr>
        <w:t>omité d’experts du transport des marchandises dangereuses</w:t>
      </w:r>
      <w:r w:rsidR="00CA0680" w:rsidRPr="009B614C">
        <w:rPr>
          <w:b/>
          <w:sz w:val="24"/>
          <w:szCs w:val="24"/>
          <w:lang w:val="fr-FR"/>
        </w:rPr>
        <w:br/>
        <w:t>et du Système général harmonisé de classification</w:t>
      </w:r>
      <w:r w:rsidR="00CA0680" w:rsidRPr="009B614C">
        <w:rPr>
          <w:b/>
          <w:sz w:val="24"/>
          <w:szCs w:val="24"/>
          <w:lang w:val="fr-FR"/>
        </w:rPr>
        <w:br/>
        <w:t>et d’étiquetage des produits chimiques</w:t>
      </w:r>
    </w:p>
    <w:p w14:paraId="03A7DFC4" w14:textId="77777777" w:rsidR="0034591A" w:rsidRPr="009B614C" w:rsidRDefault="0034591A" w:rsidP="0094723C">
      <w:pPr>
        <w:spacing w:before="120"/>
        <w:rPr>
          <w:b/>
          <w:lang w:val="fr-FR"/>
        </w:rPr>
      </w:pPr>
      <w:r w:rsidRPr="009B614C">
        <w:rPr>
          <w:b/>
          <w:lang w:val="fr-FR"/>
        </w:rPr>
        <w:t>Sous</w:t>
      </w:r>
      <w:r w:rsidR="00CA0680" w:rsidRPr="009B614C">
        <w:rPr>
          <w:b/>
          <w:lang w:val="fr-FR"/>
        </w:rPr>
        <w:t>-</w:t>
      </w:r>
      <w:r w:rsidRPr="009B614C">
        <w:rPr>
          <w:b/>
          <w:lang w:val="fr-FR"/>
        </w:rPr>
        <w:t>Comité d’experts du transport</w:t>
      </w:r>
      <w:r w:rsidR="00CA0680" w:rsidRPr="009B614C">
        <w:rPr>
          <w:b/>
          <w:lang w:val="fr-FR"/>
        </w:rPr>
        <w:t xml:space="preserve"> </w:t>
      </w:r>
      <w:r w:rsidRPr="009B614C">
        <w:rPr>
          <w:b/>
          <w:lang w:val="fr-FR"/>
        </w:rPr>
        <w:t>des marchandises dangereuses</w:t>
      </w:r>
    </w:p>
    <w:p w14:paraId="69ABCD70" w14:textId="31BBCF0D" w:rsidR="001F22F1" w:rsidRPr="008C7134" w:rsidRDefault="001F22F1" w:rsidP="001F22F1">
      <w:pPr>
        <w:pStyle w:val="HChG"/>
        <w:rPr>
          <w:lang w:val="fr-FR"/>
        </w:rPr>
      </w:pPr>
      <w:r>
        <w:rPr>
          <w:lang w:val="fr-FR"/>
        </w:rPr>
        <w:tab/>
      </w:r>
      <w:r>
        <w:rPr>
          <w:lang w:val="fr-FR"/>
        </w:rPr>
        <w:tab/>
      </w:r>
      <w:r w:rsidRPr="008C7134">
        <w:rPr>
          <w:lang w:val="fr-FR"/>
        </w:rPr>
        <w:t xml:space="preserve">Rapport du Sous-Comité d’experts du transport </w:t>
      </w:r>
      <w:r w:rsidRPr="008C7134">
        <w:rPr>
          <w:lang w:val="fr-FR"/>
        </w:rPr>
        <w:br/>
        <w:t xml:space="preserve">des marchandises dangereuses sur sa </w:t>
      </w:r>
      <w:r w:rsidRPr="008C7134">
        <w:rPr>
          <w:lang w:val="fr-FR"/>
        </w:rPr>
        <w:br/>
      </w:r>
      <w:r w:rsidR="007152D6">
        <w:rPr>
          <w:lang w:val="fr-FR"/>
        </w:rPr>
        <w:t>c</w:t>
      </w:r>
      <w:r w:rsidR="00DC79D0" w:rsidRPr="0026608D">
        <w:rPr>
          <w:lang w:val="fr-FR"/>
        </w:rPr>
        <w:t>inquante-quatrième</w:t>
      </w:r>
      <w:r w:rsidRPr="008C7134">
        <w:rPr>
          <w:lang w:val="fr-FR"/>
        </w:rPr>
        <w:t xml:space="preserve"> session</w:t>
      </w:r>
    </w:p>
    <w:p w14:paraId="7EF535D3" w14:textId="77777777" w:rsidR="001F22F1" w:rsidRPr="008C7134" w:rsidRDefault="001F22F1" w:rsidP="001F22F1">
      <w:pPr>
        <w:pStyle w:val="H56G"/>
        <w:rPr>
          <w:lang w:val="fr-FR"/>
        </w:rPr>
      </w:pPr>
      <w:r w:rsidRPr="008C7134">
        <w:rPr>
          <w:lang w:val="fr-FR"/>
        </w:rPr>
        <w:tab/>
      </w:r>
      <w:r w:rsidRPr="008C7134">
        <w:rPr>
          <w:lang w:val="fr-FR"/>
        </w:rPr>
        <w:tab/>
      </w:r>
      <w:proofErr w:type="gramStart"/>
      <w:r w:rsidRPr="008C7134">
        <w:rPr>
          <w:lang w:val="fr-FR"/>
        </w:rPr>
        <w:t>tenue</w:t>
      </w:r>
      <w:proofErr w:type="gramEnd"/>
      <w:r w:rsidRPr="008C7134">
        <w:rPr>
          <w:lang w:val="fr-FR"/>
        </w:rPr>
        <w:t xml:space="preserve"> à Genève du 2</w:t>
      </w:r>
      <w:r>
        <w:rPr>
          <w:lang w:val="fr-FR"/>
        </w:rPr>
        <w:t>6</w:t>
      </w:r>
      <w:r w:rsidRPr="008C7134">
        <w:rPr>
          <w:lang w:val="fr-FR"/>
        </w:rPr>
        <w:t xml:space="preserve"> novembre au </w:t>
      </w:r>
      <w:r>
        <w:rPr>
          <w:lang w:val="fr-FR"/>
        </w:rPr>
        <w:t>7</w:t>
      </w:r>
      <w:r w:rsidRPr="008C7134">
        <w:rPr>
          <w:lang w:val="fr-FR"/>
        </w:rPr>
        <w:t xml:space="preserve"> décembre 201</w:t>
      </w:r>
      <w:r>
        <w:rPr>
          <w:lang w:val="fr-FR"/>
        </w:rPr>
        <w:t>8</w:t>
      </w:r>
    </w:p>
    <w:p w14:paraId="201ECE53" w14:textId="77777777" w:rsidR="001F22F1" w:rsidRPr="00F11D23" w:rsidRDefault="001F22F1" w:rsidP="001F22F1">
      <w:pPr>
        <w:pStyle w:val="H23G"/>
        <w:rPr>
          <w:sz w:val="24"/>
          <w:szCs w:val="24"/>
          <w:lang w:val="fr-FR"/>
        </w:rPr>
      </w:pPr>
      <w:r w:rsidRPr="00F11D23">
        <w:rPr>
          <w:sz w:val="24"/>
          <w:szCs w:val="24"/>
          <w:lang w:val="fr-FR"/>
        </w:rPr>
        <w:tab/>
      </w:r>
      <w:r w:rsidRPr="00F11D23">
        <w:rPr>
          <w:sz w:val="24"/>
          <w:szCs w:val="24"/>
          <w:lang w:val="fr-FR"/>
        </w:rPr>
        <w:tab/>
        <w:t>Additif</w:t>
      </w:r>
    </w:p>
    <w:p w14:paraId="58DE0491" w14:textId="77777777" w:rsidR="001F22F1" w:rsidRPr="008C7134" w:rsidRDefault="001F22F1" w:rsidP="001F22F1">
      <w:pPr>
        <w:spacing w:after="120"/>
        <w:rPr>
          <w:sz w:val="28"/>
          <w:lang w:val="fr-FR"/>
        </w:rPr>
      </w:pPr>
      <w:r w:rsidRPr="008C7134">
        <w:rPr>
          <w:sz w:val="28"/>
          <w:lang w:val="fr-FR"/>
        </w:rPr>
        <w:t>Table des matières</w:t>
      </w:r>
    </w:p>
    <w:p w14:paraId="58621447" w14:textId="77777777" w:rsidR="001F22F1" w:rsidRPr="008C7134" w:rsidRDefault="001F22F1" w:rsidP="001F22F1">
      <w:pPr>
        <w:tabs>
          <w:tab w:val="right" w:pos="9638"/>
        </w:tabs>
        <w:spacing w:after="120"/>
        <w:ind w:left="283"/>
        <w:rPr>
          <w:sz w:val="18"/>
          <w:lang w:val="fr-FR"/>
        </w:rPr>
      </w:pPr>
      <w:r w:rsidRPr="008C7134">
        <w:rPr>
          <w:i/>
          <w:sz w:val="18"/>
          <w:lang w:val="fr-FR"/>
        </w:rPr>
        <w:tab/>
        <w:t>Page</w:t>
      </w:r>
    </w:p>
    <w:p w14:paraId="45B0CD52" w14:textId="77777777" w:rsidR="001F22F1" w:rsidRPr="00C57996" w:rsidRDefault="001F22F1" w:rsidP="001F22F1">
      <w:pPr>
        <w:pStyle w:val="SingleTxtG"/>
        <w:spacing w:after="60"/>
        <w:ind w:left="0"/>
        <w:rPr>
          <w:sz w:val="24"/>
          <w:szCs w:val="24"/>
          <w:lang w:val="fr-FR"/>
        </w:rPr>
      </w:pPr>
      <w:r w:rsidRPr="00C57996">
        <w:rPr>
          <w:sz w:val="24"/>
          <w:szCs w:val="24"/>
          <w:lang w:val="fr-FR"/>
        </w:rPr>
        <w:t>Annexes</w:t>
      </w:r>
      <w:bookmarkStart w:id="0" w:name="_GoBack"/>
      <w:bookmarkEnd w:id="0"/>
    </w:p>
    <w:p w14:paraId="2AC1A15A" w14:textId="6A18FA18" w:rsidR="001F22F1" w:rsidRPr="00A61F69" w:rsidRDefault="001F22F1" w:rsidP="001F22F1">
      <w:pPr>
        <w:pStyle w:val="SingleTxtG"/>
        <w:tabs>
          <w:tab w:val="left" w:pos="1134"/>
          <w:tab w:val="left" w:leader="dot" w:pos="7655"/>
          <w:tab w:val="right" w:pos="8930"/>
          <w:tab w:val="right" w:pos="9639"/>
        </w:tabs>
        <w:spacing w:before="120"/>
        <w:ind w:hanging="567"/>
        <w:jc w:val="left"/>
        <w:rPr>
          <w:lang w:val="fr-FR"/>
        </w:rPr>
      </w:pPr>
      <w:r w:rsidRPr="00A61F69">
        <w:rPr>
          <w:lang w:val="fr-FR"/>
        </w:rPr>
        <w:t>I.</w:t>
      </w:r>
      <w:r w:rsidRPr="00A61F69">
        <w:rPr>
          <w:lang w:val="fr-FR"/>
        </w:rPr>
        <w:tab/>
      </w:r>
      <w:r w:rsidR="001D0385" w:rsidRPr="00A61F69">
        <w:rPr>
          <w:lang w:val="fr-FR"/>
        </w:rPr>
        <w:t xml:space="preserve">Projet d’amendements à la vingtième édition révisée des Recommandations relatives </w:t>
      </w:r>
      <w:r w:rsidR="001D0385" w:rsidRPr="00A61F69">
        <w:rPr>
          <w:lang w:val="fr-FR"/>
        </w:rPr>
        <w:br/>
        <w:t>au transport de marchandises dangereuses, Règlement type (ST/SG/AC.10/1/Rev.20)</w:t>
      </w:r>
      <w:r w:rsidRPr="00A61F69">
        <w:rPr>
          <w:lang w:val="fr-FR"/>
        </w:rPr>
        <w:tab/>
      </w:r>
      <w:r w:rsidRPr="00A61F69">
        <w:rPr>
          <w:lang w:val="fr-FR"/>
        </w:rPr>
        <w:tab/>
      </w:r>
      <w:r w:rsidRPr="00A61F69">
        <w:rPr>
          <w:lang w:val="fr-FR"/>
        </w:rPr>
        <w:tab/>
      </w:r>
      <w:r w:rsidR="005201CE">
        <w:rPr>
          <w:lang w:val="fr-FR"/>
        </w:rPr>
        <w:t>2</w:t>
      </w:r>
    </w:p>
    <w:p w14:paraId="6157B603" w14:textId="27B42DEA" w:rsidR="001F22F1" w:rsidRPr="00A61F69" w:rsidRDefault="001F22F1" w:rsidP="001F22F1">
      <w:pPr>
        <w:pStyle w:val="SingleTxtG"/>
        <w:tabs>
          <w:tab w:val="left" w:pos="1134"/>
          <w:tab w:val="left" w:leader="dot" w:pos="7655"/>
          <w:tab w:val="right" w:pos="8930"/>
          <w:tab w:val="right" w:pos="9639"/>
        </w:tabs>
        <w:spacing w:before="120"/>
        <w:ind w:hanging="567"/>
        <w:jc w:val="left"/>
        <w:rPr>
          <w:lang w:val="fr-FR"/>
        </w:rPr>
      </w:pPr>
      <w:r w:rsidRPr="00A61F69">
        <w:rPr>
          <w:lang w:val="fr-FR"/>
        </w:rPr>
        <w:t>II.</w:t>
      </w:r>
      <w:r w:rsidRPr="00A61F69">
        <w:rPr>
          <w:lang w:val="fr-FR"/>
        </w:rPr>
        <w:tab/>
      </w:r>
      <w:r w:rsidR="00FA67F3" w:rsidRPr="00A61F69">
        <w:rPr>
          <w:lang w:val="fr-FR"/>
        </w:rPr>
        <w:t>Projet d’</w:t>
      </w:r>
      <w:r w:rsidR="00B20C2F" w:rsidRPr="00A61F69">
        <w:rPr>
          <w:lang w:val="fr-FR"/>
        </w:rPr>
        <w:t xml:space="preserve">amendements à la </w:t>
      </w:r>
      <w:r w:rsidR="000B206A" w:rsidRPr="00A61F69">
        <w:rPr>
          <w:lang w:val="fr-FR"/>
        </w:rPr>
        <w:t>sixième</w:t>
      </w:r>
      <w:r w:rsidR="00FA67F3" w:rsidRPr="00A61F69">
        <w:rPr>
          <w:lang w:val="fr-FR"/>
        </w:rPr>
        <w:t xml:space="preserve"> édition révisée des Recommandations relatives</w:t>
      </w:r>
      <w:r w:rsidRPr="00A61F69">
        <w:rPr>
          <w:lang w:val="fr-FR"/>
        </w:rPr>
        <w:t xml:space="preserve"> </w:t>
      </w:r>
      <w:r w:rsidRPr="00A61F69">
        <w:rPr>
          <w:lang w:val="fr-FR"/>
        </w:rPr>
        <w:br/>
      </w:r>
      <w:r w:rsidR="00FA67F3" w:rsidRPr="00A61F69">
        <w:rPr>
          <w:lang w:val="fr-FR"/>
        </w:rPr>
        <w:t>au transport de</w:t>
      </w:r>
      <w:r w:rsidR="00B20C2F" w:rsidRPr="00A61F69">
        <w:rPr>
          <w:lang w:val="fr-FR"/>
        </w:rPr>
        <w:t>s</w:t>
      </w:r>
      <w:r w:rsidR="00FA67F3" w:rsidRPr="00A61F69">
        <w:rPr>
          <w:lang w:val="fr-FR"/>
        </w:rPr>
        <w:t xml:space="preserve"> marchandises dangereuses, </w:t>
      </w:r>
      <w:r w:rsidR="00B20C2F" w:rsidRPr="00A61F69">
        <w:rPr>
          <w:lang w:val="fr-FR"/>
        </w:rPr>
        <w:t>Manuel d’épreuves et de critères</w:t>
      </w:r>
      <w:r w:rsidR="00FA67F3" w:rsidRPr="00A61F69">
        <w:rPr>
          <w:lang w:val="fr-FR"/>
        </w:rPr>
        <w:t xml:space="preserve"> (ST/SG/AC.10/</w:t>
      </w:r>
      <w:r w:rsidR="00B20C2F" w:rsidRPr="00A61F69">
        <w:rPr>
          <w:lang w:val="fr-FR"/>
        </w:rPr>
        <w:t>1</w:t>
      </w:r>
      <w:r w:rsidR="00FA67F3" w:rsidRPr="00A61F69">
        <w:rPr>
          <w:lang w:val="fr-FR"/>
        </w:rPr>
        <w:t>1/Rev.</w:t>
      </w:r>
      <w:r w:rsidR="00B20C2F" w:rsidRPr="00A61F69">
        <w:rPr>
          <w:lang w:val="fr-FR"/>
        </w:rPr>
        <w:t>6 et Amend.1</w:t>
      </w:r>
      <w:r w:rsidR="00FA67F3" w:rsidRPr="00A61F69">
        <w:rPr>
          <w:lang w:val="fr-FR"/>
        </w:rPr>
        <w:t>)</w:t>
      </w:r>
      <w:r w:rsidRPr="00A61F69">
        <w:rPr>
          <w:lang w:val="fr-FR"/>
        </w:rPr>
        <w:tab/>
      </w:r>
      <w:r w:rsidRPr="00A61F69">
        <w:rPr>
          <w:lang w:val="fr-FR"/>
        </w:rPr>
        <w:tab/>
      </w:r>
      <w:r w:rsidRPr="00A61F69">
        <w:rPr>
          <w:lang w:val="fr-FR"/>
        </w:rPr>
        <w:tab/>
      </w:r>
      <w:r w:rsidR="005201CE">
        <w:rPr>
          <w:lang w:val="fr-FR"/>
        </w:rPr>
        <w:t>12</w:t>
      </w:r>
    </w:p>
    <w:p w14:paraId="7CEE7364" w14:textId="5C74D3D7" w:rsidR="001F22F1" w:rsidRPr="008C7134" w:rsidRDefault="001F22F1" w:rsidP="001F22F1">
      <w:pPr>
        <w:pStyle w:val="SingleTxtG"/>
        <w:tabs>
          <w:tab w:val="left" w:pos="1134"/>
          <w:tab w:val="left" w:leader="dot" w:pos="7655"/>
          <w:tab w:val="right" w:pos="8930"/>
          <w:tab w:val="right" w:pos="9639"/>
        </w:tabs>
        <w:spacing w:after="60"/>
        <w:ind w:hanging="567"/>
        <w:jc w:val="left"/>
        <w:rPr>
          <w:lang w:val="fr-FR"/>
        </w:rPr>
      </w:pPr>
      <w:r w:rsidRPr="00A61F69">
        <w:rPr>
          <w:lang w:val="fr-FR"/>
        </w:rPr>
        <w:t>III.</w:t>
      </w:r>
      <w:r w:rsidRPr="00A61F69">
        <w:rPr>
          <w:lang w:val="fr-FR"/>
        </w:rPr>
        <w:tab/>
        <w:t xml:space="preserve">Corrections à la </w:t>
      </w:r>
      <w:r w:rsidR="00D3472F" w:rsidRPr="00A61F69">
        <w:rPr>
          <w:lang w:val="fr-FR"/>
        </w:rPr>
        <w:t>vingtième</w:t>
      </w:r>
      <w:r w:rsidRPr="00A61F69">
        <w:rPr>
          <w:lang w:val="fr-FR"/>
        </w:rPr>
        <w:t xml:space="preserve"> édition révisée des Recommandations </w:t>
      </w:r>
      <w:r w:rsidRPr="00A61F69">
        <w:rPr>
          <w:lang w:val="fr-FR"/>
        </w:rPr>
        <w:br/>
        <w:t>relatives au transport des marchandises dangereuses, Règlement type (ST/SG/AC.10/1/Rev.</w:t>
      </w:r>
      <w:r w:rsidR="00FA67F3" w:rsidRPr="00A61F69">
        <w:rPr>
          <w:lang w:val="fr-FR"/>
        </w:rPr>
        <w:t>20</w:t>
      </w:r>
      <w:r w:rsidRPr="00A61F69">
        <w:rPr>
          <w:lang w:val="fr-FR"/>
        </w:rPr>
        <w:t>)</w:t>
      </w:r>
      <w:r w:rsidRPr="00A61F69">
        <w:rPr>
          <w:lang w:val="fr-FR"/>
        </w:rPr>
        <w:tab/>
      </w:r>
      <w:r w:rsidRPr="00A61F69">
        <w:rPr>
          <w:lang w:val="fr-FR"/>
        </w:rPr>
        <w:tab/>
      </w:r>
      <w:r w:rsidRPr="00A61F69">
        <w:rPr>
          <w:lang w:val="fr-FR"/>
        </w:rPr>
        <w:tab/>
      </w:r>
      <w:r w:rsidR="005201CE">
        <w:rPr>
          <w:lang w:val="fr-FR"/>
        </w:rPr>
        <w:t>14</w:t>
      </w:r>
    </w:p>
    <w:p w14:paraId="62CDCF84" w14:textId="77777777" w:rsidR="001F22F1" w:rsidRPr="008C7134" w:rsidRDefault="001F22F1" w:rsidP="001F22F1">
      <w:pPr>
        <w:spacing w:before="120"/>
        <w:rPr>
          <w:b/>
          <w:lang w:val="fr-FR"/>
        </w:rPr>
      </w:pPr>
    </w:p>
    <w:p w14:paraId="0C9EF577" w14:textId="77777777" w:rsidR="00F85E35" w:rsidRDefault="00F85E35">
      <w:pPr>
        <w:suppressAutoHyphens w:val="0"/>
        <w:spacing w:line="240" w:lineRule="auto"/>
      </w:pPr>
      <w:r>
        <w:br w:type="page"/>
      </w:r>
    </w:p>
    <w:p w14:paraId="493B8908" w14:textId="022CC4BC" w:rsidR="00F85E35" w:rsidRDefault="00F85E35" w:rsidP="00F85E35">
      <w:pPr>
        <w:pStyle w:val="HChG"/>
      </w:pPr>
      <w:r>
        <w:lastRenderedPageBreak/>
        <w:tab/>
      </w:r>
      <w:r>
        <w:tab/>
      </w:r>
      <w:r w:rsidRPr="00F85E35">
        <w:t>Annex</w:t>
      </w:r>
      <w:r w:rsidR="00DC79D0">
        <w:t>e</w:t>
      </w:r>
      <w:r w:rsidRPr="00F85E35">
        <w:t xml:space="preserve"> I</w:t>
      </w:r>
      <w:r w:rsidRPr="00F85E35">
        <w:tab/>
      </w:r>
    </w:p>
    <w:p w14:paraId="0C04D798" w14:textId="77777777" w:rsidR="00CA0680" w:rsidRDefault="00F85E35" w:rsidP="007D7CE5">
      <w:pPr>
        <w:pStyle w:val="HChG"/>
        <w:spacing w:after="200"/>
      </w:pPr>
      <w:r>
        <w:tab/>
      </w:r>
      <w:r>
        <w:tab/>
      </w:r>
      <w:r w:rsidRPr="00F85E35">
        <w:t>Projet d'amendements à la vingtième édition révisée des Recommandations relatives au transport des marchandises dangereuses, Règlement type (ST/SG/AC.10/1/Rev.20)</w:t>
      </w:r>
    </w:p>
    <w:p w14:paraId="30CF93F9" w14:textId="77777777" w:rsidR="00E00A9A" w:rsidRDefault="00E00A9A" w:rsidP="00D117BD">
      <w:pPr>
        <w:pStyle w:val="H1G"/>
      </w:pPr>
      <w:r>
        <w:rPr>
          <w:lang w:val="fr-FR"/>
        </w:rPr>
        <w:tab/>
      </w:r>
      <w:r>
        <w:rPr>
          <w:lang w:val="fr-FR"/>
        </w:rPr>
        <w:tab/>
      </w:r>
      <w:r w:rsidRPr="00B857E2">
        <w:t>Chap</w:t>
      </w:r>
      <w:r>
        <w:t>i</w:t>
      </w:r>
      <w:r w:rsidRPr="00B857E2">
        <w:t>tr</w:t>
      </w:r>
      <w:r>
        <w:t>e</w:t>
      </w:r>
      <w:r w:rsidRPr="00B857E2">
        <w:t xml:space="preserve"> </w:t>
      </w:r>
      <w:r>
        <w:t>1.1</w:t>
      </w:r>
    </w:p>
    <w:p w14:paraId="266C8250" w14:textId="0A8413A0" w:rsidR="00E00A9A" w:rsidRDefault="007E7C8D" w:rsidP="00E00A9A">
      <w:pPr>
        <w:pStyle w:val="SingleTxtG"/>
      </w:pPr>
      <w:r>
        <w:t>A</w:t>
      </w:r>
      <w:r w:rsidR="00E00A9A">
        <w:t>u Nota 1</w:t>
      </w:r>
      <w:r>
        <w:t xml:space="preserve"> sous le titre</w:t>
      </w:r>
      <w:r w:rsidR="00E00A9A">
        <w:t>, quatrième partie, remplacer « au matériel de transport » par « aux équipements de transport ».</w:t>
      </w:r>
    </w:p>
    <w:p w14:paraId="2BCFFC26" w14:textId="77777777" w:rsidR="00E00A9A" w:rsidRPr="00E52BFB" w:rsidRDefault="00E00A9A" w:rsidP="00E00A9A">
      <w:pPr>
        <w:pStyle w:val="SingleTxtG"/>
      </w:pPr>
      <w:r w:rsidRPr="00E93E11">
        <w:rPr>
          <w:i/>
          <w:iCs/>
        </w:rPr>
        <w:t xml:space="preserve">(Document de référence : document informel INF.52, proposition </w:t>
      </w:r>
      <w:r>
        <w:rPr>
          <w:i/>
          <w:iCs/>
        </w:rPr>
        <w:t>4</w:t>
      </w:r>
      <w:r w:rsidRPr="00E93E11">
        <w:rPr>
          <w:i/>
          <w:iCs/>
        </w:rPr>
        <w:t>)</w:t>
      </w:r>
    </w:p>
    <w:p w14:paraId="28560314" w14:textId="56F4912D" w:rsidR="00E00A9A" w:rsidRPr="00B354C4" w:rsidRDefault="00E00A9A" w:rsidP="007D7CE5">
      <w:pPr>
        <w:pStyle w:val="SingleTxtG"/>
        <w:tabs>
          <w:tab w:val="left" w:pos="1418"/>
          <w:tab w:val="left" w:pos="2268"/>
        </w:tabs>
        <w:ind w:left="2268" w:hanging="1134"/>
      </w:pPr>
      <w:r w:rsidRPr="00B354C4">
        <w:t>1.1.1.2</w:t>
      </w:r>
      <w:r w:rsidR="007D7CE5">
        <w:t xml:space="preserve"> </w:t>
      </w:r>
      <w:r w:rsidR="007D7CE5">
        <w:tab/>
        <w:t>Au sous-paragraphe a) r</w:t>
      </w:r>
      <w:r w:rsidRPr="00B354C4">
        <w:t>emplacer « engins de transport » par « matériels de transport ». Dans le nota 3, remplacer « moyen de transport » par « matériel de transport ».</w:t>
      </w:r>
    </w:p>
    <w:p w14:paraId="3A329778" w14:textId="51B08957" w:rsidR="007D7CE5" w:rsidRDefault="007D7CE5" w:rsidP="007D7CE5">
      <w:pPr>
        <w:pStyle w:val="SingleTxtG"/>
        <w:ind w:left="1701" w:firstLine="567"/>
      </w:pPr>
      <w:r>
        <w:t>Ajouter le nouveau Nota 4 suivant :</w:t>
      </w:r>
    </w:p>
    <w:p w14:paraId="41E9B454" w14:textId="77777777" w:rsidR="007D7CE5" w:rsidRPr="00F11D23" w:rsidRDefault="007D7CE5" w:rsidP="007D7CE5">
      <w:pPr>
        <w:pStyle w:val="SingleTxtG"/>
        <w:ind w:left="2268"/>
        <w:rPr>
          <w:i/>
          <w:iCs/>
          <w:lang w:val="en-US"/>
        </w:rPr>
      </w:pPr>
      <w:r w:rsidRPr="00F323FB">
        <w:t>« </w:t>
      </w:r>
      <w:r w:rsidRPr="00F11D23">
        <w:rPr>
          <w:b/>
          <w:bCs/>
          <w:i/>
          <w:iCs/>
        </w:rPr>
        <w:t xml:space="preserve">4 </w:t>
      </w:r>
      <w:r w:rsidRPr="00F323FB">
        <w:t>:</w:t>
      </w:r>
      <w:r w:rsidRPr="00F323FB">
        <w:tab/>
      </w:r>
      <w:r w:rsidRPr="00F11D23">
        <w:rPr>
          <w:i/>
          <w:iCs/>
        </w:rPr>
        <w:t>Pour les marchandises dangereuses contenues dans les équipements utilisés ou destinés à être utilisés durant le transport, voir 5.5.4. »</w:t>
      </w:r>
    </w:p>
    <w:p w14:paraId="3DB7DD46" w14:textId="3AE8C9D0" w:rsidR="007D7CE5" w:rsidRPr="00B857E2" w:rsidRDefault="007D7CE5" w:rsidP="007D7CE5">
      <w:pPr>
        <w:pStyle w:val="SingleTxtG"/>
        <w:spacing w:after="0"/>
        <w:rPr>
          <w:i/>
          <w:iCs/>
        </w:rPr>
      </w:pPr>
      <w:r w:rsidRPr="00B857E2">
        <w:rPr>
          <w:i/>
          <w:iCs/>
        </w:rPr>
        <w:t>(</w:t>
      </w:r>
      <w:r>
        <w:rPr>
          <w:i/>
          <w:iCs/>
        </w:rPr>
        <w:t xml:space="preserve">Document de référence : </w:t>
      </w:r>
      <w:r w:rsidRPr="00B857E2">
        <w:rPr>
          <w:i/>
          <w:iCs/>
        </w:rPr>
        <w:t xml:space="preserve">document </w:t>
      </w:r>
      <w:r>
        <w:rPr>
          <w:i/>
          <w:iCs/>
        </w:rPr>
        <w:t xml:space="preserve">informel </w:t>
      </w:r>
      <w:r w:rsidRPr="00B857E2">
        <w:rPr>
          <w:i/>
          <w:iCs/>
        </w:rPr>
        <w:t xml:space="preserve">INF.52, </w:t>
      </w:r>
      <w:r>
        <w:rPr>
          <w:i/>
          <w:iCs/>
        </w:rPr>
        <w:t>propositions</w:t>
      </w:r>
      <w:r w:rsidRPr="00B857E2">
        <w:rPr>
          <w:i/>
          <w:iCs/>
        </w:rPr>
        <w:t xml:space="preserve"> </w:t>
      </w:r>
      <w:r>
        <w:rPr>
          <w:i/>
          <w:iCs/>
        </w:rPr>
        <w:t>1 et 3</w:t>
      </w:r>
      <w:r w:rsidRPr="00B857E2">
        <w:rPr>
          <w:i/>
          <w:iCs/>
        </w:rPr>
        <w:t>)</w:t>
      </w:r>
    </w:p>
    <w:p w14:paraId="2F7533C3" w14:textId="77777777" w:rsidR="00F539F0" w:rsidRPr="00BD6319" w:rsidRDefault="00F539F0" w:rsidP="00F539F0">
      <w:pPr>
        <w:pStyle w:val="H1G"/>
      </w:pPr>
      <w:r>
        <w:tab/>
      </w:r>
      <w:r>
        <w:tab/>
      </w:r>
      <w:r w:rsidRPr="00BD6319">
        <w:t>Chapitre 1.5</w:t>
      </w:r>
    </w:p>
    <w:p w14:paraId="3E4F9170" w14:textId="4B3FCA60" w:rsidR="00DC79D0" w:rsidRDefault="00F539F0" w:rsidP="00F11D23">
      <w:pPr>
        <w:pStyle w:val="SingleTxtG"/>
        <w:ind w:left="2268" w:hanging="1134"/>
        <w:rPr>
          <w:lang w:val="fr-FR"/>
        </w:rPr>
      </w:pPr>
      <w:r w:rsidRPr="00BD6319">
        <w:t>1.5.2.5</w:t>
      </w:r>
      <w:r w:rsidRPr="00BD6319">
        <w:tab/>
      </w:r>
      <w:r w:rsidRPr="00BD6319">
        <w:tab/>
      </w:r>
      <w:r>
        <w:rPr>
          <w:lang w:val="fr-FR"/>
        </w:rPr>
        <w:t>Dans la première phrase, remplacer « En cas d’accident ou d’incident » par « E</w:t>
      </w:r>
      <w:r w:rsidRPr="00C53B35">
        <w:rPr>
          <w:lang w:val="fr-FR"/>
        </w:rPr>
        <w:t xml:space="preserve">n cas </w:t>
      </w:r>
      <w:r w:rsidRPr="00E643F7">
        <w:rPr>
          <w:lang w:val="fr-FR"/>
        </w:rPr>
        <w:t>d’urgence nucléaire ou radiologique »</w:t>
      </w:r>
      <w:r w:rsidR="00DC79D0">
        <w:rPr>
          <w:lang w:val="fr-FR"/>
        </w:rPr>
        <w:t xml:space="preserve"> et</w:t>
      </w:r>
      <w:r>
        <w:rPr>
          <w:lang w:val="fr-FR"/>
        </w:rPr>
        <w:t xml:space="preserve"> « les plans d’intervention, tels qu’établis » par « les dispositions prévues ». </w:t>
      </w:r>
    </w:p>
    <w:p w14:paraId="0D8B481D" w14:textId="10F47AA2" w:rsidR="00F539F0" w:rsidRPr="00C53B35" w:rsidRDefault="00F539F0" w:rsidP="00F11D23">
      <w:pPr>
        <w:pStyle w:val="SingleTxtG"/>
        <w:ind w:left="2268"/>
        <w:rPr>
          <w:lang w:val="fr-FR"/>
        </w:rPr>
      </w:pPr>
      <w:r>
        <w:rPr>
          <w:lang w:val="fr-FR"/>
        </w:rPr>
        <w:t xml:space="preserve">Modifier la deuxième phrase pour lire comme suit : </w:t>
      </w:r>
      <w:r w:rsidRPr="00C53B35">
        <w:rPr>
          <w:lang w:val="fr-FR"/>
        </w:rPr>
        <w:t>« Ceci inclu</w:t>
      </w:r>
      <w:r>
        <w:rPr>
          <w:lang w:val="fr-FR"/>
        </w:rPr>
        <w:t>t</w:t>
      </w:r>
      <w:r w:rsidRPr="00C53B35">
        <w:rPr>
          <w:lang w:val="fr-FR"/>
        </w:rPr>
        <w:t xml:space="preserve"> un dispositif de préparation et d’intervention conforme aux prescriptions nationales </w:t>
      </w:r>
      <w:r w:rsidR="00B0632E">
        <w:rPr>
          <w:lang w:val="fr-FR"/>
        </w:rPr>
        <w:t>et/</w:t>
      </w:r>
      <w:r w:rsidRPr="00C53B35">
        <w:rPr>
          <w:lang w:val="fr-FR"/>
        </w:rPr>
        <w:t>ou internationales</w:t>
      </w:r>
      <w:r>
        <w:rPr>
          <w:lang w:val="fr-FR"/>
        </w:rPr>
        <w:t xml:space="preserve"> et</w:t>
      </w:r>
      <w:r w:rsidRPr="00C53B35">
        <w:rPr>
          <w:lang w:val="fr-FR"/>
        </w:rPr>
        <w:t xml:space="preserve"> établi de manière cohérente et coordonnée avec les dispositifs nationaux </w:t>
      </w:r>
      <w:r w:rsidR="00B0632E">
        <w:rPr>
          <w:lang w:val="fr-FR"/>
        </w:rPr>
        <w:t>et/</w:t>
      </w:r>
      <w:r w:rsidRPr="00C53B35">
        <w:rPr>
          <w:lang w:val="fr-FR"/>
        </w:rPr>
        <w:t>ou internationaux pour les situations d’urgence.</w:t>
      </w:r>
      <w:r>
        <w:rPr>
          <w:lang w:val="fr-FR"/>
        </w:rPr>
        <w:t xml:space="preserve"> </w:t>
      </w:r>
      <w:r w:rsidRPr="00C53B35">
        <w:rPr>
          <w:lang w:val="fr-FR"/>
        </w:rPr>
        <w:t>».</w:t>
      </w:r>
    </w:p>
    <w:p w14:paraId="335A2C85" w14:textId="77777777" w:rsidR="00F539F0" w:rsidRPr="00BD6319" w:rsidRDefault="00F539F0" w:rsidP="007D7CE5">
      <w:pPr>
        <w:pStyle w:val="SingleTxtG"/>
        <w:spacing w:line="240" w:lineRule="auto"/>
        <w:rPr>
          <w:i/>
          <w:iCs/>
        </w:rPr>
      </w:pPr>
      <w:r w:rsidRPr="00C318B1">
        <w:tab/>
      </w:r>
      <w:r w:rsidRPr="00C318B1">
        <w:rPr>
          <w:i/>
          <w:iCs/>
        </w:rPr>
        <w:t>(</w:t>
      </w:r>
      <w:r w:rsidRPr="00BD6319">
        <w:rPr>
          <w:i/>
          <w:iCs/>
        </w:rPr>
        <w:t>Document de référence : document informel INF.41, tel que modifié)</w:t>
      </w:r>
    </w:p>
    <w:p w14:paraId="256AB5B2" w14:textId="5A873310" w:rsidR="00F539F0" w:rsidRDefault="00F539F0" w:rsidP="007D7CE5">
      <w:pPr>
        <w:pStyle w:val="SingleTxtG"/>
        <w:spacing w:after="160"/>
      </w:pPr>
      <w:r w:rsidRPr="00BD6319">
        <w:t>1.5.2.6</w:t>
      </w:r>
      <w:r w:rsidRPr="00BD6319">
        <w:tab/>
      </w:r>
      <w:r w:rsidRPr="00BD6319">
        <w:tab/>
        <w:t>Modifier pour lire comme suit :</w:t>
      </w:r>
    </w:p>
    <w:p w14:paraId="09C93D2B" w14:textId="77777777" w:rsidR="00F539F0" w:rsidRPr="007536E5" w:rsidRDefault="00F539F0" w:rsidP="007D7CE5">
      <w:pPr>
        <w:pStyle w:val="SingleTxtG"/>
        <w:tabs>
          <w:tab w:val="left" w:pos="2268"/>
        </w:tabs>
        <w:spacing w:after="160" w:line="240" w:lineRule="auto"/>
        <w:ind w:left="2268"/>
        <w:rPr>
          <w:i/>
          <w:szCs w:val="24"/>
        </w:rPr>
      </w:pPr>
      <w:r>
        <w:rPr>
          <w:szCs w:val="24"/>
          <w:lang w:val="fr-FR"/>
        </w:rPr>
        <w:t>« 1.5.2.6</w:t>
      </w:r>
      <w:r>
        <w:rPr>
          <w:szCs w:val="24"/>
          <w:lang w:val="fr-FR"/>
        </w:rPr>
        <w:tab/>
      </w:r>
      <w:r w:rsidRPr="00640C9E">
        <w:rPr>
          <w:szCs w:val="24"/>
          <w:lang w:val="fr-FR"/>
        </w:rPr>
        <w:t>Le dispositif de préparation et d</w:t>
      </w:r>
      <w:r>
        <w:rPr>
          <w:szCs w:val="24"/>
          <w:lang w:val="fr-FR"/>
        </w:rPr>
        <w:t>’</w:t>
      </w:r>
      <w:r w:rsidRPr="00640C9E">
        <w:rPr>
          <w:szCs w:val="24"/>
          <w:lang w:val="fr-FR"/>
        </w:rPr>
        <w:t>intervention est de type progressif et tient compte des dangers recensés et de leurs conséquences potentielles, notamment de la possibilité de formation d</w:t>
      </w:r>
      <w:r>
        <w:rPr>
          <w:szCs w:val="24"/>
          <w:lang w:val="fr-FR"/>
        </w:rPr>
        <w:t>’</w:t>
      </w:r>
      <w:r w:rsidRPr="00640C9E">
        <w:rPr>
          <w:szCs w:val="24"/>
          <w:lang w:val="fr-FR"/>
        </w:rPr>
        <w:t>autres matières dangereuses qui pourrait résulter de la réaction entre le contenu d</w:t>
      </w:r>
      <w:r>
        <w:rPr>
          <w:szCs w:val="24"/>
          <w:lang w:val="fr-FR"/>
        </w:rPr>
        <w:t>’</w:t>
      </w:r>
      <w:r w:rsidRPr="00640C9E">
        <w:rPr>
          <w:szCs w:val="24"/>
          <w:lang w:val="fr-FR"/>
        </w:rPr>
        <w:t xml:space="preserve">un </w:t>
      </w:r>
      <w:r w:rsidRPr="00667036">
        <w:rPr>
          <w:szCs w:val="24"/>
          <w:lang w:val="fr-FR"/>
        </w:rPr>
        <w:t>envoi</w:t>
      </w:r>
      <w:r w:rsidRPr="00640C9E">
        <w:rPr>
          <w:i/>
          <w:iCs/>
          <w:szCs w:val="24"/>
          <w:lang w:val="fr-FR"/>
        </w:rPr>
        <w:t xml:space="preserve"> </w:t>
      </w:r>
      <w:r w:rsidRPr="00640C9E">
        <w:rPr>
          <w:szCs w:val="24"/>
          <w:lang w:val="fr-FR"/>
        </w:rPr>
        <w:t>et l</w:t>
      </w:r>
      <w:r>
        <w:rPr>
          <w:szCs w:val="24"/>
          <w:lang w:val="fr-FR"/>
        </w:rPr>
        <w:t>’</w:t>
      </w:r>
      <w:r w:rsidRPr="00640C9E">
        <w:rPr>
          <w:szCs w:val="24"/>
          <w:lang w:val="fr-FR"/>
        </w:rPr>
        <w:t>environnement en cas d</w:t>
      </w:r>
      <w:r>
        <w:rPr>
          <w:szCs w:val="24"/>
          <w:lang w:val="fr-FR"/>
        </w:rPr>
        <w:t>’</w:t>
      </w:r>
      <w:r w:rsidRPr="00640C9E">
        <w:rPr>
          <w:szCs w:val="24"/>
          <w:lang w:val="fr-FR"/>
        </w:rPr>
        <w:t>urgence nucléaire ou radiologique. On trouvera des directives pour la mise en place de tels dispositifs dans les ouvrages suivants</w:t>
      </w:r>
      <w:r>
        <w:rPr>
          <w:szCs w:val="24"/>
          <w:lang w:val="fr-FR"/>
        </w:rPr>
        <w:t> :</w:t>
      </w:r>
      <w:r w:rsidRPr="00640C9E">
        <w:rPr>
          <w:szCs w:val="24"/>
          <w:lang w:val="fr-FR"/>
        </w:rPr>
        <w:t xml:space="preserve"> </w:t>
      </w:r>
      <w:r w:rsidRPr="00640C9E">
        <w:rPr>
          <w:i/>
          <w:iCs/>
          <w:szCs w:val="24"/>
          <w:lang w:val="fr-FR"/>
        </w:rPr>
        <w:t>Préparation et intervention en cas de situation d</w:t>
      </w:r>
      <w:r>
        <w:rPr>
          <w:i/>
          <w:iCs/>
          <w:szCs w:val="24"/>
          <w:lang w:val="fr-FR"/>
        </w:rPr>
        <w:t>’</w:t>
      </w:r>
      <w:r w:rsidRPr="00640C9E">
        <w:rPr>
          <w:i/>
          <w:iCs/>
          <w:szCs w:val="24"/>
          <w:lang w:val="fr-FR"/>
        </w:rPr>
        <w:t>urgence nucléaire ou radiologique</w:t>
      </w:r>
      <w:r w:rsidRPr="00640C9E">
        <w:rPr>
          <w:szCs w:val="24"/>
          <w:lang w:val="fr-FR"/>
        </w:rPr>
        <w:t>, collection Normes de sûreté de l</w:t>
      </w:r>
      <w:r>
        <w:rPr>
          <w:szCs w:val="24"/>
          <w:lang w:val="fr-FR"/>
        </w:rPr>
        <w:t>’</w:t>
      </w:r>
      <w:r w:rsidRPr="00640C9E">
        <w:rPr>
          <w:szCs w:val="24"/>
          <w:lang w:val="fr-FR"/>
        </w:rPr>
        <w:t xml:space="preserve">AIEA, </w:t>
      </w:r>
      <w:r>
        <w:rPr>
          <w:szCs w:val="24"/>
          <w:lang w:val="fr-FR"/>
        </w:rPr>
        <w:t>No. </w:t>
      </w:r>
      <w:r w:rsidRPr="00640C9E">
        <w:rPr>
          <w:szCs w:val="24"/>
          <w:lang w:val="fr-FR"/>
        </w:rPr>
        <w:t>GSR, partie 7, AIEA, Vienne (2015)</w:t>
      </w:r>
      <w:r>
        <w:rPr>
          <w:szCs w:val="24"/>
          <w:lang w:val="fr-FR"/>
        </w:rPr>
        <w:t> ;</w:t>
      </w:r>
      <w:r w:rsidRPr="00640C9E">
        <w:rPr>
          <w:szCs w:val="24"/>
          <w:lang w:val="fr-FR"/>
        </w:rPr>
        <w:t xml:space="preserve"> </w:t>
      </w:r>
      <w:r w:rsidRPr="00640C9E">
        <w:rPr>
          <w:i/>
          <w:iCs/>
          <w:szCs w:val="24"/>
          <w:lang w:val="fr-FR"/>
        </w:rPr>
        <w:t>Critères à utiliser pour la préparation et la conduite des interventions en cas d</w:t>
      </w:r>
      <w:r>
        <w:rPr>
          <w:i/>
          <w:iCs/>
          <w:szCs w:val="24"/>
          <w:lang w:val="fr-FR"/>
        </w:rPr>
        <w:t>’</w:t>
      </w:r>
      <w:r w:rsidRPr="00640C9E">
        <w:rPr>
          <w:i/>
          <w:iCs/>
          <w:szCs w:val="24"/>
          <w:lang w:val="fr-FR"/>
        </w:rPr>
        <w:t>urgence nucléaire ou radiologique</w:t>
      </w:r>
      <w:r w:rsidRPr="00640C9E">
        <w:rPr>
          <w:szCs w:val="24"/>
          <w:lang w:val="fr-FR"/>
        </w:rPr>
        <w:t>, collection Normes de sûreté de l</w:t>
      </w:r>
      <w:r>
        <w:rPr>
          <w:szCs w:val="24"/>
          <w:lang w:val="fr-FR"/>
        </w:rPr>
        <w:t>’</w:t>
      </w:r>
      <w:r w:rsidRPr="00640C9E">
        <w:rPr>
          <w:szCs w:val="24"/>
          <w:lang w:val="fr-FR"/>
        </w:rPr>
        <w:t xml:space="preserve">AIEA, </w:t>
      </w:r>
      <w:r>
        <w:rPr>
          <w:szCs w:val="24"/>
          <w:lang w:val="fr-FR"/>
        </w:rPr>
        <w:t>No. </w:t>
      </w:r>
      <w:r w:rsidRPr="00640C9E">
        <w:rPr>
          <w:szCs w:val="24"/>
          <w:lang w:val="fr-FR"/>
        </w:rPr>
        <w:t>GSG-2, IAEA, Vienne (2011)</w:t>
      </w:r>
      <w:r>
        <w:rPr>
          <w:szCs w:val="24"/>
          <w:lang w:val="fr-FR"/>
        </w:rPr>
        <w:t> ;</w:t>
      </w:r>
      <w:r w:rsidRPr="00640C9E">
        <w:rPr>
          <w:szCs w:val="24"/>
          <w:lang w:val="fr-FR"/>
        </w:rPr>
        <w:t xml:space="preserve"> </w:t>
      </w:r>
      <w:r w:rsidRPr="00640C9E">
        <w:rPr>
          <w:i/>
          <w:iCs/>
          <w:szCs w:val="24"/>
          <w:lang w:val="fr-FR"/>
        </w:rPr>
        <w:t xml:space="preserve">Arrangements for </w:t>
      </w:r>
      <w:proofErr w:type="spellStart"/>
      <w:r w:rsidRPr="00640C9E">
        <w:rPr>
          <w:i/>
          <w:iCs/>
          <w:szCs w:val="24"/>
          <w:lang w:val="fr-FR"/>
        </w:rPr>
        <w:t>Preparedness</w:t>
      </w:r>
      <w:proofErr w:type="spellEnd"/>
      <w:r w:rsidRPr="00640C9E">
        <w:rPr>
          <w:i/>
          <w:iCs/>
          <w:szCs w:val="24"/>
          <w:lang w:val="fr-FR"/>
        </w:rPr>
        <w:t xml:space="preserve"> for a </w:t>
      </w:r>
      <w:proofErr w:type="spellStart"/>
      <w:r w:rsidRPr="00640C9E">
        <w:rPr>
          <w:i/>
          <w:iCs/>
          <w:szCs w:val="24"/>
          <w:lang w:val="fr-FR"/>
        </w:rPr>
        <w:t>Nuclear</w:t>
      </w:r>
      <w:proofErr w:type="spellEnd"/>
      <w:r w:rsidRPr="00640C9E">
        <w:rPr>
          <w:i/>
          <w:iCs/>
          <w:szCs w:val="24"/>
          <w:lang w:val="fr-FR"/>
        </w:rPr>
        <w:t xml:space="preserve"> or </w:t>
      </w:r>
      <w:proofErr w:type="spellStart"/>
      <w:r w:rsidRPr="00640C9E">
        <w:rPr>
          <w:i/>
          <w:iCs/>
          <w:szCs w:val="24"/>
          <w:lang w:val="fr-FR"/>
        </w:rPr>
        <w:t>Radiological</w:t>
      </w:r>
      <w:proofErr w:type="spellEnd"/>
      <w:r w:rsidRPr="00640C9E">
        <w:rPr>
          <w:i/>
          <w:iCs/>
          <w:szCs w:val="24"/>
          <w:lang w:val="fr-FR"/>
        </w:rPr>
        <w:t xml:space="preserve"> Emergency</w:t>
      </w:r>
      <w:r w:rsidRPr="00640C9E">
        <w:rPr>
          <w:szCs w:val="24"/>
          <w:lang w:val="fr-FR"/>
        </w:rPr>
        <w:t xml:space="preserve">, IAEA </w:t>
      </w:r>
      <w:proofErr w:type="spellStart"/>
      <w:r w:rsidRPr="00640C9E">
        <w:rPr>
          <w:szCs w:val="24"/>
          <w:lang w:val="fr-FR"/>
        </w:rPr>
        <w:t>Safety</w:t>
      </w:r>
      <w:proofErr w:type="spellEnd"/>
      <w:r w:rsidRPr="00640C9E">
        <w:rPr>
          <w:szCs w:val="24"/>
          <w:lang w:val="fr-FR"/>
        </w:rPr>
        <w:t xml:space="preserve"> Standards </w:t>
      </w:r>
      <w:proofErr w:type="spellStart"/>
      <w:r w:rsidRPr="00640C9E">
        <w:rPr>
          <w:szCs w:val="24"/>
          <w:lang w:val="fr-FR"/>
        </w:rPr>
        <w:t>Series</w:t>
      </w:r>
      <w:proofErr w:type="spellEnd"/>
      <w:r w:rsidRPr="00640C9E">
        <w:rPr>
          <w:szCs w:val="24"/>
          <w:lang w:val="fr-FR"/>
        </w:rPr>
        <w:t xml:space="preserve"> No.</w:t>
      </w:r>
      <w:r>
        <w:rPr>
          <w:szCs w:val="24"/>
          <w:lang w:val="fr-FR"/>
        </w:rPr>
        <w:t xml:space="preserve"> </w:t>
      </w:r>
      <w:r w:rsidRPr="00640C9E">
        <w:rPr>
          <w:szCs w:val="24"/>
          <w:lang w:val="en-US"/>
        </w:rPr>
        <w:t xml:space="preserve">GS-G-2.1, IAEA, Vienne (2007), et </w:t>
      </w:r>
      <w:r w:rsidRPr="00640C9E">
        <w:rPr>
          <w:i/>
          <w:iCs/>
          <w:szCs w:val="24"/>
          <w:lang w:val="en-US"/>
        </w:rPr>
        <w:t>Arrangements for the Termination of a Nuclear or Radiological Emergency</w:t>
      </w:r>
      <w:r w:rsidRPr="00640C9E">
        <w:rPr>
          <w:szCs w:val="24"/>
          <w:lang w:val="en-US"/>
        </w:rPr>
        <w:t xml:space="preserve">, IAEA Safety Standards Series No. </w:t>
      </w:r>
      <w:r>
        <w:rPr>
          <w:szCs w:val="24"/>
          <w:lang w:val="fr-FR"/>
        </w:rPr>
        <w:t>GSG-11, IAEA, Vienne (2018). »</w:t>
      </w:r>
      <w:r w:rsidRPr="00640C9E">
        <w:rPr>
          <w:szCs w:val="24"/>
          <w:lang w:val="fr-FR"/>
        </w:rPr>
        <w:t>.</w:t>
      </w:r>
      <w:r w:rsidRPr="00BD6319">
        <w:tab/>
      </w:r>
    </w:p>
    <w:p w14:paraId="083C4363" w14:textId="77777777" w:rsidR="00F539F0" w:rsidRPr="00BD6319" w:rsidRDefault="00F539F0" w:rsidP="007D7CE5">
      <w:pPr>
        <w:pStyle w:val="SingleTxtG"/>
        <w:spacing w:after="0"/>
        <w:rPr>
          <w:i/>
          <w:iCs/>
        </w:rPr>
      </w:pPr>
      <w:r w:rsidRPr="00C318B1">
        <w:tab/>
      </w:r>
      <w:r w:rsidRPr="00C318B1">
        <w:rPr>
          <w:i/>
          <w:iCs/>
        </w:rPr>
        <w:t>(</w:t>
      </w:r>
      <w:r w:rsidRPr="00BD6319">
        <w:rPr>
          <w:i/>
          <w:iCs/>
        </w:rPr>
        <w:t>Document de référence : document informel INF.41)</w:t>
      </w:r>
    </w:p>
    <w:p w14:paraId="7B282D22" w14:textId="69439DD0" w:rsidR="00F970FF" w:rsidRDefault="00EA4106" w:rsidP="00F970FF">
      <w:pPr>
        <w:pStyle w:val="H1G"/>
        <w:rPr>
          <w:lang w:val="fr-FR"/>
        </w:rPr>
      </w:pPr>
      <w:r>
        <w:rPr>
          <w:lang w:val="fr-FR"/>
        </w:rPr>
        <w:lastRenderedPageBreak/>
        <w:tab/>
      </w:r>
      <w:r w:rsidR="00F970FF">
        <w:rPr>
          <w:lang w:val="fr-FR"/>
        </w:rPr>
        <w:tab/>
        <w:t>Chapitre 2.0</w:t>
      </w:r>
    </w:p>
    <w:p w14:paraId="4F587D18" w14:textId="620A25B4" w:rsidR="00F970FF" w:rsidRPr="00461782" w:rsidRDefault="00F970FF" w:rsidP="00F11D23">
      <w:pPr>
        <w:pStyle w:val="SingleTxtG"/>
        <w:ind w:left="2268" w:hanging="1134"/>
      </w:pPr>
      <w:r>
        <w:t>2.0.5.4</w:t>
      </w:r>
      <w:r>
        <w:tab/>
      </w:r>
      <w:r w:rsidRPr="00461782">
        <w:tab/>
      </w:r>
      <w:r>
        <w:t>À la fin, ajouter la nouvelle phrase suivante : « </w:t>
      </w:r>
      <w:r w:rsidRPr="00325BAE">
        <w:rPr>
          <w:lang w:val="fr-FR"/>
        </w:rPr>
        <w:t xml:space="preserve">Cependant, elle s’applique aux objets contenant des matières explosibles qui sont exclus de la classe 1, conformément </w:t>
      </w:r>
      <w:r w:rsidR="00CF5A95">
        <w:rPr>
          <w:lang w:val="fr-FR"/>
        </w:rPr>
        <w:t>au</w:t>
      </w:r>
      <w:r w:rsidRPr="00325BAE">
        <w:rPr>
          <w:lang w:val="fr-FR"/>
        </w:rPr>
        <w:t xml:space="preserve"> 2.1.3.6.4. ».</w:t>
      </w:r>
    </w:p>
    <w:p w14:paraId="10C3D26B" w14:textId="77777777" w:rsidR="00F970FF" w:rsidRPr="009F372F" w:rsidRDefault="00F970FF" w:rsidP="00F970FF">
      <w:pPr>
        <w:pStyle w:val="SingleTxtG"/>
        <w:rPr>
          <w:i/>
          <w:iCs/>
        </w:rPr>
      </w:pPr>
      <w:r w:rsidRPr="00461782">
        <w:rPr>
          <w:i/>
          <w:iCs/>
        </w:rPr>
        <w:t>(</w:t>
      </w:r>
      <w:r>
        <w:rPr>
          <w:i/>
          <w:iCs/>
        </w:rPr>
        <w:t xml:space="preserve">Document de référence </w:t>
      </w:r>
      <w:r w:rsidRPr="00461782">
        <w:rPr>
          <w:i/>
          <w:iCs/>
        </w:rPr>
        <w:t xml:space="preserve">: </w:t>
      </w:r>
      <w:r w:rsidRPr="00864EE6">
        <w:rPr>
          <w:i/>
          <w:iCs/>
        </w:rPr>
        <w:t>ST/SG/AC.10/C.3/2018/</w:t>
      </w:r>
      <w:r>
        <w:rPr>
          <w:i/>
          <w:iCs/>
        </w:rPr>
        <w:t>75, proposition 1</w:t>
      </w:r>
      <w:r w:rsidRPr="00461782">
        <w:rPr>
          <w:i/>
          <w:iCs/>
        </w:rPr>
        <w:t>)</w:t>
      </w:r>
    </w:p>
    <w:p w14:paraId="436C1E66" w14:textId="77777777" w:rsidR="00F970FF" w:rsidRDefault="00F970FF" w:rsidP="00F970FF">
      <w:pPr>
        <w:pStyle w:val="H1G"/>
        <w:rPr>
          <w:lang w:val="fr-FR"/>
        </w:rPr>
      </w:pPr>
      <w:r>
        <w:rPr>
          <w:lang w:val="fr-FR"/>
        </w:rPr>
        <w:tab/>
      </w:r>
      <w:r>
        <w:rPr>
          <w:lang w:val="fr-FR"/>
        </w:rPr>
        <w:tab/>
        <w:t>Chapitre 2.1</w:t>
      </w:r>
    </w:p>
    <w:p w14:paraId="25D70C7E" w14:textId="77777777" w:rsidR="00F970FF" w:rsidRPr="00461782" w:rsidRDefault="00F970FF" w:rsidP="00F970FF">
      <w:pPr>
        <w:pStyle w:val="SingleTxtG"/>
      </w:pPr>
      <w:r w:rsidRPr="00461782">
        <w:t>2.1.3.3.1</w:t>
      </w:r>
      <w:r w:rsidRPr="00461782">
        <w:tab/>
      </w:r>
      <w:r>
        <w:t>Dans la deuxième phrase, supprimer « </w:t>
      </w:r>
      <w:r w:rsidRPr="00461782">
        <w:t>(2.1.1.1 c))</w:t>
      </w:r>
      <w:r>
        <w:t> ».</w:t>
      </w:r>
    </w:p>
    <w:p w14:paraId="460704A8" w14:textId="3F5344C7" w:rsidR="00F970FF" w:rsidRDefault="00F970FF" w:rsidP="00F970FF">
      <w:pPr>
        <w:pStyle w:val="SingleTxtG"/>
        <w:rPr>
          <w:i/>
          <w:iCs/>
        </w:rPr>
      </w:pPr>
      <w:r w:rsidRPr="00461782">
        <w:rPr>
          <w:i/>
          <w:iCs/>
        </w:rPr>
        <w:t>(</w:t>
      </w:r>
      <w:r>
        <w:rPr>
          <w:i/>
          <w:iCs/>
        </w:rPr>
        <w:t xml:space="preserve">Document de référence </w:t>
      </w:r>
      <w:r w:rsidRPr="00461782">
        <w:rPr>
          <w:i/>
          <w:iCs/>
        </w:rPr>
        <w:t xml:space="preserve">: </w:t>
      </w:r>
      <w:r w:rsidR="00A93A75">
        <w:rPr>
          <w:i/>
          <w:iCs/>
        </w:rPr>
        <w:t xml:space="preserve">ST/SG/AC.10/C.3/2018/81 tel que modifié par le </w:t>
      </w:r>
      <w:r>
        <w:rPr>
          <w:i/>
          <w:iCs/>
        </w:rPr>
        <w:t>document informel</w:t>
      </w:r>
      <w:r w:rsidRPr="00461782">
        <w:rPr>
          <w:i/>
          <w:iCs/>
        </w:rPr>
        <w:t xml:space="preserve"> INF.50, Annex</w:t>
      </w:r>
      <w:r>
        <w:rPr>
          <w:i/>
          <w:iCs/>
        </w:rPr>
        <w:t>e</w:t>
      </w:r>
      <w:r w:rsidRPr="00461782">
        <w:rPr>
          <w:i/>
          <w:iCs/>
        </w:rPr>
        <w:t xml:space="preserve"> 2, amend</w:t>
      </w:r>
      <w:r>
        <w:rPr>
          <w:i/>
          <w:iCs/>
        </w:rPr>
        <w:t>e</w:t>
      </w:r>
      <w:r w:rsidRPr="00461782">
        <w:rPr>
          <w:i/>
          <w:iCs/>
        </w:rPr>
        <w:t>ment 2)</w:t>
      </w:r>
    </w:p>
    <w:p w14:paraId="164A746E" w14:textId="3A554EDF" w:rsidR="00F970FF" w:rsidRDefault="00406945" w:rsidP="00F11D23">
      <w:pPr>
        <w:pStyle w:val="SingleTxtG"/>
        <w:ind w:left="2268" w:hanging="1134"/>
      </w:pPr>
      <w:r>
        <w:t>2.1.3.5.2</w:t>
      </w:r>
      <w:r>
        <w:tab/>
        <w:t>Dans la première phrase, a</w:t>
      </w:r>
      <w:r w:rsidR="00F970FF">
        <w:t xml:space="preserve">près « ou 0336 », insérer </w:t>
      </w:r>
      <w:proofErr w:type="gramStart"/>
      <w:r w:rsidR="00F970FF">
        <w:t>« ,</w:t>
      </w:r>
      <w:proofErr w:type="gramEnd"/>
      <w:r w:rsidR="00F970FF">
        <w:t xml:space="preserve"> et</w:t>
      </w:r>
      <w:r w:rsidR="00F970FF" w:rsidRPr="00D26332">
        <w:t xml:space="preserve"> </w:t>
      </w:r>
      <w:r w:rsidR="00F970FF">
        <w:t xml:space="preserve">l’affectation </w:t>
      </w:r>
      <w:r w:rsidR="00F970FF" w:rsidRPr="00D26332">
        <w:t xml:space="preserve">au No ONU 0431 des objets destinés aux effets scéniques, </w:t>
      </w:r>
      <w:r w:rsidR="00F970FF">
        <w:t xml:space="preserve">répondant à un type décrit dans </w:t>
      </w:r>
      <w:r w:rsidR="00F970FF" w:rsidRPr="00D26332">
        <w:t>le tableau de classification des artifices de divertissement du 2.1.3.5.5</w:t>
      </w:r>
      <w:r w:rsidR="00F970FF">
        <w:t xml:space="preserve"> et aux caractéristiques permettant une classification en 1.4G suivant ce tableau,</w:t>
      </w:r>
      <w:r w:rsidR="00F970FF" w:rsidRPr="00D26332">
        <w:t xml:space="preserve">». </w:t>
      </w:r>
    </w:p>
    <w:p w14:paraId="416159CE" w14:textId="444C7C75" w:rsidR="00F970FF" w:rsidRDefault="00F970FF" w:rsidP="00D117BD">
      <w:pPr>
        <w:pStyle w:val="SingleTxtG"/>
        <w:rPr>
          <w:i/>
          <w:iCs/>
        </w:rPr>
      </w:pPr>
      <w:r w:rsidRPr="00461782">
        <w:rPr>
          <w:i/>
          <w:iCs/>
        </w:rPr>
        <w:t>(</w:t>
      </w:r>
      <w:r>
        <w:rPr>
          <w:i/>
          <w:iCs/>
        </w:rPr>
        <w:t xml:space="preserve">Document de référence </w:t>
      </w:r>
      <w:r w:rsidRPr="00461782">
        <w:rPr>
          <w:i/>
          <w:iCs/>
        </w:rPr>
        <w:t>:</w:t>
      </w:r>
      <w:r>
        <w:rPr>
          <w:i/>
          <w:iCs/>
        </w:rPr>
        <w:t xml:space="preserve"> </w:t>
      </w:r>
      <w:r w:rsidRPr="00E86AD7">
        <w:rPr>
          <w:i/>
          <w:iCs/>
        </w:rPr>
        <w:t>ST/SG/AC.10/C.3/2018/87</w:t>
      </w:r>
      <w:r w:rsidR="00492E46">
        <w:rPr>
          <w:i/>
          <w:iCs/>
        </w:rPr>
        <w:t>, tel que modifié</w:t>
      </w:r>
      <w:r w:rsidRPr="00E86AD7">
        <w:rPr>
          <w:i/>
          <w:iCs/>
        </w:rPr>
        <w:t>)</w:t>
      </w:r>
    </w:p>
    <w:p w14:paraId="4EBF165E" w14:textId="77777777" w:rsidR="006C467A" w:rsidRDefault="006C467A" w:rsidP="006C467A">
      <w:pPr>
        <w:pStyle w:val="H1G"/>
      </w:pPr>
      <w:r>
        <w:tab/>
      </w:r>
      <w:r>
        <w:tab/>
        <w:t>Chapitre 2.2</w:t>
      </w:r>
    </w:p>
    <w:p w14:paraId="13C9E885" w14:textId="77777777" w:rsidR="006C467A" w:rsidRDefault="006C467A" w:rsidP="00F11D23">
      <w:pPr>
        <w:pStyle w:val="SingleTxtG"/>
        <w:ind w:left="2268" w:hanging="1134"/>
      </w:pPr>
      <w:r>
        <w:t>2.2.1.3</w:t>
      </w:r>
      <w:r>
        <w:tab/>
      </w:r>
      <w:r>
        <w:tab/>
        <w:t>Remplacer « chargés de gaz, et les aérosols » par « chargés de gaz, les aérosols et les produits chimiques sous pression ».</w:t>
      </w:r>
      <w:r>
        <w:tab/>
      </w:r>
    </w:p>
    <w:p w14:paraId="43E9FE06" w14:textId="75BF8ABD" w:rsidR="006C467A" w:rsidRPr="00EC732E" w:rsidRDefault="006C467A" w:rsidP="00F11D23">
      <w:pPr>
        <w:pStyle w:val="SingleTxtG"/>
        <w:ind w:left="2268" w:hanging="1134"/>
        <w:rPr>
          <w:i/>
          <w:iCs/>
        </w:rPr>
      </w:pPr>
      <w:r w:rsidRPr="00EC732E">
        <w:rPr>
          <w:i/>
          <w:iCs/>
        </w:rPr>
        <w:t>(Document de référence : document informel INF.23)</w:t>
      </w:r>
    </w:p>
    <w:p w14:paraId="71EA23B8" w14:textId="77777777" w:rsidR="00F82125" w:rsidRDefault="006C467A" w:rsidP="00F11D23">
      <w:pPr>
        <w:pStyle w:val="SingleTxtG"/>
        <w:ind w:left="2268" w:hanging="1134"/>
      </w:pPr>
      <w:r>
        <w:t>2.2.2.1</w:t>
      </w:r>
      <w:r>
        <w:tab/>
      </w:r>
      <w:r w:rsidR="00F82125">
        <w:t>Modifier le nota pour lire comme suit :</w:t>
      </w:r>
    </w:p>
    <w:p w14:paraId="0DD0AABE" w14:textId="4CB8074D" w:rsidR="00455932" w:rsidRPr="00F11D23" w:rsidRDefault="00F82125" w:rsidP="00F11D23">
      <w:pPr>
        <w:pStyle w:val="SingleTxtG"/>
        <w:ind w:left="2268" w:hanging="1134"/>
        <w:rPr>
          <w:i/>
          <w:iCs/>
        </w:rPr>
      </w:pPr>
      <w:r>
        <w:tab/>
      </w:r>
      <w:r w:rsidRPr="00F11D23">
        <w:rPr>
          <w:i/>
          <w:iCs/>
        </w:rPr>
        <w:t>« </w:t>
      </w:r>
      <w:r w:rsidRPr="00F11D23">
        <w:rPr>
          <w:b/>
          <w:bCs/>
          <w:i/>
          <w:iCs/>
        </w:rPr>
        <w:t>NOTA :</w:t>
      </w:r>
      <w:r w:rsidR="006C467A" w:rsidRPr="00F11D23">
        <w:rPr>
          <w:i/>
          <w:iCs/>
        </w:rPr>
        <w:tab/>
      </w:r>
      <w:r w:rsidRPr="00F11D23">
        <w:rPr>
          <w:i/>
          <w:iCs/>
        </w:rPr>
        <w:t xml:space="preserve">Pour le No ONU 1950 AÉROSOLS, voir également les critères de la disposition spéciale 63. </w:t>
      </w:r>
      <w:r w:rsidR="006C467A" w:rsidRPr="00F11D23">
        <w:rPr>
          <w:i/>
          <w:iCs/>
        </w:rPr>
        <w:t xml:space="preserve">Pour les produits chimiques sous pression </w:t>
      </w:r>
      <w:proofErr w:type="spellStart"/>
      <w:r w:rsidR="006C467A" w:rsidRPr="00F11D23">
        <w:rPr>
          <w:i/>
          <w:iCs/>
        </w:rPr>
        <w:t>des</w:t>
      </w:r>
      <w:proofErr w:type="spellEnd"/>
      <w:r w:rsidR="006C467A" w:rsidRPr="00F11D23">
        <w:rPr>
          <w:i/>
          <w:iCs/>
        </w:rPr>
        <w:t xml:space="preserve"> Nos ONU 3500 à 3505, voir également la disposition spéciale 362. </w:t>
      </w:r>
      <w:r w:rsidR="00340F07">
        <w:rPr>
          <w:i/>
          <w:iCs/>
        </w:rPr>
        <w:t>Pour le No </w:t>
      </w:r>
      <w:r w:rsidRPr="00F11D23">
        <w:rPr>
          <w:i/>
          <w:iCs/>
        </w:rPr>
        <w:t>ONU 2037 RÉCIPIENTS DE FAIBLE CAPACITÉ CONTENANT DU GAZ (CARTOUCHES À GAZ), voir également la dispositions spéciale 303 </w:t>
      </w:r>
      <w:r w:rsidR="006C467A" w:rsidRPr="00F11D23">
        <w:rPr>
          <w:i/>
          <w:iCs/>
        </w:rPr>
        <w:t xml:space="preserve">». </w:t>
      </w:r>
    </w:p>
    <w:p w14:paraId="53E0170F" w14:textId="3F4B8FE0" w:rsidR="006C467A" w:rsidRPr="00D117BD" w:rsidRDefault="00F82125" w:rsidP="006C467A">
      <w:pPr>
        <w:pStyle w:val="SingleTxtG"/>
      </w:pPr>
      <w:r w:rsidDel="00F82125">
        <w:t xml:space="preserve"> </w:t>
      </w:r>
      <w:r w:rsidR="006C467A" w:rsidRPr="00EC732E">
        <w:rPr>
          <w:i/>
          <w:iCs/>
        </w:rPr>
        <w:t>(Document de référence : document informel INF.23</w:t>
      </w:r>
      <w:r w:rsidR="006C467A">
        <w:rPr>
          <w:i/>
          <w:iCs/>
        </w:rPr>
        <w:t>, tel que modifié</w:t>
      </w:r>
      <w:r w:rsidR="006C467A" w:rsidRPr="00EC732E">
        <w:rPr>
          <w:i/>
          <w:iCs/>
        </w:rPr>
        <w:t>)</w:t>
      </w:r>
    </w:p>
    <w:p w14:paraId="56E182F9" w14:textId="77777777" w:rsidR="00E00A9A" w:rsidRPr="00B857E2" w:rsidRDefault="00E00A9A" w:rsidP="00D117BD">
      <w:pPr>
        <w:pStyle w:val="H1G"/>
      </w:pPr>
      <w:r>
        <w:tab/>
      </w:r>
      <w:r>
        <w:tab/>
        <w:t>Chapitre</w:t>
      </w:r>
      <w:r w:rsidRPr="00B857E2">
        <w:t xml:space="preserve"> </w:t>
      </w:r>
      <w:r>
        <w:t>2.8</w:t>
      </w:r>
    </w:p>
    <w:p w14:paraId="246A7335" w14:textId="77777777" w:rsidR="00E00A9A" w:rsidRPr="00FE4F54" w:rsidRDefault="00E00A9A" w:rsidP="00E00A9A">
      <w:pPr>
        <w:pStyle w:val="SingleTxtG"/>
        <w:rPr>
          <w:lang w:val="en-US"/>
        </w:rPr>
      </w:pPr>
      <w:r>
        <w:t>2.8.1.1</w:t>
      </w:r>
      <w:r>
        <w:tab/>
      </w:r>
      <w:r>
        <w:tab/>
        <w:t>Remplacer « engins de transport » par « matériels de transport ».</w:t>
      </w:r>
    </w:p>
    <w:p w14:paraId="22D28F8C" w14:textId="77777777" w:rsidR="00E00A9A" w:rsidRDefault="00E00A9A" w:rsidP="00E00A9A">
      <w:pPr>
        <w:pStyle w:val="SingleTxtG"/>
        <w:rPr>
          <w:i/>
          <w:iCs/>
        </w:rPr>
      </w:pPr>
      <w:r w:rsidRPr="00B354C4">
        <w:rPr>
          <w:i/>
          <w:iCs/>
        </w:rPr>
        <w:t>(Document de référence</w:t>
      </w:r>
      <w:r>
        <w:rPr>
          <w:i/>
          <w:iCs/>
        </w:rPr>
        <w:t xml:space="preserve"> </w:t>
      </w:r>
      <w:r w:rsidRPr="00B354C4">
        <w:rPr>
          <w:i/>
          <w:iCs/>
        </w:rPr>
        <w:t>: document informel INF.52, proposition 3</w:t>
      </w:r>
      <w:r>
        <w:rPr>
          <w:i/>
          <w:iCs/>
        </w:rPr>
        <w:t>, telle que modifiée</w:t>
      </w:r>
      <w:r w:rsidRPr="00B354C4">
        <w:rPr>
          <w:i/>
          <w:iCs/>
        </w:rPr>
        <w:t>)</w:t>
      </w:r>
    </w:p>
    <w:p w14:paraId="02D9B8CB" w14:textId="77777777" w:rsidR="00E00A9A" w:rsidRDefault="00E00A9A" w:rsidP="00F11D23">
      <w:pPr>
        <w:pStyle w:val="SingleTxtG"/>
        <w:ind w:left="2268" w:hanging="1134"/>
      </w:pPr>
      <w:r>
        <w:t>2.8.3.2</w:t>
      </w:r>
      <w:r>
        <w:tab/>
      </w:r>
      <w:r>
        <w:tab/>
        <w:t>Dans la deuxième phrase, remplacer « conformément à la Ligne directrice de l’OCDE 404</w:t>
      </w:r>
      <w:r w:rsidRPr="005D1FD0">
        <w:rPr>
          <w:vertAlign w:val="superscript"/>
        </w:rPr>
        <w:t>1</w:t>
      </w:r>
      <w:r>
        <w:t>, ou 435</w:t>
      </w:r>
      <w:r w:rsidRPr="00442DA3">
        <w:rPr>
          <w:vertAlign w:val="superscript"/>
        </w:rPr>
        <w:t>2,3,4</w:t>
      </w:r>
      <w:r>
        <w:t> » par « conformément aux Lignes directrices de l’OCDE</w:t>
      </w:r>
      <w:r w:rsidRPr="00C4307D">
        <w:rPr>
          <w:vertAlign w:val="superscript"/>
        </w:rPr>
        <w:t>1</w:t>
      </w:r>
      <w:r>
        <w:rPr>
          <w:vertAlign w:val="superscript"/>
        </w:rPr>
        <w:t>,</w:t>
      </w:r>
      <w:r w:rsidRPr="00C4307D">
        <w:rPr>
          <w:vertAlign w:val="superscript"/>
        </w:rPr>
        <w:t>2</w:t>
      </w:r>
      <w:r>
        <w:rPr>
          <w:vertAlign w:val="superscript"/>
        </w:rPr>
        <w:t>,</w:t>
      </w:r>
      <w:r w:rsidRPr="00C4307D">
        <w:rPr>
          <w:vertAlign w:val="superscript"/>
        </w:rPr>
        <w:t>3</w:t>
      </w:r>
      <w:r>
        <w:rPr>
          <w:vertAlign w:val="superscript"/>
        </w:rPr>
        <w:t>,</w:t>
      </w:r>
      <w:r w:rsidRPr="00C4307D">
        <w:rPr>
          <w:vertAlign w:val="superscript"/>
        </w:rPr>
        <w:t>4</w:t>
      </w:r>
      <w:r>
        <w:t xml:space="preserve">. ». </w:t>
      </w:r>
    </w:p>
    <w:p w14:paraId="66ADBAFF" w14:textId="77777777" w:rsidR="00421A60" w:rsidRDefault="00421A60" w:rsidP="00421A60">
      <w:pPr>
        <w:pStyle w:val="SingleTxtG"/>
        <w:ind w:left="2268"/>
      </w:pPr>
      <w:r>
        <w:t>Dans la troisième phrase, remplacer « à la Ligne directrice de l’OCDE 430</w:t>
      </w:r>
      <w:r w:rsidRPr="00F86888">
        <w:rPr>
          <w:vertAlign w:val="superscript"/>
        </w:rPr>
        <w:t xml:space="preserve">3,4 </w:t>
      </w:r>
      <w:r>
        <w:t>ou 431</w:t>
      </w:r>
      <w:r w:rsidRPr="006461CB">
        <w:rPr>
          <w:vertAlign w:val="superscript"/>
        </w:rPr>
        <w:t>4</w:t>
      </w:r>
      <w:r>
        <w:t> » par « aux Lignes directrices de l’OCDE</w:t>
      </w:r>
      <w:r w:rsidRPr="00661871">
        <w:rPr>
          <w:vertAlign w:val="superscript"/>
        </w:rPr>
        <w:t>1,</w:t>
      </w:r>
      <w:r w:rsidRPr="00753CC7">
        <w:rPr>
          <w:vertAlign w:val="superscript"/>
        </w:rPr>
        <w:t>2,3,4</w:t>
      </w:r>
      <w:r>
        <w:t xml:space="preserve"> ». </w:t>
      </w:r>
    </w:p>
    <w:p w14:paraId="7592E96F" w14:textId="77777777" w:rsidR="00E00A9A" w:rsidRDefault="00E00A9A" w:rsidP="00F11D23">
      <w:pPr>
        <w:pStyle w:val="SingleTxtG"/>
        <w:ind w:left="2268"/>
      </w:pPr>
      <w:r>
        <w:t>Supprimer la note de bas de page 4 existante et numéroter la note de bas de page 3 actuelle en tant que note de bas de page 4. Insérer la nouvelle note de bas de page 3 pour lire comme suit : « </w:t>
      </w:r>
      <w:r w:rsidRPr="003E6BA4">
        <w:rPr>
          <w:vertAlign w:val="superscript"/>
        </w:rPr>
        <w:t>3</w:t>
      </w:r>
      <w:r>
        <w:t xml:space="preserve"> Ligne directrice de l’OCDE pour les </w:t>
      </w:r>
      <w:r>
        <w:lastRenderedPageBreak/>
        <w:t xml:space="preserve">essais de produits chimiques n°431 “Corrosion cutanée in vitro : essai sur modèle de peau humaine”, 2016. ». </w:t>
      </w:r>
    </w:p>
    <w:p w14:paraId="20122F2E" w14:textId="7F4F10C5" w:rsidR="00E00A9A" w:rsidRDefault="00E00A9A" w:rsidP="00F11D23">
      <w:pPr>
        <w:pStyle w:val="SingleTxtG"/>
        <w:ind w:left="2268"/>
      </w:pPr>
      <w:r>
        <w:t>À la fin du paragraphe, ajouter la nouvelle phrase suivante : « </w:t>
      </w:r>
      <w:r w:rsidRPr="003E6BA4">
        <w:t xml:space="preserve">Lorsque les résultats de l’essai </w:t>
      </w:r>
      <w:r w:rsidRPr="003E6BA4">
        <w:rPr>
          <w:i/>
        </w:rPr>
        <w:t>in vitro</w:t>
      </w:r>
      <w:r w:rsidRPr="003E6BA4">
        <w:t xml:space="preserve"> indiquent que la matière est corrosive</w:t>
      </w:r>
      <w:r>
        <w:t xml:space="preserve"> et non-affectée au groupe d’emballage I</w:t>
      </w:r>
      <w:r w:rsidRPr="003E6BA4">
        <w:t>, mais que l’essai ne permet pas d’attribuer les matières soit au groupe II, soit au groupe III, on privilégiera le groupe d’emballage II.</w:t>
      </w:r>
      <w:r>
        <w:t> ».</w:t>
      </w:r>
    </w:p>
    <w:p w14:paraId="74A8B8D2" w14:textId="77777777" w:rsidR="00E00A9A" w:rsidRDefault="00E00A9A" w:rsidP="00E00A9A">
      <w:pPr>
        <w:pStyle w:val="SingleTxtG"/>
        <w:rPr>
          <w:i/>
          <w:iCs/>
        </w:rPr>
      </w:pPr>
      <w:r w:rsidRPr="003E6BA4">
        <w:rPr>
          <w:i/>
          <w:iCs/>
        </w:rPr>
        <w:t>(Document de référence : ST/SG/AC.10/C.3/2018/70, tel que modifié)</w:t>
      </w:r>
    </w:p>
    <w:p w14:paraId="0384ADAB" w14:textId="270589F0" w:rsidR="00D117BD" w:rsidRDefault="00D117BD" w:rsidP="00F11D23">
      <w:pPr>
        <w:pStyle w:val="H1G"/>
        <w:rPr>
          <w:lang w:val="fr-FR"/>
        </w:rPr>
      </w:pPr>
      <w:r>
        <w:rPr>
          <w:lang w:val="fr-FR"/>
        </w:rPr>
        <w:tab/>
      </w:r>
      <w:r>
        <w:rPr>
          <w:lang w:val="fr-FR"/>
        </w:rPr>
        <w:tab/>
        <w:t>Chapitre 3.2</w:t>
      </w:r>
      <w:r w:rsidR="00CF5A95">
        <w:rPr>
          <w:lang w:val="fr-FR"/>
        </w:rPr>
        <w:t>, l</w:t>
      </w:r>
      <w:r>
        <w:rPr>
          <w:lang w:val="fr-FR"/>
        </w:rPr>
        <w:t>iste des marchandises dangereuses</w:t>
      </w:r>
    </w:p>
    <w:p w14:paraId="14071872" w14:textId="1A8996A1" w:rsidR="00D117BD" w:rsidRDefault="00D117BD" w:rsidP="00D117BD">
      <w:pPr>
        <w:pStyle w:val="SingleTxtG"/>
      </w:pPr>
      <w:r>
        <w:rPr>
          <w:lang w:val="fr-FR"/>
        </w:rPr>
        <w:tab/>
        <w:t xml:space="preserve">Pour les Nos ONU </w:t>
      </w:r>
      <w:r w:rsidRPr="00F74275">
        <w:t>0005, 0007, 0012, 0014, 0033, 0037, 0136, 0167, 0180, 0238,</w:t>
      </w:r>
      <w:r w:rsidR="00BA7AB4">
        <w:t xml:space="preserve"> </w:t>
      </w:r>
      <w:r w:rsidRPr="00F74275">
        <w:t>0240, 0242, 0279, 0291, 0294, 0295, 0324, 0326, 0327, 0330, 0338, 0339, 0348, 0369, 0371, 0413, 0414, 0417, 042</w:t>
      </w:r>
      <w:r>
        <w:t>6, 0427, 0453, 0457, 0458, 0459 et</w:t>
      </w:r>
      <w:r w:rsidRPr="00F74275">
        <w:t xml:space="preserve"> 0460</w:t>
      </w:r>
      <w:r>
        <w:t>, ajouter « LP101 » dans la colonne (8), sous « P130 ».</w:t>
      </w:r>
    </w:p>
    <w:p w14:paraId="6F417E0A" w14:textId="77777777" w:rsidR="00D117BD" w:rsidRDefault="00D117BD" w:rsidP="00D117BD">
      <w:pPr>
        <w:pStyle w:val="SingleTxtG"/>
        <w:rPr>
          <w:i/>
          <w:iCs/>
        </w:rPr>
      </w:pPr>
      <w:r w:rsidRPr="00461782">
        <w:rPr>
          <w:i/>
          <w:iCs/>
        </w:rPr>
        <w:t>(</w:t>
      </w:r>
      <w:r>
        <w:rPr>
          <w:i/>
          <w:iCs/>
        </w:rPr>
        <w:t xml:space="preserve">Document de référence </w:t>
      </w:r>
      <w:r w:rsidRPr="00461782">
        <w:rPr>
          <w:i/>
          <w:iCs/>
        </w:rPr>
        <w:t>:</w:t>
      </w:r>
      <w:r>
        <w:rPr>
          <w:i/>
          <w:iCs/>
        </w:rPr>
        <w:t xml:space="preserve"> </w:t>
      </w:r>
      <w:r w:rsidRPr="00E86AD7">
        <w:rPr>
          <w:i/>
          <w:iCs/>
        </w:rPr>
        <w:t>ST/SG/AC.10/C.3/2018/</w:t>
      </w:r>
      <w:r>
        <w:rPr>
          <w:i/>
          <w:iCs/>
        </w:rPr>
        <w:t>113</w:t>
      </w:r>
      <w:r w:rsidRPr="00E86AD7">
        <w:rPr>
          <w:i/>
          <w:iCs/>
        </w:rPr>
        <w:t>)</w:t>
      </w:r>
    </w:p>
    <w:p w14:paraId="3E8D416A" w14:textId="2B645B2F" w:rsidR="006C467A" w:rsidRDefault="006C467A" w:rsidP="00F11D23">
      <w:pPr>
        <w:pStyle w:val="SingleTxtG"/>
        <w:ind w:left="2552" w:hanging="1418"/>
      </w:pPr>
      <w:r>
        <w:t>No ONU 2037</w:t>
      </w:r>
      <w:r>
        <w:tab/>
        <w:t>Dans la colonne (6), ajouter « 327 ». Dans la colonne (8), ajouter « LP200 ». Dans la colonne (9) ajouter « </w:t>
      </w:r>
      <w:r w:rsidRPr="009D1BB0">
        <w:t>PP</w:t>
      </w:r>
      <w:r>
        <w:t>96 » en regard de « P003 ».</w:t>
      </w:r>
    </w:p>
    <w:p w14:paraId="4C135C0B" w14:textId="77777777" w:rsidR="006C467A" w:rsidRDefault="006C467A" w:rsidP="00F11D23">
      <w:pPr>
        <w:pStyle w:val="SingleTxtG"/>
        <w:ind w:left="2552" w:hanging="1418"/>
        <w:rPr>
          <w:i/>
          <w:iCs/>
        </w:rPr>
      </w:pPr>
      <w:r w:rsidRPr="00EC732E">
        <w:rPr>
          <w:i/>
          <w:iCs/>
        </w:rPr>
        <w:t>(Document de référence :</w:t>
      </w:r>
      <w:r>
        <w:rPr>
          <w:i/>
          <w:iCs/>
        </w:rPr>
        <w:t>ST/SG/AC.10/C.3/2018/106, amendement de conséquence)</w:t>
      </w:r>
    </w:p>
    <w:p w14:paraId="1DBEF85A" w14:textId="440AD27F" w:rsidR="006C467A" w:rsidRDefault="006C467A" w:rsidP="00F11D23">
      <w:pPr>
        <w:pStyle w:val="SingleTxtG"/>
        <w:ind w:left="2552" w:hanging="1418"/>
      </w:pPr>
      <w:r>
        <w:t>No ONU 3500</w:t>
      </w:r>
      <w:r>
        <w:tab/>
        <w:t>Dans la colonne (9), insérer « PP97 » en regard de « P206 ».</w:t>
      </w:r>
    </w:p>
    <w:p w14:paraId="424A4CD1" w14:textId="77777777" w:rsidR="006C467A" w:rsidRPr="006C467A" w:rsidRDefault="006C467A" w:rsidP="00F11D23">
      <w:pPr>
        <w:pStyle w:val="SingleTxtG"/>
        <w:ind w:left="2410" w:hanging="1276"/>
        <w:rPr>
          <w:i/>
          <w:iCs/>
        </w:rPr>
      </w:pPr>
      <w:r w:rsidRPr="00930DC4">
        <w:rPr>
          <w:i/>
          <w:iCs/>
        </w:rPr>
        <w:t>(Document de référence : document informel INF.46, amendement de conséquence)</w:t>
      </w:r>
      <w:r w:rsidRPr="00930DC4">
        <w:rPr>
          <w:i/>
          <w:iCs/>
        </w:rPr>
        <w:tab/>
      </w:r>
    </w:p>
    <w:p w14:paraId="3771C9A4" w14:textId="77777777" w:rsidR="00D117BD" w:rsidRDefault="00D117BD" w:rsidP="00D117BD">
      <w:pPr>
        <w:pStyle w:val="H1G"/>
        <w:rPr>
          <w:lang w:val="fr-FR"/>
        </w:rPr>
      </w:pPr>
      <w:r>
        <w:rPr>
          <w:lang w:val="fr-FR"/>
        </w:rPr>
        <w:tab/>
      </w:r>
      <w:r>
        <w:rPr>
          <w:lang w:val="fr-FR"/>
        </w:rPr>
        <w:tab/>
        <w:t>Chapitre 3.3</w:t>
      </w:r>
    </w:p>
    <w:p w14:paraId="235158A5" w14:textId="6E3A235B" w:rsidR="00E32D32" w:rsidRDefault="00DC79D0" w:rsidP="00F11D23">
      <w:pPr>
        <w:pStyle w:val="SingleTxtG"/>
        <w:ind w:left="2268" w:hanging="1134"/>
      </w:pPr>
      <w:r>
        <w:rPr>
          <w:lang w:val="fr-FR"/>
        </w:rPr>
        <w:t>DS</w:t>
      </w:r>
      <w:r w:rsidR="00E32D32">
        <w:rPr>
          <w:lang w:val="fr-FR"/>
        </w:rPr>
        <w:t xml:space="preserve"> 172 d)</w:t>
      </w:r>
      <w:r w:rsidR="00E32D32">
        <w:rPr>
          <w:lang w:val="fr-FR"/>
        </w:rPr>
        <w:tab/>
        <w:t xml:space="preserve">Remplacer « la classe ou division subsidiaire » par « la classe ou division du danger subsidiaire ». </w:t>
      </w:r>
      <w:r w:rsidR="00E32D32">
        <w:tab/>
      </w:r>
      <w:r w:rsidR="00E32D32">
        <w:tab/>
      </w:r>
    </w:p>
    <w:p w14:paraId="02C27109" w14:textId="3FA6A5FF" w:rsidR="00E32D32" w:rsidRDefault="00E32D32" w:rsidP="00E32D32">
      <w:pPr>
        <w:pStyle w:val="SingleTxtG"/>
        <w:rPr>
          <w:i/>
          <w:iCs/>
        </w:rPr>
      </w:pPr>
      <w:r w:rsidRPr="00EC732E">
        <w:rPr>
          <w:i/>
          <w:iCs/>
        </w:rPr>
        <w:t xml:space="preserve">(Document de référence : </w:t>
      </w:r>
      <w:r w:rsidR="00566DAB">
        <w:rPr>
          <w:i/>
          <w:iCs/>
        </w:rPr>
        <w:t xml:space="preserve">ST/SG/AC.10/C.3/2018/73 tel que modifié par le </w:t>
      </w:r>
      <w:r w:rsidRPr="00EC732E">
        <w:rPr>
          <w:i/>
          <w:iCs/>
        </w:rPr>
        <w:t xml:space="preserve">document informel INF. </w:t>
      </w:r>
      <w:r>
        <w:rPr>
          <w:i/>
          <w:iCs/>
        </w:rPr>
        <w:t>40</w:t>
      </w:r>
      <w:r w:rsidRPr="00EC732E">
        <w:rPr>
          <w:i/>
          <w:iCs/>
        </w:rPr>
        <w:t>)</w:t>
      </w:r>
    </w:p>
    <w:p w14:paraId="7877177F" w14:textId="7BDD14CF" w:rsidR="00E32D32" w:rsidRPr="009101F9" w:rsidRDefault="00DC79D0" w:rsidP="00E32D32">
      <w:pPr>
        <w:pStyle w:val="SingleTxtG"/>
      </w:pPr>
      <w:r>
        <w:t>DS</w:t>
      </w:r>
      <w:r w:rsidR="00E32D32" w:rsidRPr="009101F9">
        <w:t xml:space="preserve"> 274</w:t>
      </w:r>
      <w:r w:rsidR="00E32D32" w:rsidRPr="009101F9">
        <w:tab/>
      </w:r>
      <w:r w:rsidR="00E32D32">
        <w:t>À</w:t>
      </w:r>
      <w:r w:rsidR="00E32D32" w:rsidRPr="009101F9">
        <w:t xml:space="preserve"> la fin, ajouter les paragraphes suivants :</w:t>
      </w:r>
    </w:p>
    <w:p w14:paraId="0BCD49F2" w14:textId="6B744008" w:rsidR="00E32D32" w:rsidRPr="00EC3ED0" w:rsidRDefault="00E32D32" w:rsidP="00F11D23">
      <w:pPr>
        <w:pStyle w:val="SingleTxtG"/>
        <w:ind w:left="2268"/>
      </w:pPr>
      <w:r w:rsidRPr="00EC3ED0">
        <w:t xml:space="preserve">« Pour les Nos ONU 3077 et 3082 seulement, le nom technique peut être un nom </w:t>
      </w:r>
      <w:r>
        <w:t>figurant</w:t>
      </w:r>
      <w:r w:rsidRPr="00EC3ED0">
        <w:t xml:space="preserve"> en lettres majuscules dans la colonne 2 de la Liste des Marchandises dangereuses, sous réserve que ce nom ne contienne pas « N.S.A » et que la disposition spéciale 274 n</w:t>
      </w:r>
      <w:r>
        <w:t>e soit</w:t>
      </w:r>
      <w:r w:rsidRPr="00EC3ED0">
        <w:t xml:space="preserve"> pas attribuée. Le nom qui décrit au mieux la </w:t>
      </w:r>
      <w:r w:rsidR="00CF5A95">
        <w:t>matière</w:t>
      </w:r>
      <w:r w:rsidRPr="00EC3ED0">
        <w:t xml:space="preserve"> doit être utilisé, </w:t>
      </w:r>
      <w:r>
        <w:t>par exemple</w:t>
      </w:r>
      <w:r w:rsidRPr="00EC3ED0">
        <w:t xml:space="preserve"> : </w:t>
      </w:r>
    </w:p>
    <w:p w14:paraId="5D9A7532" w14:textId="65C97667" w:rsidR="00E32D32" w:rsidRPr="00EC3ED0" w:rsidRDefault="00E32D32" w:rsidP="00F11D23">
      <w:pPr>
        <w:pStyle w:val="SingleTxtG"/>
        <w:ind w:left="2268"/>
      </w:pPr>
      <w:r>
        <w:t>UN</w:t>
      </w:r>
      <w:r w:rsidRPr="00EC3ED0">
        <w:t xml:space="preserve"> 3082, </w:t>
      </w:r>
      <w:r w:rsidR="00DC79D0" w:rsidRPr="00EC3ED0">
        <w:t>MATI</w:t>
      </w:r>
      <w:r w:rsidR="00DC79D0">
        <w:t>È</w:t>
      </w:r>
      <w:r w:rsidR="00DC79D0" w:rsidRPr="00EC3ED0">
        <w:t xml:space="preserve">RE </w:t>
      </w:r>
      <w:r w:rsidRPr="00EC3ED0">
        <w:t>DANGEREUSE DU POINT DE VUE DE L’ENVIRONNEMENT, LIQUIDE, N.S.A (</w:t>
      </w:r>
      <w:r>
        <w:t>PEINTURE</w:t>
      </w:r>
      <w:r w:rsidRPr="00EC3ED0">
        <w:t>)</w:t>
      </w:r>
    </w:p>
    <w:p w14:paraId="098EE66B" w14:textId="7CD0453A" w:rsidR="00E32D32" w:rsidRPr="00EC3ED0" w:rsidRDefault="00E32D32" w:rsidP="00F11D23">
      <w:pPr>
        <w:pStyle w:val="SingleTxtG"/>
        <w:ind w:left="2268"/>
      </w:pPr>
      <w:r>
        <w:t xml:space="preserve">UN </w:t>
      </w:r>
      <w:r w:rsidRPr="00EC3ED0">
        <w:t xml:space="preserve">No 3082, </w:t>
      </w:r>
      <w:r w:rsidR="00DC79D0" w:rsidRPr="00EC3ED0">
        <w:t>MATI</w:t>
      </w:r>
      <w:r w:rsidR="00DC79D0">
        <w:t>È</w:t>
      </w:r>
      <w:r w:rsidR="00DC79D0" w:rsidRPr="00EC3ED0">
        <w:t xml:space="preserve">RE </w:t>
      </w:r>
      <w:r w:rsidRPr="00EC3ED0">
        <w:t>DANGEREUSE DU POINT DE VUE DE L’ENVIRONNEMENT, LIQUIDE, N.S.A (</w:t>
      </w:r>
      <w:r>
        <w:t>PRODUITS DE PARFUMERIE</w:t>
      </w:r>
      <w:r w:rsidRPr="00EC3ED0">
        <w:t>)</w:t>
      </w:r>
      <w:r>
        <w:t> ».</w:t>
      </w:r>
    </w:p>
    <w:p w14:paraId="4A2A55E3" w14:textId="2F4F024A" w:rsidR="00E32D32" w:rsidRDefault="00E32D32" w:rsidP="00E32D32">
      <w:pPr>
        <w:pStyle w:val="SingleTxtG"/>
        <w:rPr>
          <w:i/>
          <w:iCs/>
        </w:rPr>
      </w:pPr>
      <w:r w:rsidRPr="00EC732E">
        <w:rPr>
          <w:i/>
          <w:iCs/>
        </w:rPr>
        <w:t>(Document de référence :</w:t>
      </w:r>
      <w:r w:rsidR="00566DAB" w:rsidRPr="00566DAB">
        <w:rPr>
          <w:i/>
          <w:iCs/>
        </w:rPr>
        <w:t xml:space="preserve"> </w:t>
      </w:r>
      <w:r w:rsidR="00566DAB">
        <w:rPr>
          <w:i/>
          <w:iCs/>
        </w:rPr>
        <w:t>ST/SG/AC.10/C.3/2018/95 tel que modifié par le</w:t>
      </w:r>
      <w:r w:rsidRPr="00EC732E">
        <w:rPr>
          <w:i/>
          <w:iCs/>
        </w:rPr>
        <w:t xml:space="preserve"> document informel INF. </w:t>
      </w:r>
      <w:r>
        <w:rPr>
          <w:i/>
          <w:iCs/>
        </w:rPr>
        <w:t>49</w:t>
      </w:r>
      <w:r w:rsidRPr="00EC732E">
        <w:rPr>
          <w:i/>
          <w:iCs/>
        </w:rPr>
        <w:t>)</w:t>
      </w:r>
    </w:p>
    <w:p w14:paraId="42597691" w14:textId="3CA20493" w:rsidR="00DC79D0" w:rsidRDefault="00DC79D0" w:rsidP="00F11D23">
      <w:pPr>
        <w:pStyle w:val="SingleTxtG"/>
        <w:ind w:left="2268" w:hanging="1134"/>
      </w:pPr>
      <w:r>
        <w:t>DS</w:t>
      </w:r>
      <w:r w:rsidR="00917EE8">
        <w:t xml:space="preserve"> 327</w:t>
      </w:r>
      <w:r w:rsidR="00917EE8">
        <w:tab/>
        <w:t>Dans la première phrase</w:t>
      </w:r>
      <w:r w:rsidR="00BA7AB4">
        <w:t xml:space="preserve">, remplacer </w:t>
      </w:r>
      <w:proofErr w:type="gramStart"/>
      <w:r w:rsidR="00BA7AB4">
        <w:t>« </w:t>
      </w:r>
      <w:r w:rsidR="00BA7AB4" w:rsidDel="00BA7AB4">
        <w:t xml:space="preserve"> </w:t>
      </w:r>
      <w:r w:rsidR="00917EE8">
        <w:t>Les</w:t>
      </w:r>
      <w:proofErr w:type="gramEnd"/>
      <w:r w:rsidR="00917EE8">
        <w:t xml:space="preserve"> générateurs d’aérosol »</w:t>
      </w:r>
      <w:r w:rsidR="00BA7AB4">
        <w:t xml:space="preserve"> par </w:t>
      </w:r>
      <w:r w:rsidR="00917EE8">
        <w:t>« </w:t>
      </w:r>
      <w:r w:rsidR="00BA7AB4">
        <w:t>Les générateurs d’aérosol </w:t>
      </w:r>
      <w:r w:rsidR="00917EE8" w:rsidRPr="00FB6356">
        <w:t>et les cartouches à gaz</w:t>
      </w:r>
      <w:r w:rsidR="00917EE8">
        <w:t> »</w:t>
      </w:r>
      <w:r w:rsidR="00BA7AB4">
        <w:t xml:space="preserve"> et </w:t>
      </w:r>
      <w:r w:rsidR="00917EE8">
        <w:t xml:space="preserve">« transportés sous cette rubrique » par « transportés sous les Nos ONU 1950 ou 2037, selon le cas ». </w:t>
      </w:r>
    </w:p>
    <w:p w14:paraId="7D265F2E" w14:textId="0A20004C" w:rsidR="00DC79D0" w:rsidRDefault="00917EE8" w:rsidP="00F11D23">
      <w:pPr>
        <w:pStyle w:val="Bullet1G"/>
        <w:numPr>
          <w:ilvl w:val="0"/>
          <w:numId w:val="0"/>
        </w:numPr>
        <w:ind w:left="2268"/>
        <w:rPr>
          <w:lang w:val="fr-FR"/>
        </w:rPr>
      </w:pPr>
      <w:r>
        <w:lastRenderedPageBreak/>
        <w:t xml:space="preserve">Après la troisième phrase, insérer la nouvelle phrase suivante : </w:t>
      </w:r>
      <w:r w:rsidRPr="006918E4">
        <w:t xml:space="preserve">« Les cartouches à gaz mises au rebut, à l’exclusion de celles qui présentent des fuites ou de graves déformations, doivent être emballées conformément à l’instruction d’emballage P003 et aux dispositions spéciales </w:t>
      </w:r>
      <w:r w:rsidR="00566DAB">
        <w:t xml:space="preserve">d’emballage </w:t>
      </w:r>
      <w:r w:rsidRPr="006918E4">
        <w:t xml:space="preserve">PP17 et </w:t>
      </w:r>
      <w:r w:rsidRPr="00C027D2">
        <w:t>PP</w:t>
      </w:r>
      <w:r>
        <w:t>96</w:t>
      </w:r>
      <w:r w:rsidRPr="006918E4">
        <w:rPr>
          <w:lang w:val="fr-FR"/>
        </w:rPr>
        <w:t xml:space="preserve">, ou </w:t>
      </w:r>
      <w:r w:rsidRPr="006918E4">
        <w:t xml:space="preserve">à l’instruction d’emballage </w:t>
      </w:r>
      <w:r w:rsidRPr="006918E4">
        <w:rPr>
          <w:lang w:val="fr-FR"/>
        </w:rPr>
        <w:t xml:space="preserve">LP200 </w:t>
      </w:r>
      <w:r w:rsidRPr="006918E4">
        <w:t xml:space="preserve">et à la disposition spéciale </w:t>
      </w:r>
      <w:r w:rsidR="00566DAB">
        <w:t>d’emballage</w:t>
      </w:r>
      <w:r w:rsidR="00566DAB" w:rsidRPr="006918E4">
        <w:rPr>
          <w:lang w:val="fr-FR"/>
        </w:rPr>
        <w:t xml:space="preserve"> </w:t>
      </w:r>
      <w:r w:rsidRPr="006918E4">
        <w:rPr>
          <w:lang w:val="fr-FR"/>
        </w:rPr>
        <w:t>L2.</w:t>
      </w:r>
      <w:r>
        <w:rPr>
          <w:lang w:val="fr-FR"/>
        </w:rPr>
        <w:t xml:space="preserve"> ». </w:t>
      </w:r>
    </w:p>
    <w:p w14:paraId="441E64FE" w14:textId="77777777" w:rsidR="00DC79D0" w:rsidRDefault="00917EE8" w:rsidP="00F11D23">
      <w:pPr>
        <w:pStyle w:val="Bullet1G"/>
        <w:numPr>
          <w:ilvl w:val="0"/>
          <w:numId w:val="0"/>
        </w:numPr>
        <w:ind w:left="2268"/>
        <w:rPr>
          <w:lang w:val="fr-FR"/>
        </w:rPr>
      </w:pPr>
      <w:r>
        <w:rPr>
          <w:lang w:val="fr-FR"/>
        </w:rPr>
        <w:t xml:space="preserve">Dans la phrase suivante, </w:t>
      </w:r>
      <w:r>
        <w:t xml:space="preserve">après « les générateurs d’aérosol », ajouter « et les cartouches à gaz » et </w:t>
      </w:r>
      <w:r>
        <w:rPr>
          <w:lang w:val="fr-FR"/>
        </w:rPr>
        <w:t>remplacer « transportés dans des emballages de secours » par « </w:t>
      </w:r>
      <w:r>
        <w:t xml:space="preserve">transportés dans des </w:t>
      </w:r>
      <w:r w:rsidRPr="003A6E40">
        <w:t>récipients à pression de secours</w:t>
      </w:r>
      <w:r w:rsidRPr="003A6E40">
        <w:rPr>
          <w:lang w:val="fr-FR"/>
        </w:rPr>
        <w:t xml:space="preserve"> ou des</w:t>
      </w:r>
      <w:r>
        <w:rPr>
          <w:lang w:val="fr-FR"/>
        </w:rPr>
        <w:t xml:space="preserve"> </w:t>
      </w:r>
      <w:r>
        <w:t xml:space="preserve">emballages </w:t>
      </w:r>
      <w:r>
        <w:rPr>
          <w:lang w:val="fr-FR"/>
        </w:rPr>
        <w:t xml:space="preserve">de secours ». </w:t>
      </w:r>
    </w:p>
    <w:p w14:paraId="5D1532B9" w14:textId="59D22BDD" w:rsidR="00917EE8" w:rsidRDefault="00917EE8" w:rsidP="00F11D23">
      <w:pPr>
        <w:pStyle w:val="Bullet1G"/>
        <w:numPr>
          <w:ilvl w:val="0"/>
          <w:numId w:val="0"/>
        </w:numPr>
        <w:ind w:left="2268"/>
      </w:pPr>
      <w:r>
        <w:rPr>
          <w:lang w:val="fr-FR"/>
        </w:rPr>
        <w:t xml:space="preserve">Dans la dernière phrase, </w:t>
      </w:r>
      <w:r w:rsidR="00F0067D">
        <w:t xml:space="preserve">remplacer </w:t>
      </w:r>
      <w:r>
        <w:t>« les générateurs d’aérosol </w:t>
      </w:r>
      <w:r w:rsidR="00F0067D">
        <w:t xml:space="preserve">mis au rebut ne doivent pas </w:t>
      </w:r>
      <w:r>
        <w:t>»</w:t>
      </w:r>
      <w:r w:rsidR="00F0067D">
        <w:t xml:space="preserve"> par</w:t>
      </w:r>
      <w:r>
        <w:t xml:space="preserve"> </w:t>
      </w:r>
      <w:r w:rsidRPr="00FB6356">
        <w:t>« </w:t>
      </w:r>
      <w:r w:rsidR="00F0067D">
        <w:t>les générateurs d’aérosol</w:t>
      </w:r>
      <w:r w:rsidR="00F0067D" w:rsidRPr="00FB6356">
        <w:t xml:space="preserve"> </w:t>
      </w:r>
      <w:r w:rsidRPr="00FB6356">
        <w:t>et les cartouches à gaz</w:t>
      </w:r>
      <w:r>
        <w:t> </w:t>
      </w:r>
      <w:r w:rsidR="00F0067D">
        <w:t>mis au rebut ne doivent pas</w:t>
      </w:r>
      <w:r w:rsidR="00A61DD7">
        <w:t xml:space="preserve"> </w:t>
      </w:r>
      <w:r>
        <w:t xml:space="preserve">». </w:t>
      </w:r>
    </w:p>
    <w:p w14:paraId="1147C3DE" w14:textId="6EE9ADE6" w:rsidR="00917EE8" w:rsidRPr="00FA0DA8" w:rsidRDefault="00917EE8" w:rsidP="00F11D23">
      <w:pPr>
        <w:pStyle w:val="SingleTxtG"/>
        <w:ind w:left="2268"/>
      </w:pPr>
      <w:r>
        <w:t>A</w:t>
      </w:r>
      <w:r>
        <w:rPr>
          <w:lang w:val="fr-FR"/>
        </w:rPr>
        <w:t xml:space="preserve">jouter le nouveau paragraphe suivant à la fin : </w:t>
      </w:r>
      <w:r w:rsidRPr="00FA0DA8">
        <w:rPr>
          <w:lang w:val="fr-FR"/>
        </w:rPr>
        <w:t>« </w:t>
      </w:r>
      <w:r w:rsidRPr="00FA0DA8">
        <w:t>Les cartouches à gaz mises au rebut</w:t>
      </w:r>
      <w:r w:rsidRPr="00FA0DA8">
        <w:rPr>
          <w:lang w:val="fr-FR"/>
        </w:rPr>
        <w:t xml:space="preserve"> qui contenaient des gaz relevant de la division 2.2 et ont été percées ne sont </w:t>
      </w:r>
      <w:r w:rsidR="00A61DD7">
        <w:rPr>
          <w:lang w:val="fr-FR"/>
        </w:rPr>
        <w:t>pas soumises aux</w:t>
      </w:r>
      <w:r w:rsidRPr="00FA0DA8">
        <w:rPr>
          <w:lang w:val="fr-FR"/>
        </w:rPr>
        <w:t xml:space="preserve"> prescriptions du présent Règlement. ».</w:t>
      </w:r>
    </w:p>
    <w:p w14:paraId="0931DB44" w14:textId="77777777" w:rsidR="00917EE8" w:rsidRDefault="00917EE8" w:rsidP="00917EE8">
      <w:pPr>
        <w:pStyle w:val="SingleTxtG"/>
        <w:rPr>
          <w:i/>
          <w:iCs/>
        </w:rPr>
      </w:pPr>
      <w:r w:rsidRPr="00EC732E">
        <w:rPr>
          <w:i/>
          <w:iCs/>
        </w:rPr>
        <w:t>(Document de référence :</w:t>
      </w:r>
      <w:r>
        <w:rPr>
          <w:i/>
          <w:iCs/>
        </w:rPr>
        <w:t>ST/SG/AC.10/C.3/2018/106, tel que modifié)</w:t>
      </w:r>
    </w:p>
    <w:p w14:paraId="58B57B58" w14:textId="586323C7" w:rsidR="00D117BD" w:rsidRPr="000C5447" w:rsidRDefault="00FE0EB6" w:rsidP="00F11D23">
      <w:pPr>
        <w:pStyle w:val="SingleTxtG"/>
        <w:ind w:left="2268" w:hanging="1134"/>
      </w:pPr>
      <w:r>
        <w:rPr>
          <w:lang w:val="fr-FR"/>
        </w:rPr>
        <w:t>DS</w:t>
      </w:r>
      <w:r w:rsidR="00D117BD" w:rsidRPr="000C5447">
        <w:t xml:space="preserve"> 370</w:t>
      </w:r>
      <w:r w:rsidR="00D117BD">
        <w:tab/>
        <w:t xml:space="preserve">Modifier la première phrase pour lire comme suit : « Cette rubrique s’applique uniquement au nitrate d’ammonium qui répond </w:t>
      </w:r>
      <w:r w:rsidR="00CF5A95">
        <w:t xml:space="preserve">à l’un des </w:t>
      </w:r>
      <w:r w:rsidR="00D117BD">
        <w:t>critères suivants : »</w:t>
      </w:r>
      <w:r w:rsidR="00F0067D">
        <w:t xml:space="preserve"> et à la fin du premier tiret remplacer « ; et » par « ; </w:t>
      </w:r>
      <w:proofErr w:type="gramStart"/>
      <w:r w:rsidR="00F0067D">
        <w:t>ou »</w:t>
      </w:r>
      <w:proofErr w:type="gramEnd"/>
    </w:p>
    <w:p w14:paraId="4BAA5DD3" w14:textId="3785F196" w:rsidR="00BA7AB4" w:rsidRPr="004559DF" w:rsidRDefault="00F0067D" w:rsidP="00F11D23">
      <w:pPr>
        <w:pStyle w:val="SingleTxtG"/>
        <w:ind w:left="2268"/>
      </w:pPr>
      <w:r w:rsidRPr="004559DF">
        <w:t>A</w:t>
      </w:r>
      <w:r w:rsidR="00D117BD" w:rsidRPr="004559DF">
        <w:t>jouter le nouveau paragraphe suivant</w:t>
      </w:r>
      <w:r w:rsidRPr="004559DF">
        <w:t xml:space="preserve">, après les </w:t>
      </w:r>
      <w:proofErr w:type="gramStart"/>
      <w:r w:rsidRPr="004559DF">
        <w:t>tirets</w:t>
      </w:r>
      <w:r w:rsidR="00D117BD" w:rsidRPr="004559DF">
        <w:t>:</w:t>
      </w:r>
      <w:proofErr w:type="gramEnd"/>
      <w:r w:rsidR="00D117BD" w:rsidRPr="004559DF">
        <w:t xml:space="preserve"> </w:t>
      </w:r>
    </w:p>
    <w:p w14:paraId="521C9199" w14:textId="7F5EACF8" w:rsidR="00D117BD" w:rsidRPr="000C5447" w:rsidRDefault="00D117BD" w:rsidP="00F11D23">
      <w:pPr>
        <w:pStyle w:val="SingleTxtG"/>
        <w:ind w:left="2268"/>
      </w:pPr>
      <w:r w:rsidRPr="004559DF">
        <w:t>« </w:t>
      </w:r>
      <w:r w:rsidRPr="004559DF">
        <w:rPr>
          <w:lang w:val="fr-FR"/>
        </w:rPr>
        <w:t xml:space="preserve">Cette rubrique ne doit pas être utilisée pour le nitrate d’ammonium pour lequel une désignation officielle de transport existe dans la Liste des </w:t>
      </w:r>
      <w:r w:rsidR="00F0067D" w:rsidRPr="004559DF">
        <w:rPr>
          <w:lang w:val="fr-FR"/>
        </w:rPr>
        <w:t xml:space="preserve">marchandises </w:t>
      </w:r>
      <w:r w:rsidRPr="004559DF">
        <w:rPr>
          <w:lang w:val="fr-FR"/>
        </w:rPr>
        <w:t xml:space="preserve">dangereuses du Chapitre 3.2 y compris le nitrate d’ammonium mélangé au gazole (ANFO) ou tout nitrate d’ammonium </w:t>
      </w:r>
      <w:r w:rsidR="00CF5A95" w:rsidRPr="004559DF">
        <w:rPr>
          <w:lang w:val="fr-FR"/>
        </w:rPr>
        <w:t>de qualité commerciale</w:t>
      </w:r>
      <w:r w:rsidRPr="004559DF">
        <w:rPr>
          <w:lang w:val="fr-FR"/>
        </w:rPr>
        <w:t>.</w:t>
      </w:r>
      <w:r w:rsidRPr="004559DF">
        <w:t> ».</w:t>
      </w:r>
    </w:p>
    <w:p w14:paraId="2D0A8C79" w14:textId="2A64F085" w:rsidR="00D117BD" w:rsidRPr="000C5447" w:rsidRDefault="00D117BD" w:rsidP="00D117BD">
      <w:pPr>
        <w:pStyle w:val="SingleTxtG"/>
      </w:pPr>
      <w:r w:rsidRPr="000C5447">
        <w:tab/>
      </w:r>
      <w:r w:rsidRPr="00F40441">
        <w:rPr>
          <w:i/>
          <w:iCs/>
        </w:rPr>
        <w:t>(Document de référence</w:t>
      </w:r>
      <w:r>
        <w:rPr>
          <w:i/>
          <w:iCs/>
        </w:rPr>
        <w:t xml:space="preserve"> </w:t>
      </w:r>
      <w:r w:rsidRPr="00F40441">
        <w:rPr>
          <w:i/>
          <w:iCs/>
        </w:rPr>
        <w:t xml:space="preserve">: </w:t>
      </w:r>
      <w:r w:rsidR="00F0067D">
        <w:rPr>
          <w:i/>
          <w:iCs/>
        </w:rPr>
        <w:t xml:space="preserve">ST/SG/AC.10/C.3/2018/68 tel que modifié par le </w:t>
      </w:r>
      <w:r w:rsidRPr="00F40441">
        <w:rPr>
          <w:i/>
          <w:iCs/>
        </w:rPr>
        <w:t>document informel INF.50, Annexe 2, amendement 1)</w:t>
      </w:r>
    </w:p>
    <w:p w14:paraId="08BBDB65" w14:textId="77777777" w:rsidR="00E32D32" w:rsidRDefault="00E32D32" w:rsidP="00E32D32">
      <w:pPr>
        <w:pStyle w:val="H1G"/>
      </w:pPr>
      <w:r>
        <w:tab/>
      </w:r>
      <w:r>
        <w:tab/>
        <w:t>Chapitre 4.1</w:t>
      </w:r>
    </w:p>
    <w:p w14:paraId="29DC7893" w14:textId="6E1EACD0" w:rsidR="00562BA9" w:rsidRDefault="00562BA9" w:rsidP="00F11D23">
      <w:pPr>
        <w:pStyle w:val="SingleTxtG"/>
        <w:tabs>
          <w:tab w:val="left" w:pos="1701"/>
          <w:tab w:val="left" w:pos="2410"/>
        </w:tabs>
        <w:ind w:left="2410" w:hanging="1276"/>
      </w:pPr>
      <w:r>
        <w:t>4.1.4.1</w:t>
      </w:r>
      <w:r w:rsidR="00FE0EB6">
        <w:tab/>
      </w:r>
      <w:r>
        <w:t>, P003</w:t>
      </w:r>
      <w:r>
        <w:tab/>
        <w:t>Ajouter la nouvelle disposition spéciale d’emballage suivante :</w:t>
      </w:r>
    </w:p>
    <w:p w14:paraId="0A0A72CD" w14:textId="29D8982E" w:rsidR="00562BA9" w:rsidRPr="00F31699" w:rsidRDefault="00FE0EB6" w:rsidP="00F11D23">
      <w:pPr>
        <w:pStyle w:val="SingleTxtG"/>
        <w:tabs>
          <w:tab w:val="left" w:pos="2410"/>
        </w:tabs>
        <w:ind w:left="2410" w:hanging="1276"/>
      </w:pPr>
      <w:r>
        <w:rPr>
          <w:b/>
          <w:lang w:val="fr-FR"/>
        </w:rPr>
        <w:tab/>
      </w:r>
      <w:r w:rsidR="00562BA9" w:rsidRPr="00F31699">
        <w:rPr>
          <w:b/>
          <w:lang w:val="fr-FR"/>
        </w:rPr>
        <w:t>« </w:t>
      </w:r>
      <w:r w:rsidR="00562BA9" w:rsidRPr="00A5353E">
        <w:rPr>
          <w:b/>
          <w:lang w:val="fr-FR"/>
        </w:rPr>
        <w:t>PP</w:t>
      </w:r>
      <w:r w:rsidR="00562BA9">
        <w:rPr>
          <w:b/>
          <w:lang w:val="fr-FR"/>
        </w:rPr>
        <w:t>96</w:t>
      </w:r>
      <w:r w:rsidR="00562BA9" w:rsidRPr="00F31699">
        <w:rPr>
          <w:b/>
          <w:lang w:val="fr-FR"/>
        </w:rPr>
        <w:tab/>
      </w:r>
      <w:r w:rsidR="00562BA9" w:rsidRPr="00F31699">
        <w:t xml:space="preserve">Pour le No ONU 2037, les emballages des cartouches à gaz mises au rebut transportées conformément à la disposition spéciale 327 doivent être correctement ventilés afin d’empêcher la formation d’atmosphères dangereuses et une </w:t>
      </w:r>
      <w:r w:rsidR="000D3E81">
        <w:t>augmentation</w:t>
      </w:r>
      <w:r w:rsidR="000D3E81" w:rsidRPr="00F31699">
        <w:t xml:space="preserve"> </w:t>
      </w:r>
      <w:r w:rsidR="00562BA9" w:rsidRPr="00F31699">
        <w:t xml:space="preserve">de </w:t>
      </w:r>
      <w:r w:rsidR="000D3E81">
        <w:t xml:space="preserve">la </w:t>
      </w:r>
      <w:r w:rsidR="00562BA9" w:rsidRPr="00F31699">
        <w:t>pression</w:t>
      </w:r>
      <w:r w:rsidR="00562BA9" w:rsidRPr="00F31699">
        <w:rPr>
          <w:lang w:val="fr-FR"/>
        </w:rPr>
        <w:t>. ».</w:t>
      </w:r>
    </w:p>
    <w:p w14:paraId="4DE2DC51" w14:textId="77777777" w:rsidR="00562BA9" w:rsidRDefault="00562BA9" w:rsidP="00562BA9">
      <w:pPr>
        <w:pStyle w:val="SingleTxtG"/>
        <w:rPr>
          <w:i/>
          <w:iCs/>
        </w:rPr>
      </w:pPr>
      <w:r w:rsidRPr="00EC732E">
        <w:rPr>
          <w:i/>
          <w:iCs/>
        </w:rPr>
        <w:t>(Document de référence :</w:t>
      </w:r>
      <w:r>
        <w:rPr>
          <w:i/>
          <w:iCs/>
        </w:rPr>
        <w:t>ST/SG/AC.10/C.3/2018/106)</w:t>
      </w:r>
    </w:p>
    <w:p w14:paraId="7191185F" w14:textId="50D834E8" w:rsidR="00A91CE0" w:rsidRDefault="00A91CE0" w:rsidP="00340F07">
      <w:pPr>
        <w:pStyle w:val="SingleTxtG"/>
        <w:spacing w:after="240"/>
        <w:rPr>
          <w:i/>
          <w:iCs/>
        </w:rPr>
      </w:pPr>
      <w:r>
        <w:t>4.1.4.1, P200 3) c)</w:t>
      </w:r>
      <w:r>
        <w:tab/>
      </w:r>
      <w:r w:rsidR="00BA7AB4">
        <w:t>À la première phrase, s</w:t>
      </w:r>
      <w:r>
        <w:t>upprimer « (coefficient de remplissage) ».</w:t>
      </w:r>
      <w:r>
        <w:tab/>
      </w:r>
      <w:r>
        <w:tab/>
      </w:r>
      <w:r w:rsidRPr="00EC732E">
        <w:rPr>
          <w:i/>
          <w:iCs/>
        </w:rPr>
        <w:t xml:space="preserve">(Document de référence : </w:t>
      </w:r>
      <w:r>
        <w:rPr>
          <w:i/>
          <w:iCs/>
        </w:rPr>
        <w:t>ST/SG/AC.10/C.3/2018/73</w:t>
      </w:r>
      <w:r w:rsidRPr="00EC732E">
        <w:rPr>
          <w:i/>
          <w:iCs/>
        </w:rPr>
        <w:t>)</w:t>
      </w:r>
    </w:p>
    <w:p w14:paraId="6660E294" w14:textId="11728412" w:rsidR="00FE0EB6" w:rsidRDefault="002207DC" w:rsidP="00F11D23">
      <w:pPr>
        <w:pStyle w:val="SingleTxtG"/>
        <w:tabs>
          <w:tab w:val="left" w:pos="2410"/>
        </w:tabs>
        <w:ind w:left="2410" w:hanging="1276"/>
        <w:rPr>
          <w:lang w:val="fr-FR"/>
        </w:rPr>
      </w:pPr>
      <w:r>
        <w:t>4.1.4.1</w:t>
      </w:r>
      <w:r w:rsidR="00A91CE0">
        <w:t>, P200</w:t>
      </w:r>
      <w:r>
        <w:tab/>
        <w:t xml:space="preserve">Dans le tableau 2, remplacer les valeurs </w:t>
      </w:r>
      <w:r>
        <w:rPr>
          <w:lang w:val="fr-FR"/>
        </w:rPr>
        <w:t>de la colonne « </w:t>
      </w:r>
      <w:r w:rsidRPr="00D300E0">
        <w:rPr>
          <w:lang w:val="fr-FR"/>
        </w:rPr>
        <w:t>CL</w:t>
      </w:r>
      <w:r w:rsidRPr="00D300E0">
        <w:rPr>
          <w:vertAlign w:val="subscript"/>
          <w:lang w:val="fr-FR"/>
        </w:rPr>
        <w:t>50</w:t>
      </w:r>
      <w:r w:rsidRPr="00D300E0">
        <w:rPr>
          <w:lang w:val="fr-FR"/>
        </w:rPr>
        <w:t xml:space="preserve"> (en ml/m</w:t>
      </w:r>
      <w:r w:rsidRPr="00CA799F">
        <w:rPr>
          <w:vertAlign w:val="superscript"/>
          <w:lang w:val="fr-FR"/>
        </w:rPr>
        <w:t>3</w:t>
      </w:r>
      <w:r w:rsidRPr="00D300E0">
        <w:rPr>
          <w:lang w:val="fr-FR"/>
        </w:rPr>
        <w:t>)</w:t>
      </w:r>
      <w:r>
        <w:rPr>
          <w:lang w:val="fr-FR"/>
        </w:rPr>
        <w:t> </w:t>
      </w:r>
      <w:r w:rsidRPr="00D300E0">
        <w:rPr>
          <w:lang w:val="fr-FR"/>
        </w:rPr>
        <w:t xml:space="preserve">» </w:t>
      </w:r>
      <w:r>
        <w:rPr>
          <w:lang w:val="fr-FR"/>
        </w:rPr>
        <w:t>comme suit </w:t>
      </w:r>
      <w:r w:rsidRPr="00D300E0">
        <w:rPr>
          <w:lang w:val="fr-FR"/>
        </w:rPr>
        <w:t>:</w:t>
      </w:r>
      <w:r>
        <w:rPr>
          <w:lang w:val="fr-FR"/>
        </w:rPr>
        <w:t xml:space="preserve"> </w:t>
      </w:r>
    </w:p>
    <w:p w14:paraId="2DE14187" w14:textId="71416D92" w:rsidR="00FE0EB6" w:rsidRPr="00F11D23" w:rsidRDefault="002207DC" w:rsidP="00F11D23">
      <w:pPr>
        <w:pStyle w:val="Bullet1G"/>
        <w:tabs>
          <w:tab w:val="clear" w:pos="1701"/>
          <w:tab w:val="num" w:pos="2694"/>
        </w:tabs>
        <w:ind w:left="2694" w:hanging="284"/>
      </w:pPr>
      <w:r>
        <w:rPr>
          <w:lang w:val="fr-FR"/>
        </w:rPr>
        <w:t>No ONU 1859, remplacer « 450 » par « 922 »</w:t>
      </w:r>
      <w:r w:rsidR="00FE0EB6">
        <w:rPr>
          <w:lang w:val="fr-FR"/>
        </w:rPr>
        <w:t>.</w:t>
      </w:r>
    </w:p>
    <w:p w14:paraId="359B91E3" w14:textId="76155B5E" w:rsidR="00FE0EB6" w:rsidRPr="00F11D23" w:rsidRDefault="002207DC" w:rsidP="00F11D23">
      <w:pPr>
        <w:pStyle w:val="Bullet1G"/>
        <w:tabs>
          <w:tab w:val="clear" w:pos="1701"/>
          <w:tab w:val="num" w:pos="2694"/>
        </w:tabs>
        <w:ind w:left="2694" w:hanging="284"/>
      </w:pPr>
      <w:r>
        <w:rPr>
          <w:lang w:val="fr-FR"/>
        </w:rPr>
        <w:t xml:space="preserve">No ONU 2188, remplacer « 20 » par « 178 ». </w:t>
      </w:r>
    </w:p>
    <w:p w14:paraId="2C3893FF" w14:textId="2C5F238E" w:rsidR="00FE0EB6" w:rsidRPr="00F11D23" w:rsidRDefault="002207DC" w:rsidP="00F11D23">
      <w:pPr>
        <w:pStyle w:val="Bullet1G"/>
        <w:tabs>
          <w:tab w:val="clear" w:pos="1701"/>
          <w:tab w:val="num" w:pos="2694"/>
        </w:tabs>
        <w:ind w:left="2694" w:hanging="284"/>
      </w:pPr>
      <w:r>
        <w:rPr>
          <w:lang w:val="fr-FR"/>
        </w:rPr>
        <w:t xml:space="preserve">No ONU « 2202 », remplacer « 2 » par « 51 ». </w:t>
      </w:r>
    </w:p>
    <w:p w14:paraId="11927202" w14:textId="58E3C28B" w:rsidR="00FE0EB6" w:rsidRPr="00F11D23" w:rsidRDefault="002207DC" w:rsidP="00F11D23">
      <w:pPr>
        <w:pStyle w:val="Bullet1G"/>
        <w:tabs>
          <w:tab w:val="clear" w:pos="1701"/>
          <w:tab w:val="num" w:pos="2694"/>
        </w:tabs>
        <w:ind w:left="2694" w:hanging="284"/>
      </w:pPr>
      <w:r>
        <w:rPr>
          <w:lang w:val="fr-FR"/>
        </w:rPr>
        <w:lastRenderedPageBreak/>
        <w:t xml:space="preserve">No ONU 2534, remplacer « 600 » par « 2810 ». </w:t>
      </w:r>
    </w:p>
    <w:p w14:paraId="3A2C7E6F" w14:textId="34AB4509" w:rsidR="002207DC" w:rsidRDefault="002207DC" w:rsidP="00F11D23">
      <w:pPr>
        <w:pStyle w:val="Bullet1G"/>
        <w:tabs>
          <w:tab w:val="clear" w:pos="1701"/>
          <w:tab w:val="num" w:pos="2694"/>
        </w:tabs>
        <w:ind w:left="2694" w:hanging="284"/>
      </w:pPr>
      <w:r>
        <w:rPr>
          <w:lang w:val="fr-FR"/>
        </w:rPr>
        <w:t>No ONU 2676, remplacer « 20 » par « 178 ».</w:t>
      </w:r>
    </w:p>
    <w:p w14:paraId="57FB3BA5" w14:textId="77777777" w:rsidR="002207DC" w:rsidRPr="00042F98" w:rsidRDefault="002207DC" w:rsidP="002207DC">
      <w:pPr>
        <w:pStyle w:val="SingleTxtG"/>
      </w:pPr>
      <w:r w:rsidRPr="00EC732E">
        <w:rPr>
          <w:i/>
          <w:iCs/>
        </w:rPr>
        <w:t>(Document de référence :</w:t>
      </w:r>
      <w:r>
        <w:rPr>
          <w:i/>
          <w:iCs/>
        </w:rPr>
        <w:t>ST/SG/AC.10/C.3/2018/66, tel que modifié)</w:t>
      </w:r>
    </w:p>
    <w:p w14:paraId="2F332D35" w14:textId="02854FD7" w:rsidR="00F30A6F" w:rsidRDefault="002207DC" w:rsidP="00F11D23">
      <w:pPr>
        <w:pStyle w:val="SingleTxtG"/>
        <w:tabs>
          <w:tab w:val="left" w:pos="2410"/>
        </w:tabs>
        <w:ind w:left="2410" w:hanging="1276"/>
      </w:pPr>
      <w:r>
        <w:t>4.1.4.1, P206</w:t>
      </w:r>
      <w:r>
        <w:tab/>
        <w:t>Dans le titre de la dernière ligne de l’instruction d’emballage, remplacer « Disposition spéciale » par « Dispositions spéciales </w:t>
      </w:r>
      <w:r w:rsidR="00832F3C">
        <w:t>d’emballage </w:t>
      </w:r>
      <w:r>
        <w:t>»</w:t>
      </w:r>
      <w:r w:rsidR="00F30A6F">
        <w:t>.</w:t>
      </w:r>
    </w:p>
    <w:p w14:paraId="5C2C022E" w14:textId="4E812285" w:rsidR="002207DC" w:rsidRDefault="00F30A6F" w:rsidP="00F11D23">
      <w:pPr>
        <w:pStyle w:val="SingleTxtG"/>
        <w:tabs>
          <w:tab w:val="left" w:pos="2410"/>
        </w:tabs>
        <w:ind w:left="2410" w:hanging="1276"/>
      </w:pPr>
      <w:r>
        <w:tab/>
        <w:t>A</w:t>
      </w:r>
      <w:r w:rsidR="002207DC">
        <w:t xml:space="preserve">jouter la nouvelle disposition spéciale </w:t>
      </w:r>
      <w:r w:rsidR="00CF5A95">
        <w:t xml:space="preserve">d’emballage </w:t>
      </w:r>
      <w:r w:rsidR="002207DC">
        <w:t xml:space="preserve">suivante : </w:t>
      </w:r>
    </w:p>
    <w:p w14:paraId="1F5C855D" w14:textId="0786C68A" w:rsidR="002207DC" w:rsidRDefault="002207DC" w:rsidP="00F11D23">
      <w:pPr>
        <w:pStyle w:val="SingleTxtG"/>
        <w:tabs>
          <w:tab w:val="left" w:pos="3119"/>
        </w:tabs>
        <w:ind w:left="2410"/>
      </w:pPr>
      <w:proofErr w:type="gramStart"/>
      <w:r w:rsidRPr="009C0DF4">
        <w:t>«</w:t>
      </w:r>
      <w:r w:rsidRPr="000A16B2">
        <w:rPr>
          <w:b/>
          <w:bCs/>
        </w:rPr>
        <w:t>PP</w:t>
      </w:r>
      <w:proofErr w:type="gramEnd"/>
      <w:r w:rsidRPr="000A16B2">
        <w:rPr>
          <w:b/>
          <w:bCs/>
        </w:rPr>
        <w:t>97</w:t>
      </w:r>
      <w:r>
        <w:tab/>
      </w:r>
      <w:r>
        <w:tab/>
      </w:r>
      <w:r w:rsidRPr="009C0DF4">
        <w:rPr>
          <w:lang w:val="fr-FR"/>
        </w:rPr>
        <w:t>Pour les agents d’extinction affectés au No</w:t>
      </w:r>
      <w:r w:rsidRPr="009C0DF4">
        <w:rPr>
          <w:vertAlign w:val="superscript"/>
          <w:lang w:val="fr-FR"/>
        </w:rPr>
        <w:t xml:space="preserve"> </w:t>
      </w:r>
      <w:r w:rsidRPr="009C0DF4">
        <w:rPr>
          <w:lang w:val="fr-FR"/>
        </w:rPr>
        <w:t xml:space="preserve">ONU 3500, la périodicité maximale des épreuves pour les contrôles périodiques </w:t>
      </w:r>
      <w:r w:rsidR="000D3E81">
        <w:rPr>
          <w:lang w:val="fr-FR"/>
        </w:rPr>
        <w:t>doit être</w:t>
      </w:r>
      <w:r w:rsidR="000D3E81" w:rsidRPr="009C0DF4">
        <w:rPr>
          <w:lang w:val="fr-FR"/>
        </w:rPr>
        <w:t xml:space="preserve"> </w:t>
      </w:r>
      <w:r w:rsidRPr="009C0DF4">
        <w:rPr>
          <w:lang w:val="fr-FR"/>
        </w:rPr>
        <w:t>de 10 ans. Ils peuvent être transportés dans des tubes d’une capacité maximale en eau de 450 </w:t>
      </w:r>
      <w:r w:rsidRPr="00ED75E1">
        <w:rPr>
          <w:i/>
          <w:iCs/>
          <w:lang w:val="fr-FR"/>
        </w:rPr>
        <w:t>l</w:t>
      </w:r>
      <w:r w:rsidRPr="009C0DF4">
        <w:rPr>
          <w:lang w:val="fr-FR"/>
        </w:rPr>
        <w:t>, conformément aux prescriptions</w:t>
      </w:r>
      <w:r>
        <w:rPr>
          <w:lang w:val="fr-FR"/>
        </w:rPr>
        <w:t xml:space="preserve"> applicables</w:t>
      </w:r>
      <w:r w:rsidR="00340F07">
        <w:rPr>
          <w:lang w:val="fr-FR"/>
        </w:rPr>
        <w:t xml:space="preserve"> du Chapitre </w:t>
      </w:r>
      <w:r w:rsidRPr="009C0DF4">
        <w:rPr>
          <w:lang w:val="fr-FR"/>
        </w:rPr>
        <w:t>6.2. ».</w:t>
      </w:r>
    </w:p>
    <w:p w14:paraId="3B7514C8" w14:textId="26F83F49" w:rsidR="002207DC" w:rsidRDefault="002207DC" w:rsidP="002207DC">
      <w:pPr>
        <w:pStyle w:val="SingleTxtG"/>
        <w:rPr>
          <w:i/>
          <w:iCs/>
        </w:rPr>
      </w:pPr>
      <w:r w:rsidRPr="00EC732E">
        <w:rPr>
          <w:i/>
          <w:iCs/>
        </w:rPr>
        <w:t>(Document de référence :</w:t>
      </w:r>
      <w:r>
        <w:rPr>
          <w:i/>
          <w:iCs/>
        </w:rPr>
        <w:t xml:space="preserve"> </w:t>
      </w:r>
      <w:r w:rsidR="000D3E81">
        <w:rPr>
          <w:i/>
          <w:iCs/>
        </w:rPr>
        <w:t xml:space="preserve">ST/SG/AC.10/C.3/2018/77 tel que modifié par le </w:t>
      </w:r>
      <w:r>
        <w:rPr>
          <w:i/>
          <w:iCs/>
        </w:rPr>
        <w:t>document informel INF.46, proposition 1)</w:t>
      </w:r>
    </w:p>
    <w:p w14:paraId="15AB07E3" w14:textId="2DAD0D3C" w:rsidR="002207DC" w:rsidRDefault="002207DC" w:rsidP="00F11D23">
      <w:pPr>
        <w:pStyle w:val="SingleTxtG"/>
        <w:tabs>
          <w:tab w:val="left" w:pos="2410"/>
        </w:tabs>
        <w:ind w:left="2410" w:hanging="1276"/>
      </w:pPr>
      <w:r>
        <w:t>4.1.4.1, P207</w:t>
      </w:r>
      <w:r>
        <w:tab/>
        <w:t xml:space="preserve">Dans la disposition spéciale </w:t>
      </w:r>
      <w:r w:rsidR="00A61DD7">
        <w:t xml:space="preserve">d’emballage </w:t>
      </w:r>
      <w:r>
        <w:t>PP87, remplacer « d’une atmosphère inflammable » par « d’atmosphères dangereuses ».</w:t>
      </w:r>
    </w:p>
    <w:p w14:paraId="5D5A5107" w14:textId="77777777" w:rsidR="002207DC" w:rsidRDefault="002207DC" w:rsidP="002207DC">
      <w:pPr>
        <w:pStyle w:val="SingleTxtG"/>
        <w:rPr>
          <w:i/>
          <w:iCs/>
        </w:rPr>
      </w:pPr>
      <w:r w:rsidRPr="00EC732E">
        <w:rPr>
          <w:i/>
          <w:iCs/>
        </w:rPr>
        <w:t>(Document de référence :</w:t>
      </w:r>
      <w:r>
        <w:rPr>
          <w:i/>
          <w:iCs/>
        </w:rPr>
        <w:t>ST/SG/AC.10/C.3/2018/106)</w:t>
      </w:r>
    </w:p>
    <w:p w14:paraId="6CE350E8" w14:textId="1B6A0EBB" w:rsidR="00E32D32" w:rsidRDefault="00E32D32" w:rsidP="00F11D23">
      <w:pPr>
        <w:pStyle w:val="SingleTxtG"/>
        <w:ind w:left="2410" w:hanging="1276"/>
      </w:pPr>
      <w:r>
        <w:t>4.1.4.1, P301</w:t>
      </w:r>
      <w:r w:rsidR="00F30A6F">
        <w:tab/>
      </w:r>
      <w:r w:rsidR="00D7672C">
        <w:t xml:space="preserve">À la dernière phrase des alinéas </w:t>
      </w:r>
      <w:r w:rsidR="00F30A6F">
        <w:t xml:space="preserve">1) et 2) </w:t>
      </w:r>
      <w:r>
        <w:t xml:space="preserve">remplacer « récipient » par « rétention primaire ». </w:t>
      </w:r>
    </w:p>
    <w:p w14:paraId="67A3CC8A" w14:textId="77777777" w:rsidR="00D117BD" w:rsidRDefault="00E32D32" w:rsidP="00E32D32">
      <w:pPr>
        <w:pStyle w:val="SingleTxtG"/>
        <w:rPr>
          <w:i/>
          <w:iCs/>
        </w:rPr>
      </w:pPr>
      <w:r w:rsidRPr="00EC732E">
        <w:rPr>
          <w:i/>
          <w:iCs/>
        </w:rPr>
        <w:t xml:space="preserve">(Document de référence : </w:t>
      </w:r>
      <w:r>
        <w:rPr>
          <w:i/>
          <w:iCs/>
        </w:rPr>
        <w:t>ST/SG/AC.10/C.3/2018/73</w:t>
      </w:r>
      <w:r w:rsidRPr="00EC732E">
        <w:rPr>
          <w:i/>
          <w:iCs/>
        </w:rPr>
        <w:t>)</w:t>
      </w:r>
    </w:p>
    <w:p w14:paraId="2D669947" w14:textId="60659E7A" w:rsidR="00D7672C" w:rsidRDefault="00F539F0" w:rsidP="00F11D23">
      <w:pPr>
        <w:pStyle w:val="SingleTxtG"/>
        <w:tabs>
          <w:tab w:val="left" w:pos="2552"/>
        </w:tabs>
        <w:ind w:left="2410" w:hanging="1276"/>
      </w:pPr>
      <w:r w:rsidRPr="00BD6319">
        <w:t>4.1.4.1, P400</w:t>
      </w:r>
      <w:r w:rsidRPr="00BD6319">
        <w:tab/>
      </w:r>
      <w:r w:rsidR="00D7672C">
        <w:t xml:space="preserve">Aux </w:t>
      </w:r>
      <w:r w:rsidRPr="00BD6319">
        <w:t>2)</w:t>
      </w:r>
      <w:r w:rsidR="000D3E81">
        <w:t xml:space="preserve"> et 3)</w:t>
      </w:r>
      <w:r w:rsidR="00D7672C">
        <w:t> :</w:t>
      </w:r>
    </w:p>
    <w:p w14:paraId="3E4AB2AA" w14:textId="7FCCCF56" w:rsidR="00F30A6F" w:rsidRDefault="00340F07" w:rsidP="00340F07">
      <w:pPr>
        <w:pStyle w:val="Bullet1G"/>
        <w:tabs>
          <w:tab w:val="clear" w:pos="1701"/>
        </w:tabs>
        <w:ind w:left="2694" w:hanging="284"/>
      </w:pPr>
      <w:r>
        <w:t>P</w:t>
      </w:r>
      <w:r w:rsidR="00F539F0">
        <w:t>remière phrase</w:t>
      </w:r>
      <w:r w:rsidR="00D7672C">
        <w:t> :</w:t>
      </w:r>
      <w:r w:rsidR="00F539F0">
        <w:t xml:space="preserve"> remplacer « d’un bouchon fileté avec joints » par « de bouchons avec joints ». </w:t>
      </w:r>
    </w:p>
    <w:p w14:paraId="11EAB881" w14:textId="73B69BE7" w:rsidR="00F539F0" w:rsidRDefault="00F539F0" w:rsidP="00340F07">
      <w:pPr>
        <w:pStyle w:val="Bullet1G"/>
        <w:tabs>
          <w:tab w:val="clear" w:pos="1701"/>
        </w:tabs>
        <w:ind w:left="2694" w:hanging="284"/>
        <w:rPr>
          <w:u w:val="single"/>
          <w:lang w:val="fr-FR" w:eastAsia="fr-FR"/>
        </w:rPr>
      </w:pPr>
      <w:r>
        <w:t>Après</w:t>
      </w:r>
      <w:r w:rsidRPr="00BD6319">
        <w:t xml:space="preserve"> la première phrase, insérer la nouvelle phrase suivante : « </w:t>
      </w:r>
      <w:r w:rsidRPr="0055727B">
        <w:rPr>
          <w:lang w:val="fr-FR" w:eastAsia="fr-FR"/>
        </w:rPr>
        <w:t>Les emballages intérieurs doivent être munis de bouchons filetés ou de fermetures bloquées par tout moyen physique empêchant leur dégagement ou leur relâchement en cas de choc ou de vibration au cours du transport. ».</w:t>
      </w:r>
    </w:p>
    <w:p w14:paraId="74B4F5B1" w14:textId="44D654CE" w:rsidR="00F539F0" w:rsidRPr="00BD6319" w:rsidRDefault="00F539F0" w:rsidP="00F539F0">
      <w:pPr>
        <w:pStyle w:val="SingleTxtG"/>
      </w:pPr>
      <w:r w:rsidRPr="00B77681">
        <w:rPr>
          <w:i/>
          <w:iCs/>
        </w:rPr>
        <w:t>(Document de référence :</w:t>
      </w:r>
      <w:r>
        <w:t xml:space="preserve"> </w:t>
      </w:r>
      <w:r w:rsidRPr="00BD6319">
        <w:rPr>
          <w:i/>
          <w:iCs/>
        </w:rPr>
        <w:t>ST/SG/AC.10/C.3/2018/76)</w:t>
      </w:r>
    </w:p>
    <w:p w14:paraId="14A6BEF6" w14:textId="353A89F5" w:rsidR="00FE0EB6" w:rsidRDefault="00F539F0" w:rsidP="00F11D23">
      <w:pPr>
        <w:pStyle w:val="SingleTxtG"/>
        <w:ind w:left="2410" w:hanging="1276"/>
      </w:pPr>
      <w:r w:rsidRPr="00BD6319">
        <w:t>4.1.4.1, P404</w:t>
      </w:r>
      <w:r w:rsidRPr="00BD6319">
        <w:tab/>
        <w:t xml:space="preserve">Dans le texte d’introduction, remplacer « </w:t>
      </w:r>
      <w:bookmarkStart w:id="1" w:name="_Hlk531165297"/>
      <w:r w:rsidRPr="00BD6319">
        <w:t>3391, 3393 et 3461</w:t>
      </w:r>
      <w:bookmarkEnd w:id="1"/>
      <w:r w:rsidRPr="00BD6319">
        <w:t xml:space="preserve"> » par « 3391 et 3393 ».</w:t>
      </w:r>
      <w:r>
        <w:t xml:space="preserve"> </w:t>
      </w:r>
    </w:p>
    <w:p w14:paraId="4E33CB99" w14:textId="77777777" w:rsidR="00F30A6F" w:rsidRDefault="00F539F0" w:rsidP="00F11D23">
      <w:pPr>
        <w:pStyle w:val="SingleTxtG"/>
        <w:ind w:left="2410"/>
      </w:pPr>
      <w:r>
        <w:t>Au 1)</w:t>
      </w:r>
      <w:r w:rsidRPr="00BD6319">
        <w:t>, sous «</w:t>
      </w:r>
      <w:r>
        <w:t> </w:t>
      </w:r>
      <w:r w:rsidRPr="00BD6319">
        <w:t>emballage</w:t>
      </w:r>
      <w:r w:rsidR="00F30A6F">
        <w:t>s</w:t>
      </w:r>
      <w:r w:rsidRPr="00BD6319">
        <w:t xml:space="preserve"> intérieurs »</w:t>
      </w:r>
      <w:r w:rsidR="00F30A6F">
        <w:t> :</w:t>
      </w:r>
    </w:p>
    <w:p w14:paraId="5BF8A4C7" w14:textId="472F79D0" w:rsidR="00FE0EB6" w:rsidRDefault="00D7672C" w:rsidP="00F11D23">
      <w:pPr>
        <w:pStyle w:val="Bullet1G"/>
        <w:tabs>
          <w:tab w:val="clear" w:pos="1701"/>
        </w:tabs>
        <w:ind w:left="2694" w:hanging="284"/>
      </w:pPr>
      <w:r>
        <w:t>Premier</w:t>
      </w:r>
      <w:r w:rsidRPr="00BD6319">
        <w:t xml:space="preserve"> </w:t>
      </w:r>
      <w:r>
        <w:t xml:space="preserve">paragraphe : </w:t>
      </w:r>
      <w:r w:rsidR="00F539F0" w:rsidRPr="00BD6319">
        <w:t xml:space="preserve">supprimer « et munis d’un bouchon fileté ». </w:t>
      </w:r>
    </w:p>
    <w:p w14:paraId="6CD65615" w14:textId="46EDCDFA" w:rsidR="00FE0EB6" w:rsidRDefault="00D7672C" w:rsidP="00F11D23">
      <w:pPr>
        <w:pStyle w:val="Bullet1G"/>
        <w:tabs>
          <w:tab w:val="clear" w:pos="1701"/>
        </w:tabs>
        <w:ind w:left="2694" w:hanging="284"/>
      </w:pPr>
      <w:r>
        <w:t xml:space="preserve">Deuxième paragraphe : </w:t>
      </w:r>
      <w:r w:rsidR="00F539F0" w:rsidRPr="00BD6319">
        <w:t>supprimer «</w:t>
      </w:r>
      <w:r>
        <w:t> </w:t>
      </w:r>
      <w:r w:rsidR="00F539F0" w:rsidRPr="00BD6319">
        <w:t>filetés</w:t>
      </w:r>
      <w:r w:rsidR="00FE0EB6">
        <w:t> </w:t>
      </w:r>
      <w:r w:rsidR="00F539F0" w:rsidRPr="00BD6319">
        <w:t xml:space="preserve">». </w:t>
      </w:r>
    </w:p>
    <w:p w14:paraId="1992004A" w14:textId="70FEE09B" w:rsidR="004559DF" w:rsidRPr="00F11D23" w:rsidRDefault="00D7672C" w:rsidP="00F11D23">
      <w:pPr>
        <w:pStyle w:val="Bullet1G"/>
        <w:tabs>
          <w:tab w:val="clear" w:pos="1701"/>
        </w:tabs>
        <w:ind w:left="2694" w:hanging="284"/>
        <w:rPr>
          <w:lang w:val="fr-FR" w:eastAsia="fr-FR"/>
        </w:rPr>
      </w:pPr>
      <w:r>
        <w:t>A</w:t>
      </w:r>
      <w:r w:rsidR="00F539F0" w:rsidRPr="00BD6319">
        <w:t xml:space="preserve">jouter </w:t>
      </w:r>
      <w:r w:rsidR="00F539F0">
        <w:t xml:space="preserve">le nouveau </w:t>
      </w:r>
      <w:r>
        <w:t xml:space="preserve">troisième </w:t>
      </w:r>
      <w:r w:rsidR="00F539F0">
        <w:t>paragraphe suivant</w:t>
      </w:r>
      <w:r w:rsidR="00F539F0" w:rsidRPr="00BD6319">
        <w:t xml:space="preserve"> </w:t>
      </w:r>
      <w:r>
        <w:t>a</w:t>
      </w:r>
      <w:r w:rsidRPr="00BD6319">
        <w:t xml:space="preserve">vant la dernière phrase </w:t>
      </w:r>
      <w:r>
        <w:t>(« La masse nette maximale…125 kg »</w:t>
      </w:r>
      <w:proofErr w:type="gramStart"/>
      <w:r w:rsidRPr="00BD6319">
        <w:t>)</w:t>
      </w:r>
      <w:r w:rsidR="00F539F0" w:rsidRPr="00BD6319">
        <w:t>:</w:t>
      </w:r>
      <w:proofErr w:type="gramEnd"/>
      <w:r w:rsidR="00F539F0" w:rsidRPr="00BD6319">
        <w:t xml:space="preserve"> </w:t>
      </w:r>
    </w:p>
    <w:p w14:paraId="75B16421" w14:textId="13D6268F" w:rsidR="00FE0EB6" w:rsidRDefault="00F539F0" w:rsidP="00F11D23">
      <w:pPr>
        <w:pStyle w:val="Bullet1G"/>
        <w:numPr>
          <w:ilvl w:val="0"/>
          <w:numId w:val="0"/>
        </w:numPr>
        <w:ind w:left="2694"/>
        <w:rPr>
          <w:lang w:val="fr-FR" w:eastAsia="fr-FR"/>
        </w:rPr>
      </w:pPr>
      <w:r w:rsidRPr="00BD6319">
        <w:t xml:space="preserve">« </w:t>
      </w:r>
      <w:r w:rsidRPr="00B34CFD">
        <w:rPr>
          <w:lang w:val="fr-FR" w:eastAsia="fr-FR"/>
        </w:rPr>
        <w:t>Les emballages intérieurs doivent être munis de bouchons filetés ou de fermetures bloquées par tout moyen physique empêchant leur dégagement ou leur relâchement en cas de choc ou de vibration au cours du transport. »</w:t>
      </w:r>
      <w:r>
        <w:rPr>
          <w:lang w:val="fr-FR" w:eastAsia="fr-FR"/>
        </w:rPr>
        <w:t xml:space="preserve">. </w:t>
      </w:r>
    </w:p>
    <w:p w14:paraId="315B339C" w14:textId="59B9F87A" w:rsidR="00F539F0" w:rsidRDefault="00F539F0" w:rsidP="00F11D23">
      <w:pPr>
        <w:pStyle w:val="SingleTxtG"/>
        <w:ind w:left="2410"/>
        <w:rPr>
          <w:lang w:val="fr-FR" w:eastAsia="fr-FR"/>
        </w:rPr>
      </w:pPr>
      <w:r w:rsidRPr="004559DF">
        <w:rPr>
          <w:lang w:val="fr-FR" w:eastAsia="fr-FR"/>
        </w:rPr>
        <w:t xml:space="preserve">Au 2), </w:t>
      </w:r>
      <w:r w:rsidR="004559DF" w:rsidRPr="00F11D23">
        <w:rPr>
          <w:lang w:val="fr-FR" w:eastAsia="fr-FR"/>
        </w:rPr>
        <w:t xml:space="preserve">insérer </w:t>
      </w:r>
      <w:r w:rsidRPr="004559DF">
        <w:rPr>
          <w:lang w:val="fr-FR" w:eastAsia="fr-FR"/>
        </w:rPr>
        <w:t>« 1B2, »</w:t>
      </w:r>
      <w:r w:rsidR="004559DF" w:rsidRPr="00F11D23">
        <w:rPr>
          <w:lang w:val="fr-FR" w:eastAsia="fr-FR"/>
        </w:rPr>
        <w:t xml:space="preserve"> entre </w:t>
      </w:r>
      <w:bookmarkStart w:id="2" w:name="_Hlk532910672"/>
      <w:r w:rsidR="004559DF" w:rsidRPr="004559DF">
        <w:rPr>
          <w:lang w:val="fr-FR" w:eastAsia="fr-FR"/>
        </w:rPr>
        <w:t>«</w:t>
      </w:r>
      <w:r w:rsidR="004559DF" w:rsidRPr="004559DF">
        <w:t>, 1B1 » et «, 1N1 ».</w:t>
      </w:r>
      <w:bookmarkEnd w:id="2"/>
    </w:p>
    <w:p w14:paraId="12D7B7A0" w14:textId="77777777" w:rsidR="00F539F0" w:rsidRPr="00B34CFD" w:rsidRDefault="00F539F0" w:rsidP="00F11D23">
      <w:pPr>
        <w:pStyle w:val="SingleTxtG"/>
        <w:ind w:left="2410" w:hanging="1276"/>
        <w:rPr>
          <w:lang w:val="fr-FR"/>
        </w:rPr>
      </w:pPr>
      <w:r w:rsidRPr="00B77681">
        <w:rPr>
          <w:i/>
          <w:iCs/>
        </w:rPr>
        <w:t>(Document de référence :</w:t>
      </w:r>
      <w:r>
        <w:t xml:space="preserve"> </w:t>
      </w:r>
      <w:r w:rsidRPr="00BD6319">
        <w:rPr>
          <w:i/>
          <w:iCs/>
        </w:rPr>
        <w:t>ST/SG/AC.10/C.3/2018/76)</w:t>
      </w:r>
    </w:p>
    <w:p w14:paraId="78AC2154" w14:textId="4E7E3CDB" w:rsidR="00FE0EB6" w:rsidRDefault="006C390F" w:rsidP="00F11D23">
      <w:pPr>
        <w:pStyle w:val="SingleTxtG"/>
        <w:ind w:left="2410" w:hanging="1276"/>
      </w:pPr>
      <w:r>
        <w:lastRenderedPageBreak/>
        <w:t>4.1.4.3, LP200</w:t>
      </w:r>
      <w:r>
        <w:tab/>
        <w:t xml:space="preserve">Dans le texte d’introduction, remplacer « au No ONU 1950 » par « aux Nos ONU 1950 et 2037. ». </w:t>
      </w:r>
    </w:p>
    <w:p w14:paraId="488160CD" w14:textId="1328D0FC" w:rsidR="00DC0B05" w:rsidRDefault="006C390F" w:rsidP="00F11D23">
      <w:pPr>
        <w:pStyle w:val="SingleTxtG"/>
        <w:ind w:left="2410"/>
      </w:pPr>
      <w:r>
        <w:t xml:space="preserve">Au paragraphe suivant, </w:t>
      </w:r>
      <w:r w:rsidR="004559DF">
        <w:t>remplacer</w:t>
      </w:r>
      <w:r>
        <w:t xml:space="preserve"> « </w:t>
      </w:r>
      <w:r w:rsidR="004559DF">
        <w:t xml:space="preserve">sont autorisés </w:t>
      </w:r>
      <w:r>
        <w:t xml:space="preserve">pour les aérosols » </w:t>
      </w:r>
      <w:r w:rsidR="004559DF">
        <w:t xml:space="preserve">par </w:t>
      </w:r>
      <w:r>
        <w:t>«</w:t>
      </w:r>
      <w:r w:rsidR="004559DF">
        <w:t> sont autorisés pour les aérosols et les cartouches à gaz ».</w:t>
      </w:r>
    </w:p>
    <w:p w14:paraId="7E879A29" w14:textId="7D65E14E" w:rsidR="00FE0EB6" w:rsidRDefault="006C390F" w:rsidP="00F11D23">
      <w:pPr>
        <w:pStyle w:val="SingleTxtG"/>
        <w:ind w:left="2410"/>
      </w:pPr>
      <w:r>
        <w:t xml:space="preserve">Dans la disposition spéciale d’emballage L2, après « tout mouvement dangereux » supprimer « des aérosols ». </w:t>
      </w:r>
    </w:p>
    <w:p w14:paraId="33320078" w14:textId="5BF183E9" w:rsidR="006C390F" w:rsidRDefault="006C390F" w:rsidP="00F11D23">
      <w:pPr>
        <w:pStyle w:val="SingleTxtG"/>
        <w:ind w:left="2410"/>
      </w:pPr>
      <w:r>
        <w:t xml:space="preserve">Modifier la dernière phrase pour lire comme suit : </w:t>
      </w:r>
      <w:r w:rsidRPr="00DE3258">
        <w:t>« Pour les aérosols et les cartouches à gaz mis au rebut, transportés conformément à la disposition spéciale 327,</w:t>
      </w:r>
      <w:r w:rsidRPr="009B0F44">
        <w:t xml:space="preserve"> les grands emballages</w:t>
      </w:r>
      <w:r w:rsidRPr="009D5777">
        <w:t xml:space="preserve"> doivent être correctement ventilés afin d</w:t>
      </w:r>
      <w:r>
        <w:t>’</w:t>
      </w:r>
      <w:r w:rsidRPr="009D5777">
        <w:t>empêcher la formation d</w:t>
      </w:r>
      <w:r>
        <w:t>’</w:t>
      </w:r>
      <w:r w:rsidRPr="009D5777">
        <w:t>atmosphère</w:t>
      </w:r>
      <w:r w:rsidRPr="00DE3258">
        <w:t>s</w:t>
      </w:r>
      <w:r w:rsidRPr="009D5777">
        <w:t xml:space="preserve"> </w:t>
      </w:r>
      <w:r w:rsidRPr="00DE3258">
        <w:t>dangereuses</w:t>
      </w:r>
      <w:r w:rsidRPr="009D5777">
        <w:t xml:space="preserve"> et une </w:t>
      </w:r>
      <w:r w:rsidR="004559DF">
        <w:t xml:space="preserve">augmentation </w:t>
      </w:r>
      <w:r w:rsidRPr="009D5777">
        <w:t xml:space="preserve">de </w:t>
      </w:r>
      <w:r w:rsidR="004559DF">
        <w:t xml:space="preserve">la </w:t>
      </w:r>
      <w:r w:rsidRPr="009D5777">
        <w:t>pression</w:t>
      </w:r>
      <w:r w:rsidRPr="009D5777">
        <w:rPr>
          <w:lang w:val="fr-FR"/>
        </w:rPr>
        <w:t>.</w:t>
      </w:r>
      <w:r>
        <w:rPr>
          <w:lang w:val="fr-FR"/>
        </w:rPr>
        <w:t xml:space="preserve"> ». </w:t>
      </w:r>
    </w:p>
    <w:p w14:paraId="2048D2E3" w14:textId="77777777" w:rsidR="006C390F" w:rsidRDefault="006C390F" w:rsidP="006C390F">
      <w:pPr>
        <w:pStyle w:val="SingleTxtG"/>
        <w:rPr>
          <w:i/>
          <w:iCs/>
        </w:rPr>
      </w:pPr>
      <w:r w:rsidRPr="00EC732E">
        <w:rPr>
          <w:i/>
          <w:iCs/>
        </w:rPr>
        <w:t>(Document de référence :</w:t>
      </w:r>
      <w:r>
        <w:rPr>
          <w:i/>
          <w:iCs/>
        </w:rPr>
        <w:t>ST/SG/AC.10/C.3/2018/106)</w:t>
      </w:r>
    </w:p>
    <w:p w14:paraId="24CF1965" w14:textId="3EB4D3E3" w:rsidR="006C390F" w:rsidRPr="005C3DD5" w:rsidRDefault="006C390F" w:rsidP="00F11D23">
      <w:pPr>
        <w:pStyle w:val="SingleTxtG"/>
        <w:ind w:left="2410" w:hanging="1276"/>
        <w:rPr>
          <w:lang w:val="fr-FR"/>
        </w:rPr>
      </w:pPr>
      <w:r>
        <w:t>4.1.6.1.8</w:t>
      </w:r>
      <w:r>
        <w:tab/>
        <w:t>A</w:t>
      </w:r>
      <w:r>
        <w:rPr>
          <w:lang w:val="fr-FR"/>
        </w:rPr>
        <w:t>près le paragraphe « Dans le cas de récipients à pression... l’annexe A de la norme ISO</w:t>
      </w:r>
      <w:r w:rsidR="009716F2">
        <w:rPr>
          <w:lang w:val="fr-FR"/>
        </w:rPr>
        <w:t> </w:t>
      </w:r>
      <w:proofErr w:type="gramStart"/>
      <w:r>
        <w:rPr>
          <w:lang w:val="fr-FR"/>
        </w:rPr>
        <w:t>10297:</w:t>
      </w:r>
      <w:proofErr w:type="gramEnd"/>
      <w:r>
        <w:rPr>
          <w:lang w:val="fr-FR"/>
        </w:rPr>
        <w:t xml:space="preserve">2014 doivent être respectées », </w:t>
      </w:r>
      <w:r w:rsidR="004559DF">
        <w:rPr>
          <w:lang w:val="fr-FR"/>
        </w:rPr>
        <w:t xml:space="preserve">insérer </w:t>
      </w:r>
      <w:r>
        <w:rPr>
          <w:lang w:val="fr-FR"/>
        </w:rPr>
        <w:t xml:space="preserve">le nouveau paragraphe suivant : </w:t>
      </w:r>
      <w:r w:rsidRPr="005C3DD5">
        <w:rPr>
          <w:lang w:val="fr-FR"/>
        </w:rPr>
        <w:t>« </w:t>
      </w:r>
      <w:r w:rsidRPr="005C3DD5">
        <w:rPr>
          <w:color w:val="000000"/>
        </w:rPr>
        <w:t>Pour les récipients à pression munis de dispositifs à fermeture automatique à protection intégrée, les prescriptions de l'annexe A de la norme ISO</w:t>
      </w:r>
      <w:r w:rsidR="009716F2">
        <w:rPr>
          <w:color w:val="000000"/>
        </w:rPr>
        <w:t> </w:t>
      </w:r>
      <w:r w:rsidRPr="005C3DD5">
        <w:rPr>
          <w:color w:val="000000"/>
        </w:rPr>
        <w:t>17879:2017 doivent être respectées</w:t>
      </w:r>
      <w:r w:rsidRPr="005C3DD5">
        <w:rPr>
          <w:lang w:val="fr-FR"/>
        </w:rPr>
        <w:t>. ».</w:t>
      </w:r>
    </w:p>
    <w:p w14:paraId="380E03BF" w14:textId="77777777" w:rsidR="006C390F" w:rsidRPr="003E6BA4" w:rsidRDefault="006C390F" w:rsidP="006C390F">
      <w:pPr>
        <w:pStyle w:val="SingleTxtG"/>
        <w:rPr>
          <w:i/>
          <w:iCs/>
        </w:rPr>
      </w:pPr>
      <w:r w:rsidRPr="00EC732E">
        <w:rPr>
          <w:i/>
          <w:iCs/>
        </w:rPr>
        <w:t>(Document de référence :</w:t>
      </w:r>
      <w:r>
        <w:rPr>
          <w:i/>
          <w:iCs/>
        </w:rPr>
        <w:t xml:space="preserve"> document informel INF.39)</w:t>
      </w:r>
    </w:p>
    <w:p w14:paraId="0CB277E1" w14:textId="77777777" w:rsidR="00E00A9A" w:rsidRDefault="00E00A9A" w:rsidP="00E32D32">
      <w:pPr>
        <w:pStyle w:val="H1G"/>
      </w:pPr>
      <w:r>
        <w:tab/>
      </w:r>
      <w:r>
        <w:tab/>
        <w:t>Chapitre 5.2</w:t>
      </w:r>
    </w:p>
    <w:p w14:paraId="35AD9CC6" w14:textId="03D5E3E5" w:rsidR="00483D0C" w:rsidRDefault="00483D0C" w:rsidP="00F11D23">
      <w:pPr>
        <w:pStyle w:val="SingleTxtG"/>
        <w:ind w:left="2268" w:hanging="1134"/>
      </w:pPr>
      <w:r>
        <w:t>5.2.1.1</w:t>
      </w:r>
      <w:r>
        <w:tab/>
      </w:r>
      <w:r w:rsidR="004559DF">
        <w:t xml:space="preserve">Modifier la fin de </w:t>
      </w:r>
      <w:r>
        <w:t>la deuxième phrase</w:t>
      </w:r>
      <w:r w:rsidR="004559DF">
        <w:t xml:space="preserve"> pour lire comme suit : les bouteilles d’une contenance en eau ne dépassant pas 60 </w:t>
      </w:r>
      <w:r w:rsidR="004559DF" w:rsidRPr="00F11D23">
        <w:rPr>
          <w:i/>
          <w:iCs/>
        </w:rPr>
        <w:t>l</w:t>
      </w:r>
      <w:r w:rsidR="004559DF">
        <w:t xml:space="preserve">, où ils doivent mesurer au moins 6 mm de hauteur </w:t>
      </w:r>
      <w:r>
        <w:t xml:space="preserve">ainsi que sur les emballages d’une capacité ne dépassant pas 5 </w:t>
      </w:r>
      <w:r w:rsidRPr="00384FD3">
        <w:rPr>
          <w:i/>
          <w:iCs/>
        </w:rPr>
        <w:t>l</w:t>
      </w:r>
      <w:r>
        <w:t xml:space="preserve"> ou d’une masse nette ne dépassant pas 5 kg</w:t>
      </w:r>
      <w:r w:rsidR="00DF163D">
        <w:t>, où ils doivent avoir des dimensions appropriées.</w:t>
      </w:r>
      <w:r>
        <w:t xml:space="preserve"> ».</w:t>
      </w:r>
      <w:r>
        <w:tab/>
      </w:r>
    </w:p>
    <w:p w14:paraId="60642DF2" w14:textId="77777777" w:rsidR="00483D0C" w:rsidRPr="00483D0C" w:rsidRDefault="00483D0C" w:rsidP="00483D0C">
      <w:pPr>
        <w:pStyle w:val="SingleTxtG"/>
        <w:rPr>
          <w:i/>
          <w:iCs/>
        </w:rPr>
      </w:pPr>
      <w:r w:rsidRPr="00EC732E">
        <w:rPr>
          <w:i/>
          <w:iCs/>
        </w:rPr>
        <w:t xml:space="preserve">(Document de référence : document informel INF. </w:t>
      </w:r>
      <w:r>
        <w:rPr>
          <w:i/>
          <w:iCs/>
        </w:rPr>
        <w:t>38</w:t>
      </w:r>
      <w:r w:rsidRPr="00EC732E">
        <w:rPr>
          <w:i/>
          <w:iCs/>
        </w:rPr>
        <w:t>)</w:t>
      </w:r>
    </w:p>
    <w:p w14:paraId="792CAB24" w14:textId="5CBF2A4E" w:rsidR="00197E7E" w:rsidRDefault="00E00A9A" w:rsidP="00F11D23">
      <w:pPr>
        <w:pStyle w:val="SingleTxtG"/>
        <w:ind w:left="2268" w:hanging="1134"/>
      </w:pPr>
      <w:r>
        <w:t>5.2.1.9.2</w:t>
      </w:r>
      <w:r w:rsidRPr="004B18DE">
        <w:tab/>
      </w:r>
      <w:r w:rsidR="00DF163D">
        <w:t>Dans la figure 5.2.5, remplacer « 120 mm » par « 100 mm » et « 110 mm » par « 100 mm ».</w:t>
      </w:r>
    </w:p>
    <w:p w14:paraId="04C7F44A" w14:textId="7FC8B13C" w:rsidR="00197E7E" w:rsidRDefault="00197E7E" w:rsidP="00F11D23">
      <w:pPr>
        <w:pStyle w:val="SingleTxtG"/>
        <w:ind w:left="2268"/>
      </w:pPr>
      <w:r>
        <w:t>Au</w:t>
      </w:r>
      <w:r w:rsidR="00E00A9A">
        <w:t xml:space="preserve"> dernier paragraphe :</w:t>
      </w:r>
    </w:p>
    <w:p w14:paraId="1976E6D5" w14:textId="3DC97C9D" w:rsidR="00DC0B05" w:rsidRPr="00197E7E" w:rsidRDefault="00197E7E" w:rsidP="00F11D23">
      <w:pPr>
        <w:pStyle w:val="Bullet1G"/>
        <w:tabs>
          <w:tab w:val="clear" w:pos="1701"/>
        </w:tabs>
        <w:ind w:left="2552" w:hanging="284"/>
      </w:pPr>
      <w:r w:rsidRPr="00197E7E">
        <w:t>Première phrase : Remplacer « d’un rectangle » par « d’un rectangle ou d’un carré »</w:t>
      </w:r>
      <w:r w:rsidR="00340F07">
        <w:t>.</w:t>
      </w:r>
    </w:p>
    <w:p w14:paraId="31C7D683" w14:textId="2439C3BF" w:rsidR="00197E7E" w:rsidRPr="00F11D23" w:rsidRDefault="00197E7E" w:rsidP="00F11D23">
      <w:pPr>
        <w:pStyle w:val="Bullet1G"/>
        <w:tabs>
          <w:tab w:val="clear" w:pos="1701"/>
        </w:tabs>
        <w:ind w:left="2552" w:hanging="284"/>
      </w:pPr>
      <w:r w:rsidRPr="00F11D23">
        <w:t>D</w:t>
      </w:r>
      <w:r w:rsidR="00E00A9A" w:rsidRPr="00197E7E">
        <w:t>euxième phrase</w:t>
      </w:r>
      <w:r w:rsidRPr="00F11D23">
        <w:t> :</w:t>
      </w:r>
      <w:r w:rsidR="00E00A9A" w:rsidRPr="00197E7E">
        <w:t xml:space="preserve"> remplacer « 120 mm de largeur </w:t>
      </w:r>
      <w:r w:rsidRPr="00F11D23">
        <w:t>×</w:t>
      </w:r>
      <w:r w:rsidR="00E00A9A" w:rsidRPr="00197E7E">
        <w:t xml:space="preserve"> 110 mm de hauteur » par « 100 mm de largeur </w:t>
      </w:r>
      <w:r w:rsidRPr="00F11D23">
        <w:t>×</w:t>
      </w:r>
      <w:r w:rsidR="00E00A9A" w:rsidRPr="00197E7E">
        <w:t xml:space="preserve"> 100 mm de hauteur ». </w:t>
      </w:r>
    </w:p>
    <w:p w14:paraId="182F2242" w14:textId="5FA58C76" w:rsidR="00E00A9A" w:rsidRPr="00197E7E" w:rsidRDefault="00197E7E" w:rsidP="00F11D23">
      <w:pPr>
        <w:pStyle w:val="Bullet1G"/>
        <w:tabs>
          <w:tab w:val="clear" w:pos="1701"/>
        </w:tabs>
        <w:ind w:left="2552" w:hanging="284"/>
      </w:pPr>
      <w:r w:rsidRPr="00F11D23">
        <w:t>Q</w:t>
      </w:r>
      <w:r w:rsidR="00E00A9A" w:rsidRPr="00197E7E">
        <w:t>uatrième phrase</w:t>
      </w:r>
      <w:r w:rsidRPr="00F11D23">
        <w:t> :</w:t>
      </w:r>
      <w:r w:rsidR="00E00A9A" w:rsidRPr="00197E7E">
        <w:t xml:space="preserve"> supprimer « /l’épaisseur »</w:t>
      </w:r>
      <w:r w:rsidRPr="00F11D23">
        <w:t xml:space="preserve"> </w:t>
      </w:r>
      <w:r w:rsidR="00E00A9A" w:rsidRPr="00197E7E">
        <w:t xml:space="preserve">et remplacer « 105 mm de largeur </w:t>
      </w:r>
      <w:r w:rsidRPr="00F11D23">
        <w:t>×</w:t>
      </w:r>
      <w:r w:rsidR="00E00A9A" w:rsidRPr="00197E7E">
        <w:t xml:space="preserve"> 74 mm de hauteur » par « 100 mm de largeur </w:t>
      </w:r>
      <w:r w:rsidRPr="00F11D23">
        <w:t>×</w:t>
      </w:r>
      <w:r w:rsidR="00E00A9A" w:rsidRPr="00197E7E">
        <w:t xml:space="preserve"> 70 mm de hauteur ».</w:t>
      </w:r>
    </w:p>
    <w:p w14:paraId="63420B74" w14:textId="6D0A82E6" w:rsidR="00E00A9A" w:rsidRDefault="00E00A9A" w:rsidP="00E00A9A">
      <w:pPr>
        <w:pStyle w:val="SingleTxtG"/>
      </w:pPr>
      <w:r w:rsidRPr="00405EAD">
        <w:rPr>
          <w:i/>
          <w:iCs/>
        </w:rPr>
        <w:t xml:space="preserve">(Document de référence : </w:t>
      </w:r>
      <w:r w:rsidR="00197E7E">
        <w:rPr>
          <w:i/>
          <w:iCs/>
        </w:rPr>
        <w:t xml:space="preserve">ST/SG/AC.10/C.3/2018/115 tel que modifié par le </w:t>
      </w:r>
      <w:r w:rsidRPr="00405EAD">
        <w:rPr>
          <w:i/>
          <w:iCs/>
        </w:rPr>
        <w:t>document informel INF.55)</w:t>
      </w:r>
    </w:p>
    <w:p w14:paraId="77BE424D" w14:textId="77777777" w:rsidR="00F539F0" w:rsidRPr="00667036" w:rsidRDefault="00F539F0" w:rsidP="00F539F0">
      <w:pPr>
        <w:pStyle w:val="H1G"/>
        <w:rPr>
          <w:lang w:val="fr-FR"/>
        </w:rPr>
      </w:pPr>
      <w:r>
        <w:rPr>
          <w:lang w:val="fr-FR"/>
        </w:rPr>
        <w:tab/>
      </w:r>
      <w:r>
        <w:rPr>
          <w:lang w:val="fr-FR"/>
        </w:rPr>
        <w:tab/>
      </w:r>
      <w:r w:rsidRPr="00667036">
        <w:rPr>
          <w:lang w:val="fr-FR"/>
        </w:rPr>
        <w:t>Chapitre 5.4</w:t>
      </w:r>
    </w:p>
    <w:p w14:paraId="59027C3B" w14:textId="77777777" w:rsidR="00F539F0" w:rsidRDefault="00F539F0" w:rsidP="00F539F0">
      <w:pPr>
        <w:pStyle w:val="SingleTxtG"/>
      </w:pPr>
      <w:r>
        <w:t>5.4.1.5.1</w:t>
      </w:r>
      <w:r>
        <w:tab/>
        <w:t>Modifier la première phrase pour lire comme suit :</w:t>
      </w:r>
    </w:p>
    <w:p w14:paraId="4F64D1CD" w14:textId="77777777" w:rsidR="00F539F0" w:rsidRDefault="00F539F0" w:rsidP="00F11D23">
      <w:pPr>
        <w:pStyle w:val="SingleTxtG"/>
        <w:ind w:left="2268"/>
      </w:pPr>
      <w:r w:rsidRPr="00642A5F">
        <w:t>«</w:t>
      </w:r>
      <w:r>
        <w:t xml:space="preserve"> </w:t>
      </w:r>
      <w:r w:rsidRPr="00642A5F">
        <w:t xml:space="preserve">Sauf pour les emballages vides non nettoyés, la quantité totale de marchandises dangereuses à laquelle s'applique la description (volume ou </w:t>
      </w:r>
      <w:r w:rsidRPr="00642A5F">
        <w:lastRenderedPageBreak/>
        <w:t>masse, selon le cas) doit être indiquée pour chaque marchandise dangereuse ayant une désignation officielle de transport, un numéro ONU, ou un groupe d'emballage différent.</w:t>
      </w:r>
      <w:r>
        <w:t xml:space="preserve"> </w:t>
      </w:r>
      <w:r w:rsidRPr="00642A5F">
        <w:t>».</w:t>
      </w:r>
    </w:p>
    <w:p w14:paraId="69D194AA" w14:textId="77777777" w:rsidR="00F539F0" w:rsidRPr="00BD6319" w:rsidRDefault="00F539F0" w:rsidP="00F539F0">
      <w:pPr>
        <w:pStyle w:val="SingleTxtG"/>
      </w:pPr>
      <w:r w:rsidRPr="00B77681">
        <w:rPr>
          <w:i/>
          <w:iCs/>
        </w:rPr>
        <w:t>(Document de référence :</w:t>
      </w:r>
      <w:r>
        <w:t xml:space="preserve"> </w:t>
      </w:r>
      <w:r w:rsidRPr="00BD6319">
        <w:rPr>
          <w:i/>
          <w:iCs/>
        </w:rPr>
        <w:t>ST/SG/AC.10/C.3/2018/69)</w:t>
      </w:r>
      <w:r w:rsidRPr="00BD6319">
        <w:tab/>
      </w:r>
    </w:p>
    <w:p w14:paraId="28412CE1" w14:textId="77777777" w:rsidR="00E00A9A" w:rsidRPr="00B857E2" w:rsidRDefault="00E00A9A" w:rsidP="00340F07">
      <w:pPr>
        <w:pStyle w:val="H1G"/>
        <w:spacing w:before="240"/>
      </w:pPr>
      <w:r>
        <w:tab/>
      </w:r>
      <w:r>
        <w:tab/>
        <w:t>Chapitre</w:t>
      </w:r>
      <w:r w:rsidRPr="00B857E2">
        <w:t xml:space="preserve"> 5.5</w:t>
      </w:r>
    </w:p>
    <w:p w14:paraId="67637586" w14:textId="474CB14F" w:rsidR="00E00A9A" w:rsidRPr="00B857E2" w:rsidRDefault="00E00A9A" w:rsidP="00F11D23">
      <w:pPr>
        <w:pStyle w:val="SingleTxtG"/>
        <w:tabs>
          <w:tab w:val="left" w:pos="2268"/>
        </w:tabs>
      </w:pPr>
      <w:r w:rsidRPr="00B857E2">
        <w:t>5.5.4</w:t>
      </w:r>
      <w:r w:rsidRPr="00B857E2">
        <w:tab/>
      </w:r>
      <w:r>
        <w:t xml:space="preserve">Ajouter </w:t>
      </w:r>
      <w:r w:rsidR="009716F2">
        <w:t>une nouvelle section</w:t>
      </w:r>
      <w:r>
        <w:t xml:space="preserve"> </w:t>
      </w:r>
      <w:r w:rsidRPr="00B857E2">
        <w:t xml:space="preserve">5.5.4 </w:t>
      </w:r>
      <w:r>
        <w:t xml:space="preserve">pour lire comme suit : </w:t>
      </w:r>
    </w:p>
    <w:p w14:paraId="6DA081F3" w14:textId="4462BCB9" w:rsidR="00E00A9A" w:rsidRDefault="00E00A9A" w:rsidP="00F11D23">
      <w:pPr>
        <w:pStyle w:val="SingleTxtG"/>
        <w:tabs>
          <w:tab w:val="left" w:pos="2268"/>
        </w:tabs>
        <w:rPr>
          <w:b/>
          <w:bCs/>
        </w:rPr>
      </w:pPr>
      <w:r>
        <w:rPr>
          <w:b/>
          <w:bCs/>
        </w:rPr>
        <w:t>« 5.5.4</w:t>
      </w:r>
      <w:r w:rsidR="009716F2">
        <w:rPr>
          <w:b/>
          <w:bCs/>
        </w:rPr>
        <w:tab/>
      </w:r>
      <w:r>
        <w:rPr>
          <w:b/>
          <w:bCs/>
        </w:rPr>
        <w:t>Marchandises dangereuses dans les équipements utilisés ou destinés à être utilisés durant le transport</w:t>
      </w:r>
    </w:p>
    <w:p w14:paraId="41A6332D" w14:textId="1AEECD11" w:rsidR="00E00A9A" w:rsidRDefault="009716F2" w:rsidP="00F11D23">
      <w:pPr>
        <w:pStyle w:val="SingleTxtG"/>
        <w:tabs>
          <w:tab w:val="left" w:pos="2268"/>
        </w:tabs>
      </w:pPr>
      <w:r>
        <w:t>5.5.4.1</w:t>
      </w:r>
      <w:r>
        <w:tab/>
      </w:r>
      <w:r w:rsidR="00E00A9A">
        <w:t>Les marchandises dangereuses (par exemple les piles au lithium, cartouches pour pile à combustible) contenues dans des équipements tels que les enregistreurs de données et les dispositifs de suivi des cargaisons, qui sont attachés ou placés dans des colis, des suremballages ou des conteneurs ou compartiments de charge de véhicules</w:t>
      </w:r>
      <w:r w:rsidR="00A61DD7">
        <w:t>,</w:t>
      </w:r>
      <w:r w:rsidR="00E00A9A">
        <w:t xml:space="preserve"> ne font pas l’objet des dispositions du présent Règlement autres que les dispositions suivantes : </w:t>
      </w:r>
    </w:p>
    <w:p w14:paraId="20060E68" w14:textId="19FE438A" w:rsidR="00E00A9A" w:rsidRDefault="00E00A9A" w:rsidP="00F11D23">
      <w:pPr>
        <w:pStyle w:val="SingleTxtG"/>
        <w:ind w:left="2552" w:hanging="284"/>
      </w:pPr>
      <w:r>
        <w:t xml:space="preserve">a)   l’équipement doit être utilisé ou destiné à être utilisé </w:t>
      </w:r>
      <w:r w:rsidR="00BB2441">
        <w:t>en cours de</w:t>
      </w:r>
      <w:r>
        <w:t xml:space="preserve"> </w:t>
      </w:r>
      <w:proofErr w:type="gramStart"/>
      <w:r>
        <w:t>transport;</w:t>
      </w:r>
      <w:proofErr w:type="gramEnd"/>
      <w:r>
        <w:t xml:space="preserve"> </w:t>
      </w:r>
    </w:p>
    <w:p w14:paraId="23636315" w14:textId="09CC52F0" w:rsidR="00E00A9A" w:rsidRDefault="00E00A9A" w:rsidP="00F11D23">
      <w:pPr>
        <w:pStyle w:val="SingleTxtG"/>
        <w:ind w:left="2552" w:hanging="284"/>
      </w:pPr>
      <w:r>
        <w:t xml:space="preserve">b)  </w:t>
      </w:r>
      <w:r w:rsidR="009716F2">
        <w:tab/>
      </w:r>
      <w:r w:rsidR="00A61DD7">
        <w:t xml:space="preserve">les </w:t>
      </w:r>
      <w:r>
        <w:t>marchandise</w:t>
      </w:r>
      <w:r w:rsidR="00A61DD7">
        <w:t>s</w:t>
      </w:r>
      <w:r>
        <w:t xml:space="preserve"> dangereuse</w:t>
      </w:r>
      <w:r w:rsidR="00A61DD7">
        <w:t>s</w:t>
      </w:r>
      <w:r>
        <w:t xml:space="preserve"> contenue</w:t>
      </w:r>
      <w:r w:rsidR="00A61DD7">
        <w:t>s</w:t>
      </w:r>
      <w:r>
        <w:t xml:space="preserve"> (par exemple les piles au lithium, cartouches pour pile à combustible) </w:t>
      </w:r>
      <w:r w:rsidR="00A61DD7">
        <w:t xml:space="preserve">doivent </w:t>
      </w:r>
      <w:r>
        <w:t>répondre aux exigences de conception et d’épreuves prescrites par le présent Règlement ; et</w:t>
      </w:r>
    </w:p>
    <w:p w14:paraId="36DCD20E" w14:textId="7E968991" w:rsidR="00E00A9A" w:rsidRDefault="00E00A9A" w:rsidP="00F11D23">
      <w:pPr>
        <w:pStyle w:val="SingleTxtG"/>
        <w:ind w:left="2552" w:hanging="284"/>
      </w:pPr>
      <w:r>
        <w:t>c)  l’équipement doit être capable de résister aux chocs et aux sollicitations habituelles en cours de transport.</w:t>
      </w:r>
    </w:p>
    <w:p w14:paraId="50732A1E" w14:textId="128E9B71" w:rsidR="00E00A9A" w:rsidRDefault="009716F2" w:rsidP="00F11D23">
      <w:pPr>
        <w:pStyle w:val="SingleTxtG"/>
        <w:tabs>
          <w:tab w:val="left" w:pos="2268"/>
        </w:tabs>
      </w:pPr>
      <w:r>
        <w:t>5.5.4.2</w:t>
      </w:r>
      <w:r>
        <w:tab/>
      </w:r>
      <w:r w:rsidR="00E00A9A">
        <w:t xml:space="preserve">Lorsqu’un tel équipement contenant des marchandises dangereuses est transporté en tant que cargaison, la rubrique appropriée dans la </w:t>
      </w:r>
      <w:r>
        <w:t xml:space="preserve">liste </w:t>
      </w:r>
      <w:r w:rsidR="00E00A9A">
        <w:t xml:space="preserve">des </w:t>
      </w:r>
      <w:r>
        <w:t xml:space="preserve">marchandises </w:t>
      </w:r>
      <w:r w:rsidR="00E00A9A">
        <w:t xml:space="preserve">dangereuses du Chapitre 3.2 doit être utilisée et toutes les dispositions applicables </w:t>
      </w:r>
      <w:r>
        <w:t>du présent</w:t>
      </w:r>
      <w:r w:rsidR="00E00A9A">
        <w:t xml:space="preserve"> Règlement doivent être appliquées ».</w:t>
      </w:r>
    </w:p>
    <w:p w14:paraId="6D23A23A" w14:textId="77777777" w:rsidR="00E00A9A" w:rsidRDefault="00E00A9A" w:rsidP="00E00A9A">
      <w:pPr>
        <w:pStyle w:val="SingleTxtG"/>
        <w:rPr>
          <w:i/>
          <w:iCs/>
        </w:rPr>
      </w:pPr>
      <w:r>
        <w:rPr>
          <w:i/>
          <w:iCs/>
        </w:rPr>
        <w:t>(Document de référence : document informel INF.52, proposition 2, telle que modifiée)</w:t>
      </w:r>
    </w:p>
    <w:p w14:paraId="0B138967" w14:textId="77777777" w:rsidR="006E51D2" w:rsidRDefault="006E51D2" w:rsidP="00340F07">
      <w:pPr>
        <w:pStyle w:val="H1G"/>
        <w:spacing w:before="240"/>
        <w:rPr>
          <w:lang w:val="fr-FR"/>
        </w:rPr>
      </w:pPr>
      <w:r>
        <w:rPr>
          <w:lang w:val="fr-FR"/>
        </w:rPr>
        <w:tab/>
      </w:r>
      <w:r>
        <w:rPr>
          <w:lang w:val="fr-FR"/>
        </w:rPr>
        <w:tab/>
        <w:t>Chapitre 6.1</w:t>
      </w:r>
    </w:p>
    <w:p w14:paraId="11A32120" w14:textId="03EDF534" w:rsidR="00BB2441" w:rsidRDefault="006E51D2" w:rsidP="00F11D23">
      <w:pPr>
        <w:pStyle w:val="SingleTxtG"/>
        <w:ind w:left="2268" w:hanging="1134"/>
      </w:pPr>
      <w:r>
        <w:t>6.1.3.1</w:t>
      </w:r>
      <w:r>
        <w:tab/>
      </w:r>
      <w:r w:rsidR="00BB2441">
        <w:t>Modifier</w:t>
      </w:r>
      <w:r>
        <w:t xml:space="preserve"> la troisième phrase</w:t>
      </w:r>
      <w:r w:rsidR="00BB2441">
        <w:t xml:space="preserve"> pour lire comme suit :</w:t>
      </w:r>
    </w:p>
    <w:p w14:paraId="0E9BD11E" w14:textId="3E3AE0AA" w:rsidR="00BB2441" w:rsidRDefault="00BB2441" w:rsidP="00F11D23">
      <w:pPr>
        <w:pStyle w:val="SingleTxtG"/>
        <w:ind w:left="2268"/>
      </w:pPr>
      <w:r>
        <w:t xml:space="preserve">« Les lettres, les chiffres et les symboles doivent avoir au moins 12 mm de hauteur, sauf </w:t>
      </w:r>
      <w:r w:rsidR="00B41CAA">
        <w:t>sur</w:t>
      </w:r>
      <w:r>
        <w:t xml:space="preserve"> les emballages d’une capacité ne dépassant pas 30 </w:t>
      </w:r>
      <w:r w:rsidRPr="00182113">
        <w:rPr>
          <w:i/>
          <w:iCs/>
        </w:rPr>
        <w:t>l</w:t>
      </w:r>
      <w:r>
        <w:t xml:space="preserve"> ou d’une masse nette ne dépassant pas 30 kg où leur hauteur doit être d'au moins 6 mm, ainsi que </w:t>
      </w:r>
      <w:r w:rsidR="00B41CAA">
        <w:t>sur</w:t>
      </w:r>
      <w:r>
        <w:t xml:space="preserve"> les emballages d’une capacité ne dépassant pas 5 </w:t>
      </w:r>
      <w:r w:rsidRPr="00403FEA">
        <w:rPr>
          <w:i/>
          <w:iCs/>
        </w:rPr>
        <w:t>l</w:t>
      </w:r>
      <w:r>
        <w:t xml:space="preserve"> ou d’une masse nette de dépassant pas 5 kg, où ils doivent avoir des dimensions appropriées. ».</w:t>
      </w:r>
    </w:p>
    <w:p w14:paraId="785EFD4E" w14:textId="2BC64E47" w:rsidR="006E51D2" w:rsidRDefault="00BB2441" w:rsidP="006E51D2">
      <w:pPr>
        <w:pStyle w:val="SingleTxtG"/>
        <w:rPr>
          <w:i/>
          <w:iCs/>
        </w:rPr>
      </w:pPr>
      <w:r w:rsidDel="00BB2441">
        <w:t xml:space="preserve"> </w:t>
      </w:r>
      <w:r w:rsidR="006E51D2" w:rsidRPr="00EC732E">
        <w:rPr>
          <w:i/>
          <w:iCs/>
        </w:rPr>
        <w:t xml:space="preserve">(Document de référence : document informel INF. </w:t>
      </w:r>
      <w:r w:rsidR="006E51D2">
        <w:rPr>
          <w:i/>
          <w:iCs/>
        </w:rPr>
        <w:t>38)</w:t>
      </w:r>
    </w:p>
    <w:p w14:paraId="6F28A2AD" w14:textId="77777777" w:rsidR="002673A9" w:rsidRPr="00340F07" w:rsidRDefault="002673A9" w:rsidP="00340F07">
      <w:pPr>
        <w:pStyle w:val="H1G"/>
        <w:spacing w:before="240"/>
        <w:rPr>
          <w:lang w:val="fr-FR"/>
        </w:rPr>
      </w:pPr>
      <w:r w:rsidRPr="00340F07">
        <w:rPr>
          <w:lang w:val="fr-FR"/>
        </w:rPr>
        <w:tab/>
      </w:r>
      <w:r w:rsidRPr="00340F07">
        <w:rPr>
          <w:lang w:val="fr-FR"/>
        </w:rPr>
        <w:tab/>
        <w:t>Chapitre 6.2</w:t>
      </w:r>
    </w:p>
    <w:p w14:paraId="04F5C51B" w14:textId="77777777" w:rsidR="002673A9" w:rsidRDefault="002673A9" w:rsidP="002673A9">
      <w:pPr>
        <w:pStyle w:val="SingleTxtG"/>
      </w:pPr>
      <w:r>
        <w:t>6.2.2.3</w:t>
      </w:r>
      <w:r>
        <w:tab/>
      </w:r>
      <w:r>
        <w:tab/>
        <w:t xml:space="preserve">Dans le </w:t>
      </w:r>
      <w:r w:rsidR="00CF5A95">
        <w:t xml:space="preserve">premier </w:t>
      </w:r>
      <w:r>
        <w:t>tableau,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49"/>
        <w:gridCol w:w="1275"/>
      </w:tblGrid>
      <w:tr w:rsidR="002673A9" w14:paraId="3726D3D8" w14:textId="77777777" w:rsidTr="00340F07">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39752D4" w14:textId="77777777" w:rsidR="002673A9" w:rsidRDefault="002673A9" w:rsidP="00156AB1">
            <w:pPr>
              <w:spacing w:before="60" w:after="60"/>
              <w:ind w:left="57" w:right="57"/>
            </w:pPr>
            <w:r>
              <w:rPr>
                <w:lang w:val="fr-FR"/>
              </w:rPr>
              <w:t xml:space="preserve">ISO </w:t>
            </w:r>
            <w:proofErr w:type="gramStart"/>
            <w:r>
              <w:rPr>
                <w:lang w:val="fr-FR"/>
              </w:rPr>
              <w:t>17879:</w:t>
            </w:r>
            <w:proofErr w:type="gramEnd"/>
            <w:r>
              <w:rPr>
                <w:lang w:val="fr-FR"/>
              </w:rPr>
              <w:t>2017</w:t>
            </w:r>
          </w:p>
        </w:tc>
        <w:tc>
          <w:tcPr>
            <w:tcW w:w="46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F518DCB" w14:textId="77777777" w:rsidR="002673A9" w:rsidRDefault="002673A9" w:rsidP="00156AB1">
            <w:pPr>
              <w:spacing w:before="60" w:after="60"/>
              <w:ind w:left="57" w:right="57"/>
              <w:rPr>
                <w:lang w:val="fr-FR"/>
              </w:rPr>
            </w:pPr>
            <w:r>
              <w:rPr>
                <w:lang w:val="fr-FR"/>
              </w:rPr>
              <w:t>Bouteilles à gaz − Robinets de bouteilles équipés de clapets auto-obturants − Spécifications et essais de type</w:t>
            </w:r>
          </w:p>
          <w:p w14:paraId="36B98B79" w14:textId="71B5CDA3" w:rsidR="002673A9" w:rsidRDefault="002673A9" w:rsidP="00156AB1">
            <w:pPr>
              <w:spacing w:before="60" w:after="60"/>
              <w:ind w:left="57" w:right="57"/>
            </w:pPr>
            <w:proofErr w:type="gramStart"/>
            <w:r w:rsidRPr="00AC687F">
              <w:rPr>
                <w:b/>
                <w:bCs/>
                <w:i/>
                <w:iCs/>
                <w:lang w:val="fr-FR"/>
              </w:rPr>
              <w:t>NOTA:</w:t>
            </w:r>
            <w:proofErr w:type="gramEnd"/>
            <w:r w:rsidRPr="00AC687F">
              <w:rPr>
                <w:i/>
                <w:iCs/>
                <w:lang w:val="fr-FR"/>
              </w:rPr>
              <w:t xml:space="preserve"> Cette norme ne doit pas être utilisée pour </w:t>
            </w:r>
            <w:r w:rsidR="00AC687F">
              <w:rPr>
                <w:i/>
                <w:iCs/>
                <w:lang w:val="fr-FR"/>
              </w:rPr>
              <w:t>les r</w:t>
            </w:r>
            <w:r w:rsidR="00AC687F" w:rsidRPr="00F11D23">
              <w:rPr>
                <w:i/>
                <w:iCs/>
                <w:lang w:val="fr-FR"/>
              </w:rPr>
              <w:t>obinets équipés de clapets auto-obturants d</w:t>
            </w:r>
            <w:r w:rsidRPr="00AC687F">
              <w:rPr>
                <w:i/>
                <w:iCs/>
                <w:lang w:val="fr-FR"/>
              </w:rPr>
              <w:t>es bouteilles d'acétylène.</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7287BEC" w14:textId="77777777" w:rsidR="002673A9" w:rsidRDefault="002673A9" w:rsidP="00156AB1">
            <w:pPr>
              <w:spacing w:before="60" w:after="60"/>
              <w:ind w:left="57" w:right="57"/>
            </w:pPr>
            <w:r>
              <w:rPr>
                <w:lang w:val="fr-FR"/>
              </w:rPr>
              <w:t>Jusqu’à nouvel ordre</w:t>
            </w:r>
          </w:p>
        </w:tc>
      </w:tr>
    </w:tbl>
    <w:p w14:paraId="6799C767" w14:textId="77777777" w:rsidR="002673A9" w:rsidRDefault="002673A9" w:rsidP="00340F07">
      <w:pPr>
        <w:pStyle w:val="SingleTxtG"/>
        <w:spacing w:before="120"/>
        <w:rPr>
          <w:i/>
          <w:iCs/>
        </w:rPr>
      </w:pPr>
      <w:r w:rsidRPr="00EC732E">
        <w:rPr>
          <w:i/>
          <w:iCs/>
        </w:rPr>
        <w:t>(Document de référence :</w:t>
      </w:r>
      <w:r>
        <w:rPr>
          <w:i/>
          <w:iCs/>
        </w:rPr>
        <w:t xml:space="preserve"> document informel INF.39, tel que modifié)</w:t>
      </w:r>
    </w:p>
    <w:p w14:paraId="1183B4A1" w14:textId="77777777" w:rsidR="006E51D2" w:rsidRDefault="006E51D2" w:rsidP="006E51D2">
      <w:pPr>
        <w:pStyle w:val="H1G"/>
        <w:rPr>
          <w:lang w:val="fr-FR"/>
        </w:rPr>
      </w:pPr>
      <w:r>
        <w:rPr>
          <w:lang w:val="fr-FR"/>
        </w:rPr>
        <w:lastRenderedPageBreak/>
        <w:tab/>
      </w:r>
      <w:r>
        <w:rPr>
          <w:lang w:val="fr-FR"/>
        </w:rPr>
        <w:tab/>
        <w:t>Chapitre 6.3</w:t>
      </w:r>
    </w:p>
    <w:p w14:paraId="0B6A831D" w14:textId="669EC9DE" w:rsidR="006C4154" w:rsidRDefault="006E51D2" w:rsidP="00F11D23">
      <w:pPr>
        <w:pStyle w:val="SingleTxtG"/>
        <w:ind w:left="2268" w:hanging="1134"/>
      </w:pPr>
      <w:r>
        <w:t>6.3.4.1</w:t>
      </w:r>
      <w:r>
        <w:tab/>
      </w:r>
      <w:r>
        <w:tab/>
      </w:r>
      <w:r w:rsidR="006C4154">
        <w:t xml:space="preserve">Modifier </w:t>
      </w:r>
      <w:r>
        <w:t>la troisième phrase</w:t>
      </w:r>
      <w:r w:rsidR="006C4154">
        <w:t xml:space="preserve"> pour lire comme suit :</w:t>
      </w:r>
    </w:p>
    <w:p w14:paraId="4A9F8A87" w14:textId="1F972847" w:rsidR="006C4154" w:rsidRDefault="006C4154" w:rsidP="00F11D23">
      <w:pPr>
        <w:pStyle w:val="SingleTxtG"/>
        <w:ind w:left="2268"/>
      </w:pPr>
      <w:r>
        <w:t xml:space="preserve">« Les lettres, les chiffres et les symboles doivent avoir au moins 12 mm de hauteur, sauf sur les emballages d’une capacité ne dépassant pas 30 </w:t>
      </w:r>
      <w:r w:rsidRPr="00182113">
        <w:rPr>
          <w:i/>
          <w:iCs/>
        </w:rPr>
        <w:t>l</w:t>
      </w:r>
      <w:r>
        <w:t xml:space="preserve"> ou d’une masse nette ne dépassant pas 30 kg où leur hauteur doit être d'au moins 6 mm, ainsi que sur les emballages d’une capacité ne dépassant pas 5 </w:t>
      </w:r>
      <w:r w:rsidRPr="00403FEA">
        <w:rPr>
          <w:i/>
          <w:iCs/>
        </w:rPr>
        <w:t>l</w:t>
      </w:r>
      <w:r>
        <w:t xml:space="preserve"> ou d’une masse nette de dépassant pas 5 kg, où ils doivent avoir des dimensions appropriées. ».</w:t>
      </w:r>
    </w:p>
    <w:p w14:paraId="38A95F76" w14:textId="4452C58F" w:rsidR="006E51D2" w:rsidRPr="00EC732E" w:rsidRDefault="006C4154" w:rsidP="006E51D2">
      <w:pPr>
        <w:pStyle w:val="SingleTxtG"/>
        <w:rPr>
          <w:i/>
          <w:iCs/>
        </w:rPr>
      </w:pPr>
      <w:r w:rsidDel="006C4154">
        <w:t xml:space="preserve"> </w:t>
      </w:r>
      <w:r w:rsidR="006E51D2" w:rsidRPr="00EC732E">
        <w:rPr>
          <w:i/>
          <w:iCs/>
        </w:rPr>
        <w:t xml:space="preserve">(Document de référence : document informel INF. </w:t>
      </w:r>
      <w:r w:rsidR="006E51D2">
        <w:rPr>
          <w:i/>
          <w:iCs/>
        </w:rPr>
        <w:t>38</w:t>
      </w:r>
      <w:r w:rsidR="006E51D2" w:rsidRPr="00EC732E">
        <w:rPr>
          <w:i/>
          <w:iCs/>
        </w:rPr>
        <w:t>)</w:t>
      </w:r>
    </w:p>
    <w:p w14:paraId="54C0087C" w14:textId="77777777" w:rsidR="006E51D2" w:rsidRDefault="006E51D2" w:rsidP="006E51D2">
      <w:pPr>
        <w:pStyle w:val="H1G"/>
      </w:pPr>
      <w:r>
        <w:rPr>
          <w:lang w:val="fr-FR"/>
        </w:rPr>
        <w:tab/>
      </w:r>
      <w:r>
        <w:rPr>
          <w:lang w:val="fr-FR"/>
        </w:rPr>
        <w:tab/>
      </w:r>
      <w:r>
        <w:t>Chapitre 6.5</w:t>
      </w:r>
    </w:p>
    <w:p w14:paraId="5F42F17E" w14:textId="3671E48E" w:rsidR="006C4154" w:rsidRDefault="006E51D2" w:rsidP="00F11D23">
      <w:pPr>
        <w:pStyle w:val="SingleTxtG"/>
        <w:ind w:left="2268" w:hanging="1134"/>
      </w:pPr>
      <w:r>
        <w:t>6.5.2.2.4</w:t>
      </w:r>
      <w:r>
        <w:tab/>
      </w:r>
      <w:r w:rsidR="006C4154">
        <w:t>Modifier la fin du</w:t>
      </w:r>
      <w:r>
        <w:t xml:space="preserve"> premier paragraphe</w:t>
      </w:r>
      <w:r w:rsidR="006C4154">
        <w:t xml:space="preserve"> pour lire comme suit :</w:t>
      </w:r>
    </w:p>
    <w:p w14:paraId="687995B0" w14:textId="04CDD67F" w:rsidR="006E51D2" w:rsidRDefault="006E51D2" w:rsidP="00F11D23">
      <w:pPr>
        <w:pStyle w:val="SingleTxtG"/>
        <w:ind w:left="2268"/>
      </w:pPr>
      <w:r>
        <w:t>« </w:t>
      </w:r>
      <w:r>
        <w:rPr>
          <w:lang w:val="fr-FR"/>
        </w:rPr>
        <w:t xml:space="preserve">Elles doivent être apposées de manière durable, lisible, et placées dans un endroit facilement accessible pour l’inspection </w:t>
      </w:r>
      <w:r w:rsidRPr="00D95A70">
        <w:rPr>
          <w:lang w:val="fr-FR"/>
        </w:rPr>
        <w:t>lors de l’assemblage du</w:t>
      </w:r>
      <w:r>
        <w:rPr>
          <w:lang w:val="fr-FR"/>
        </w:rPr>
        <w:t xml:space="preserve"> récipient intérieur dans l’enveloppe extérieure. </w:t>
      </w:r>
      <w:r>
        <w:t xml:space="preserve">Lorsque la marque sur le récipient intérieur n’est pas facilement accessible pour l’inspection en raison du modèle de l’enveloppe extérieure, la marque requise sur le récipient intérieur doit être reproduite sur l’enveloppe extérieure précédée </w:t>
      </w:r>
      <w:r w:rsidR="006C4154">
        <w:t>du texte</w:t>
      </w:r>
      <w:r>
        <w:t xml:space="preserve"> « Récipient intérieur ». Cette reproduction doit être durable, lisible et placée de sorte à être facilement accessible pour l’inspection. ».</w:t>
      </w:r>
    </w:p>
    <w:p w14:paraId="1B70656B" w14:textId="57EDA7CD" w:rsidR="006E51D2" w:rsidRPr="00EC732E" w:rsidRDefault="006E51D2" w:rsidP="006E51D2">
      <w:pPr>
        <w:pStyle w:val="SingleTxtG"/>
        <w:rPr>
          <w:i/>
          <w:iCs/>
        </w:rPr>
      </w:pPr>
      <w:r w:rsidRPr="00EC732E">
        <w:rPr>
          <w:i/>
          <w:iCs/>
        </w:rPr>
        <w:t xml:space="preserve">(Document de référence : </w:t>
      </w:r>
      <w:r w:rsidR="006C4154">
        <w:rPr>
          <w:i/>
          <w:iCs/>
        </w:rPr>
        <w:t xml:space="preserve">ST/SG/AC.10/C.3/2018/107 tel que modifié par le </w:t>
      </w:r>
      <w:r w:rsidRPr="00EC732E">
        <w:rPr>
          <w:i/>
          <w:iCs/>
        </w:rPr>
        <w:t xml:space="preserve">document informel INF. </w:t>
      </w:r>
      <w:r>
        <w:rPr>
          <w:i/>
          <w:iCs/>
        </w:rPr>
        <w:t>48</w:t>
      </w:r>
      <w:r w:rsidRPr="00EC732E">
        <w:rPr>
          <w:i/>
          <w:iCs/>
        </w:rPr>
        <w:t>)</w:t>
      </w:r>
    </w:p>
    <w:p w14:paraId="41EF839A" w14:textId="77777777" w:rsidR="006E51D2" w:rsidRDefault="006E51D2" w:rsidP="006E51D2">
      <w:pPr>
        <w:pStyle w:val="SingleTxtG"/>
      </w:pPr>
      <w:r>
        <w:t>6.5.5.1.6</w:t>
      </w:r>
      <w:r>
        <w:tab/>
        <w:t>Ajouter la nouvelle phrase introductive suivante :</w:t>
      </w:r>
    </w:p>
    <w:p w14:paraId="1C987A99" w14:textId="77777777" w:rsidR="006E51D2" w:rsidRDefault="006E51D2" w:rsidP="00F11D23">
      <w:pPr>
        <w:pStyle w:val="SingleTxtG"/>
        <w:ind w:left="2268"/>
      </w:pPr>
      <w:r>
        <w:t>« Les GRV métalliques d’une capacité supérieure à 1500 litres doivent satisfaire aux prescriptions relatives aux épaisseurs de paroi minimales suivantes : ».</w:t>
      </w:r>
    </w:p>
    <w:p w14:paraId="4D2BF28F" w14:textId="560E3A85" w:rsidR="006E51D2" w:rsidRDefault="006E51D2" w:rsidP="00F11D23">
      <w:pPr>
        <w:pStyle w:val="SingleTxtG"/>
        <w:ind w:left="1701" w:firstLine="567"/>
      </w:pPr>
      <w:r>
        <w:t xml:space="preserve">Modifier le tableau </w:t>
      </w:r>
      <w:r w:rsidR="006C4154">
        <w:t xml:space="preserve">sous a) </w:t>
      </w:r>
      <w:r>
        <w:t>pour lire comme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2"/>
        <w:gridCol w:w="1698"/>
        <w:gridCol w:w="1773"/>
        <w:gridCol w:w="2050"/>
      </w:tblGrid>
      <w:tr w:rsidR="006E51D2" w:rsidRPr="00325DA1" w14:paraId="26732B9D" w14:textId="77777777" w:rsidTr="00156AB1">
        <w:trPr>
          <w:tblHeader/>
          <w:jc w:val="center"/>
        </w:trPr>
        <w:tc>
          <w:tcPr>
            <w:tcW w:w="7503" w:type="dxa"/>
            <w:gridSpan w:val="4"/>
            <w:vAlign w:val="center"/>
            <w:hideMark/>
          </w:tcPr>
          <w:p w14:paraId="2A053FF4" w14:textId="77777777" w:rsidR="006E51D2" w:rsidRPr="00325DA1" w:rsidRDefault="006E51D2" w:rsidP="00156AB1">
            <w:pPr>
              <w:ind w:left="21"/>
              <w:jc w:val="center"/>
              <w:rPr>
                <w:b/>
                <w:bCs/>
                <w:lang w:eastAsia="de-DE"/>
              </w:rPr>
            </w:pPr>
            <w:r>
              <w:rPr>
                <w:b/>
                <w:bCs/>
                <w:lang w:eastAsia="de-DE"/>
              </w:rPr>
              <w:t>Épaisseur (e) de la paroi, en mm</w:t>
            </w:r>
          </w:p>
        </w:tc>
      </w:tr>
      <w:tr w:rsidR="006E51D2" w:rsidRPr="00325DA1" w14:paraId="78993B59" w14:textId="77777777" w:rsidTr="00156AB1">
        <w:trPr>
          <w:tblHeader/>
          <w:jc w:val="center"/>
        </w:trPr>
        <w:tc>
          <w:tcPr>
            <w:tcW w:w="3680" w:type="dxa"/>
            <w:gridSpan w:val="2"/>
            <w:vAlign w:val="center"/>
            <w:hideMark/>
          </w:tcPr>
          <w:p w14:paraId="2B5CF3D0" w14:textId="77777777" w:rsidR="006E51D2" w:rsidRPr="00325DA1" w:rsidRDefault="006E51D2" w:rsidP="00156AB1">
            <w:pPr>
              <w:ind w:left="21"/>
              <w:jc w:val="center"/>
              <w:rPr>
                <w:b/>
                <w:bCs/>
                <w:lang w:eastAsia="de-DE"/>
              </w:rPr>
            </w:pPr>
            <w:r w:rsidRPr="00325DA1">
              <w:rPr>
                <w:b/>
                <w:bCs/>
                <w:lang w:eastAsia="de-DE"/>
              </w:rPr>
              <w:t>Types 11A, 11B, 11N</w:t>
            </w:r>
          </w:p>
        </w:tc>
        <w:tc>
          <w:tcPr>
            <w:tcW w:w="3823" w:type="dxa"/>
            <w:gridSpan w:val="2"/>
            <w:vAlign w:val="center"/>
            <w:hideMark/>
          </w:tcPr>
          <w:p w14:paraId="28023ADF" w14:textId="77777777" w:rsidR="006E51D2" w:rsidRPr="00325DA1" w:rsidRDefault="006E51D2" w:rsidP="00156AB1">
            <w:pPr>
              <w:jc w:val="center"/>
              <w:rPr>
                <w:b/>
                <w:bCs/>
                <w:lang w:eastAsia="de-DE"/>
              </w:rPr>
            </w:pPr>
            <w:r w:rsidRPr="00325DA1">
              <w:rPr>
                <w:b/>
                <w:bCs/>
                <w:lang w:eastAsia="de-DE"/>
              </w:rPr>
              <w:t>Types 21A, 21B, 21N, 31A, 31B, 31N</w:t>
            </w:r>
          </w:p>
        </w:tc>
      </w:tr>
      <w:tr w:rsidR="006E51D2" w:rsidRPr="00325DA1" w14:paraId="39F7DA5D" w14:textId="77777777" w:rsidTr="00156AB1">
        <w:trPr>
          <w:tblHeader/>
          <w:jc w:val="center"/>
        </w:trPr>
        <w:tc>
          <w:tcPr>
            <w:tcW w:w="1982" w:type="dxa"/>
            <w:vAlign w:val="center"/>
            <w:hideMark/>
          </w:tcPr>
          <w:p w14:paraId="2986CA55" w14:textId="77777777" w:rsidR="006E51D2" w:rsidRPr="00325DA1" w:rsidRDefault="006E51D2" w:rsidP="00156AB1">
            <w:pPr>
              <w:ind w:left="163"/>
              <w:jc w:val="center"/>
              <w:rPr>
                <w:b/>
                <w:bCs/>
                <w:lang w:eastAsia="de-DE"/>
              </w:rPr>
            </w:pPr>
            <w:r>
              <w:rPr>
                <w:b/>
                <w:bCs/>
                <w:lang w:eastAsia="de-DE"/>
              </w:rPr>
              <w:t>Non protégé</w:t>
            </w:r>
          </w:p>
        </w:tc>
        <w:tc>
          <w:tcPr>
            <w:tcW w:w="1698" w:type="dxa"/>
            <w:vAlign w:val="center"/>
            <w:hideMark/>
          </w:tcPr>
          <w:p w14:paraId="330CE23E" w14:textId="77777777" w:rsidR="006E51D2" w:rsidRPr="00325DA1" w:rsidRDefault="006E51D2" w:rsidP="00156AB1">
            <w:pPr>
              <w:jc w:val="center"/>
              <w:rPr>
                <w:b/>
                <w:bCs/>
                <w:lang w:eastAsia="de-DE"/>
              </w:rPr>
            </w:pPr>
            <w:r>
              <w:rPr>
                <w:b/>
                <w:bCs/>
                <w:lang w:eastAsia="de-DE"/>
              </w:rPr>
              <w:t>Protégé</w:t>
            </w:r>
          </w:p>
        </w:tc>
        <w:tc>
          <w:tcPr>
            <w:tcW w:w="1773" w:type="dxa"/>
            <w:vAlign w:val="center"/>
            <w:hideMark/>
          </w:tcPr>
          <w:p w14:paraId="10502351" w14:textId="77777777" w:rsidR="006E51D2" w:rsidRPr="00325DA1" w:rsidRDefault="006E51D2" w:rsidP="00156AB1">
            <w:pPr>
              <w:ind w:left="163"/>
              <w:jc w:val="center"/>
              <w:rPr>
                <w:b/>
                <w:bCs/>
                <w:lang w:eastAsia="de-DE"/>
              </w:rPr>
            </w:pPr>
            <w:r>
              <w:rPr>
                <w:b/>
                <w:bCs/>
                <w:lang w:eastAsia="de-DE"/>
              </w:rPr>
              <w:t>Non protégé</w:t>
            </w:r>
          </w:p>
        </w:tc>
        <w:tc>
          <w:tcPr>
            <w:tcW w:w="2050" w:type="dxa"/>
            <w:vAlign w:val="center"/>
            <w:hideMark/>
          </w:tcPr>
          <w:p w14:paraId="6D679624" w14:textId="77777777" w:rsidR="006E51D2" w:rsidRPr="00325DA1" w:rsidRDefault="006E51D2" w:rsidP="00156AB1">
            <w:pPr>
              <w:jc w:val="center"/>
              <w:rPr>
                <w:b/>
                <w:bCs/>
                <w:lang w:eastAsia="de-DE"/>
              </w:rPr>
            </w:pPr>
            <w:r>
              <w:rPr>
                <w:b/>
                <w:bCs/>
                <w:lang w:eastAsia="de-DE"/>
              </w:rPr>
              <w:t>Protégé</w:t>
            </w:r>
          </w:p>
        </w:tc>
      </w:tr>
      <w:tr w:rsidR="006E51D2" w:rsidRPr="00325DA1" w14:paraId="0AB5F894" w14:textId="77777777" w:rsidTr="00156AB1">
        <w:trPr>
          <w:trHeight w:val="455"/>
          <w:jc w:val="center"/>
        </w:trPr>
        <w:tc>
          <w:tcPr>
            <w:tcW w:w="1982" w:type="dxa"/>
            <w:tcBorders>
              <w:top w:val="nil"/>
            </w:tcBorders>
            <w:vAlign w:val="center"/>
            <w:hideMark/>
          </w:tcPr>
          <w:p w14:paraId="74810237" w14:textId="7AE7E970" w:rsidR="006E51D2" w:rsidRPr="001922E1" w:rsidRDefault="006E51D2" w:rsidP="00156AB1">
            <w:pPr>
              <w:ind w:left="22"/>
              <w:jc w:val="center"/>
              <w:rPr>
                <w:lang w:eastAsia="de-DE"/>
              </w:rPr>
            </w:pPr>
            <w:proofErr w:type="gramStart"/>
            <w:r>
              <w:rPr>
                <w:lang w:eastAsia="de-DE"/>
              </w:rPr>
              <w:t>e</w:t>
            </w:r>
            <w:proofErr w:type="gramEnd"/>
            <w:r w:rsidRPr="001922E1">
              <w:rPr>
                <w:lang w:eastAsia="de-DE"/>
              </w:rPr>
              <w:t xml:space="preserve"> = C/2000 + 1</w:t>
            </w:r>
            <w:r w:rsidR="00CF5A95">
              <w:rPr>
                <w:lang w:eastAsia="de-DE"/>
              </w:rPr>
              <w:t>,</w:t>
            </w:r>
            <w:r w:rsidRPr="001922E1">
              <w:rPr>
                <w:lang w:eastAsia="de-DE"/>
              </w:rPr>
              <w:t>5</w:t>
            </w:r>
          </w:p>
        </w:tc>
        <w:tc>
          <w:tcPr>
            <w:tcW w:w="1698" w:type="dxa"/>
            <w:tcBorders>
              <w:top w:val="nil"/>
            </w:tcBorders>
            <w:vAlign w:val="center"/>
            <w:hideMark/>
          </w:tcPr>
          <w:p w14:paraId="143EEF6B" w14:textId="2DF367D2" w:rsidR="006E51D2" w:rsidRPr="001922E1" w:rsidRDefault="006E51D2" w:rsidP="00156AB1">
            <w:pPr>
              <w:ind w:left="22"/>
              <w:jc w:val="center"/>
              <w:rPr>
                <w:lang w:eastAsia="de-DE"/>
              </w:rPr>
            </w:pPr>
            <w:proofErr w:type="gramStart"/>
            <w:r>
              <w:rPr>
                <w:lang w:eastAsia="de-DE"/>
              </w:rPr>
              <w:t>e</w:t>
            </w:r>
            <w:proofErr w:type="gramEnd"/>
            <w:r w:rsidRPr="001922E1">
              <w:rPr>
                <w:lang w:eastAsia="de-DE"/>
              </w:rPr>
              <w:t xml:space="preserve"> = C/2000 + 1</w:t>
            </w:r>
            <w:r w:rsidR="00CF5A95">
              <w:rPr>
                <w:lang w:eastAsia="de-DE"/>
              </w:rPr>
              <w:t>,</w:t>
            </w:r>
            <w:r w:rsidRPr="001922E1">
              <w:rPr>
                <w:lang w:eastAsia="de-DE"/>
              </w:rPr>
              <w:t>0</w:t>
            </w:r>
          </w:p>
        </w:tc>
        <w:tc>
          <w:tcPr>
            <w:tcW w:w="1773" w:type="dxa"/>
            <w:tcBorders>
              <w:top w:val="nil"/>
            </w:tcBorders>
            <w:vAlign w:val="center"/>
            <w:hideMark/>
          </w:tcPr>
          <w:p w14:paraId="4D73A407" w14:textId="6DE2C01F" w:rsidR="006E51D2" w:rsidRPr="001922E1" w:rsidRDefault="006E51D2" w:rsidP="00156AB1">
            <w:pPr>
              <w:ind w:left="22"/>
              <w:jc w:val="center"/>
              <w:rPr>
                <w:lang w:eastAsia="de-DE"/>
              </w:rPr>
            </w:pPr>
            <w:proofErr w:type="gramStart"/>
            <w:r>
              <w:rPr>
                <w:lang w:eastAsia="de-DE"/>
              </w:rPr>
              <w:t>e</w:t>
            </w:r>
            <w:proofErr w:type="gramEnd"/>
            <w:r w:rsidRPr="001922E1">
              <w:rPr>
                <w:lang w:eastAsia="de-DE"/>
              </w:rPr>
              <w:t xml:space="preserve"> = C/1000 + 1</w:t>
            </w:r>
            <w:r w:rsidR="00CF5A95">
              <w:rPr>
                <w:lang w:eastAsia="de-DE"/>
              </w:rPr>
              <w:t>,</w:t>
            </w:r>
            <w:r w:rsidRPr="001922E1">
              <w:rPr>
                <w:lang w:eastAsia="de-DE"/>
              </w:rPr>
              <w:t>0</w:t>
            </w:r>
          </w:p>
        </w:tc>
        <w:tc>
          <w:tcPr>
            <w:tcW w:w="2050" w:type="dxa"/>
            <w:tcBorders>
              <w:top w:val="nil"/>
            </w:tcBorders>
            <w:vAlign w:val="center"/>
            <w:hideMark/>
          </w:tcPr>
          <w:p w14:paraId="6868774F" w14:textId="2EF1677D" w:rsidR="006E51D2" w:rsidRPr="001922E1" w:rsidRDefault="006E51D2" w:rsidP="00156AB1">
            <w:pPr>
              <w:ind w:left="22"/>
              <w:jc w:val="center"/>
              <w:rPr>
                <w:lang w:eastAsia="de-DE"/>
              </w:rPr>
            </w:pPr>
            <w:proofErr w:type="gramStart"/>
            <w:r>
              <w:rPr>
                <w:lang w:eastAsia="de-DE"/>
              </w:rPr>
              <w:t>e</w:t>
            </w:r>
            <w:proofErr w:type="gramEnd"/>
            <w:r w:rsidRPr="001922E1">
              <w:rPr>
                <w:lang w:eastAsia="de-DE"/>
              </w:rPr>
              <w:t xml:space="preserve"> = C/2000 + 1</w:t>
            </w:r>
            <w:r w:rsidR="00CF5A95">
              <w:rPr>
                <w:lang w:eastAsia="de-DE"/>
              </w:rPr>
              <w:t>,</w:t>
            </w:r>
            <w:r w:rsidRPr="001922E1">
              <w:rPr>
                <w:lang w:eastAsia="de-DE"/>
              </w:rPr>
              <w:t>5</w:t>
            </w:r>
          </w:p>
        </w:tc>
      </w:tr>
    </w:tbl>
    <w:p w14:paraId="020E084E" w14:textId="625E9409" w:rsidR="006E51D2" w:rsidRDefault="006E51D2" w:rsidP="006E51D2">
      <w:pPr>
        <w:pStyle w:val="SingleTxtG"/>
        <w:spacing w:before="240"/>
        <w:rPr>
          <w:i/>
          <w:iCs/>
        </w:rPr>
      </w:pPr>
      <w:r w:rsidRPr="00EC732E">
        <w:rPr>
          <w:i/>
          <w:iCs/>
        </w:rPr>
        <w:t xml:space="preserve">(Document de référence : </w:t>
      </w:r>
      <w:r w:rsidR="006C4154">
        <w:rPr>
          <w:i/>
          <w:iCs/>
        </w:rPr>
        <w:t xml:space="preserve">ST/SG/AC.10/C.3/2018/96 tel que modifié par le </w:t>
      </w:r>
      <w:r w:rsidRPr="00EC732E">
        <w:rPr>
          <w:i/>
          <w:iCs/>
        </w:rPr>
        <w:t xml:space="preserve">document informel INF. </w:t>
      </w:r>
      <w:r>
        <w:rPr>
          <w:i/>
          <w:iCs/>
        </w:rPr>
        <w:t>47</w:t>
      </w:r>
      <w:r w:rsidRPr="00EC732E">
        <w:rPr>
          <w:i/>
          <w:iCs/>
        </w:rPr>
        <w:t>)</w:t>
      </w:r>
    </w:p>
    <w:p w14:paraId="6F615733" w14:textId="77777777" w:rsidR="006E51D2" w:rsidRDefault="006E51D2" w:rsidP="006E51D2">
      <w:pPr>
        <w:pStyle w:val="H1G"/>
      </w:pPr>
      <w:r>
        <w:tab/>
      </w:r>
      <w:r>
        <w:tab/>
        <w:t>Chapitre 6.7</w:t>
      </w:r>
    </w:p>
    <w:p w14:paraId="045B2895" w14:textId="77777777" w:rsidR="002673A9" w:rsidRDefault="002673A9" w:rsidP="002673A9">
      <w:pPr>
        <w:pStyle w:val="SingleTxtG"/>
      </w:pPr>
      <w:r>
        <w:t>6.7.2.2.16</w:t>
      </w:r>
      <w:r>
        <w:tab/>
        <w:t xml:space="preserve">L’amendement ne s’applique pas au texte en français. </w:t>
      </w:r>
    </w:p>
    <w:p w14:paraId="383099A5" w14:textId="77777777" w:rsidR="002673A9" w:rsidRDefault="002673A9" w:rsidP="002673A9">
      <w:pPr>
        <w:pStyle w:val="SingleTxtG"/>
        <w:rPr>
          <w:i/>
          <w:iCs/>
        </w:rPr>
      </w:pPr>
      <w:r w:rsidRPr="00EC732E">
        <w:rPr>
          <w:i/>
          <w:iCs/>
        </w:rPr>
        <w:t>(Document de référence :</w:t>
      </w:r>
      <w:r>
        <w:rPr>
          <w:i/>
          <w:iCs/>
        </w:rPr>
        <w:t>ST/SG/AC.10/C.3/2018/100, proposition 4)</w:t>
      </w:r>
    </w:p>
    <w:p w14:paraId="3B832DA7" w14:textId="77777777" w:rsidR="002673A9" w:rsidRDefault="002673A9" w:rsidP="002673A9">
      <w:pPr>
        <w:pStyle w:val="SingleTxtG"/>
      </w:pPr>
      <w:r>
        <w:t>6.7.2.4.8</w:t>
      </w:r>
      <w:r>
        <w:tab/>
        <w:t>Remplacer « tolérance à la corrosion » par « surépaisseur de corrosion ».</w:t>
      </w:r>
    </w:p>
    <w:p w14:paraId="327B29EC" w14:textId="77777777" w:rsidR="002673A9" w:rsidRPr="00973F91" w:rsidRDefault="002673A9" w:rsidP="002673A9">
      <w:pPr>
        <w:pStyle w:val="SingleTxtG"/>
      </w:pPr>
      <w:r w:rsidRPr="00973F91">
        <w:rPr>
          <w:i/>
          <w:iCs/>
        </w:rPr>
        <w:t>(</w:t>
      </w:r>
      <w:r w:rsidRPr="00EC732E">
        <w:rPr>
          <w:i/>
          <w:iCs/>
        </w:rPr>
        <w:t>Document de référence :</w:t>
      </w:r>
      <w:r>
        <w:rPr>
          <w:i/>
          <w:iCs/>
        </w:rPr>
        <w:t>ST/SG/AC.10/C.3/2018/100, amendement de conséquence)</w:t>
      </w:r>
    </w:p>
    <w:p w14:paraId="26CDCDCD" w14:textId="77777777" w:rsidR="004E16FD" w:rsidRDefault="004E16FD">
      <w:pPr>
        <w:suppressAutoHyphens w:val="0"/>
        <w:spacing w:line="240" w:lineRule="auto"/>
      </w:pPr>
      <w:r>
        <w:br w:type="page"/>
      </w:r>
    </w:p>
    <w:p w14:paraId="3A041CCD" w14:textId="409171F6" w:rsidR="002673A9" w:rsidRPr="00C52902" w:rsidRDefault="002673A9" w:rsidP="002673A9">
      <w:pPr>
        <w:pStyle w:val="SingleTxtG"/>
      </w:pPr>
      <w:r w:rsidRPr="00C52902">
        <w:lastRenderedPageBreak/>
        <w:t>6.7.2.19.6</w:t>
      </w:r>
      <w:r w:rsidRPr="00C52902">
        <w:tab/>
        <w:t>Ajouter le nouveau paragraphe suivant :</w:t>
      </w:r>
    </w:p>
    <w:p w14:paraId="4AD1A4B0" w14:textId="1181FD1A" w:rsidR="002673A9" w:rsidRDefault="002673A9" w:rsidP="00F11D23">
      <w:pPr>
        <w:pStyle w:val="SingleTxtG"/>
        <w:tabs>
          <w:tab w:val="left" w:pos="3686"/>
        </w:tabs>
        <w:ind w:left="2268"/>
      </w:pPr>
      <w:r>
        <w:t>« 6.7.2.19.6.1</w:t>
      </w:r>
      <w:r w:rsidR="00F3075C">
        <w:tab/>
        <w:t xml:space="preserve">À </w:t>
      </w:r>
      <w:r>
        <w:t>l’exception des cas prévus au 6.7.2.19.6, les citernes qui n'ont pas respecté le délai prévu pour leur contrôle et épreuve périodique de cinq ans ou de deux ans et demi ne peuvent être remplies et présentées au transport que si un nouveau contrôle et épreuve périodique de cinq ans est effectué conformément au 6.7.2.19.4. ».</w:t>
      </w:r>
    </w:p>
    <w:p w14:paraId="67A7C0F6" w14:textId="77777777" w:rsidR="002673A9" w:rsidRDefault="002673A9" w:rsidP="002673A9">
      <w:pPr>
        <w:pStyle w:val="SingleTxtG"/>
        <w:rPr>
          <w:i/>
          <w:iCs/>
        </w:rPr>
      </w:pPr>
      <w:r w:rsidRPr="00EC732E">
        <w:rPr>
          <w:i/>
          <w:iCs/>
        </w:rPr>
        <w:t>(Document de référence :</w:t>
      </w:r>
      <w:r>
        <w:rPr>
          <w:i/>
          <w:iCs/>
        </w:rPr>
        <w:t>ST/SG/AC.10/C.3/2018/112, tel que modifié)</w:t>
      </w:r>
    </w:p>
    <w:p w14:paraId="29A29315" w14:textId="42D77855" w:rsidR="002673A9" w:rsidRDefault="002673A9" w:rsidP="002673A9">
      <w:pPr>
        <w:pStyle w:val="SingleTxtG"/>
      </w:pPr>
      <w:r>
        <w:t>6.7.3.4.1</w:t>
      </w:r>
      <w:r>
        <w:tab/>
        <w:t>Après b), ajouter le nouveau paragraphe suivant :</w:t>
      </w:r>
    </w:p>
    <w:p w14:paraId="5CF14DD1" w14:textId="77777777" w:rsidR="002673A9" w:rsidRPr="00B6040F" w:rsidRDefault="002673A9" w:rsidP="00F11D23">
      <w:pPr>
        <w:pStyle w:val="SingleTxtG"/>
        <w:ind w:left="2268"/>
      </w:pPr>
      <w:r w:rsidRPr="00B6040F">
        <w:t>« Outre ces dispositions, il est tenu compte de toute disposition spéciale applicable aux transports en citernes mobiles indiquée dans la colonne 11 de la Liste des marchandises dangereuses et décrite au 4.2.5.3. ».</w:t>
      </w:r>
    </w:p>
    <w:p w14:paraId="304325D1" w14:textId="77777777" w:rsidR="002673A9" w:rsidRDefault="002673A9" w:rsidP="002673A9">
      <w:pPr>
        <w:pStyle w:val="SingleTxtG"/>
        <w:rPr>
          <w:i/>
          <w:iCs/>
        </w:rPr>
      </w:pPr>
      <w:r w:rsidRPr="00EC732E">
        <w:rPr>
          <w:i/>
          <w:iCs/>
        </w:rPr>
        <w:t>(Document de référence :</w:t>
      </w:r>
      <w:r>
        <w:rPr>
          <w:i/>
          <w:iCs/>
        </w:rPr>
        <w:t>ST/SG/AC.10/C.3/2018/100, proposition 2)</w:t>
      </w:r>
    </w:p>
    <w:p w14:paraId="1B0E8311" w14:textId="77777777" w:rsidR="002673A9" w:rsidRDefault="002673A9" w:rsidP="002673A9">
      <w:pPr>
        <w:pStyle w:val="SingleTxtG"/>
      </w:pPr>
      <w:r>
        <w:t>6.7.3.4.5</w:t>
      </w:r>
      <w:r>
        <w:tab/>
        <w:t>Remplacer « tolérance à la corrosion » par « surépaisseur de corrosion ».</w:t>
      </w:r>
    </w:p>
    <w:p w14:paraId="16C6E93D" w14:textId="77777777" w:rsidR="002673A9" w:rsidRDefault="002673A9" w:rsidP="002673A9">
      <w:pPr>
        <w:pStyle w:val="SingleTxtG"/>
        <w:rPr>
          <w:i/>
          <w:iCs/>
        </w:rPr>
      </w:pPr>
      <w:r w:rsidRPr="00973F91">
        <w:rPr>
          <w:i/>
          <w:iCs/>
        </w:rPr>
        <w:t>(</w:t>
      </w:r>
      <w:r w:rsidRPr="00EC732E">
        <w:rPr>
          <w:i/>
          <w:iCs/>
        </w:rPr>
        <w:t>Document de référence :</w:t>
      </w:r>
      <w:r>
        <w:rPr>
          <w:i/>
          <w:iCs/>
        </w:rPr>
        <w:t>ST/SG/AC.10/C.3/2018/100, amendement de conséquence)</w:t>
      </w:r>
    </w:p>
    <w:p w14:paraId="67EE7644" w14:textId="77777777" w:rsidR="006E51D2" w:rsidRDefault="006E51D2" w:rsidP="006E51D2">
      <w:pPr>
        <w:pStyle w:val="SingleTxtG"/>
      </w:pPr>
      <w:r>
        <w:t>6.7.3.5.5</w:t>
      </w:r>
      <w:r>
        <w:tab/>
        <w:t>Remplacer « doivent être pourvus » par « peuvent être pourvus ».</w:t>
      </w:r>
    </w:p>
    <w:p w14:paraId="423BF5E1" w14:textId="77777777" w:rsidR="006E51D2" w:rsidRDefault="006E51D2" w:rsidP="006E51D2">
      <w:pPr>
        <w:pStyle w:val="SingleTxtG"/>
        <w:rPr>
          <w:i/>
          <w:iCs/>
        </w:rPr>
      </w:pPr>
      <w:r w:rsidRPr="004D6384">
        <w:rPr>
          <w:i/>
          <w:iCs/>
        </w:rPr>
        <w:t>(Document de référence : document informel INF.15, proposition 2)</w:t>
      </w:r>
    </w:p>
    <w:p w14:paraId="11549727" w14:textId="77777777" w:rsidR="002673A9" w:rsidRPr="00C52902" w:rsidRDefault="002673A9" w:rsidP="002673A9">
      <w:pPr>
        <w:pStyle w:val="SingleTxtG"/>
      </w:pPr>
      <w:r>
        <w:t>6.7.3.15.6</w:t>
      </w:r>
      <w:r>
        <w:tab/>
      </w:r>
      <w:r w:rsidRPr="00C52902">
        <w:t>Ajouter le nouveau paragraphe suivant :</w:t>
      </w:r>
    </w:p>
    <w:p w14:paraId="7537618C" w14:textId="53D3D92A" w:rsidR="002673A9" w:rsidRDefault="002673A9" w:rsidP="00F11D23">
      <w:pPr>
        <w:pStyle w:val="SingleTxtG"/>
        <w:tabs>
          <w:tab w:val="left" w:pos="3686"/>
        </w:tabs>
        <w:ind w:left="2268"/>
      </w:pPr>
      <w:r>
        <w:t>« 6.7.3.15.6.1</w:t>
      </w:r>
      <w:r w:rsidR="00F3075C">
        <w:tab/>
        <w:t xml:space="preserve">À </w:t>
      </w:r>
      <w:r>
        <w:t>l’exception des cas prévus au 6.7.3.15.6, les citernes qui n'ont pas respecté le délai prévu pour leur contrôle et épreuve périodique de cinq ans ou de deux ans et demi ne peuvent être remplies et présentées au transport que si un nouveau contrôle et épreuve périodique de cinq ans est effectué conformément au 6.7.3.15.4. ».</w:t>
      </w:r>
    </w:p>
    <w:p w14:paraId="68A62268" w14:textId="77777777" w:rsidR="002673A9" w:rsidRPr="00CA15AA" w:rsidRDefault="002673A9" w:rsidP="002673A9">
      <w:pPr>
        <w:pStyle w:val="SingleTxtG"/>
      </w:pPr>
      <w:r w:rsidRPr="00EC732E">
        <w:rPr>
          <w:i/>
          <w:iCs/>
        </w:rPr>
        <w:t>(Document de référence :</w:t>
      </w:r>
      <w:r>
        <w:rPr>
          <w:i/>
          <w:iCs/>
        </w:rPr>
        <w:t>ST/SG/AC.10/C.3/2018/112, amendement de conséquence)</w:t>
      </w:r>
    </w:p>
    <w:p w14:paraId="4882D502" w14:textId="77777777" w:rsidR="002673A9" w:rsidRDefault="002673A9" w:rsidP="002673A9">
      <w:pPr>
        <w:pStyle w:val="SingleTxtG"/>
      </w:pPr>
      <w:r>
        <w:t>6.7.4.4.7</w:t>
      </w:r>
      <w:r>
        <w:tab/>
        <w:t>Remplacer « tolérance à la corrosion » par « surépaisseur de corrosion ».</w:t>
      </w:r>
    </w:p>
    <w:p w14:paraId="5E3296C6" w14:textId="77777777" w:rsidR="002673A9" w:rsidRPr="00F71FD1" w:rsidRDefault="002673A9" w:rsidP="002673A9">
      <w:pPr>
        <w:pStyle w:val="SingleTxtG"/>
        <w:rPr>
          <w:i/>
          <w:iCs/>
        </w:rPr>
      </w:pPr>
      <w:r w:rsidRPr="00F71FD1">
        <w:rPr>
          <w:i/>
          <w:iCs/>
        </w:rPr>
        <w:t>(Document de référence :ST/SG/AC.10/C.3/2018/100, amendement de conséquence)</w:t>
      </w:r>
    </w:p>
    <w:p w14:paraId="55CF1D18" w14:textId="77777777" w:rsidR="002673A9" w:rsidRPr="00F71FD1" w:rsidRDefault="002673A9" w:rsidP="002673A9">
      <w:pPr>
        <w:pStyle w:val="SingleTxtG"/>
      </w:pPr>
      <w:r w:rsidRPr="00F71FD1">
        <w:t>6.7.</w:t>
      </w:r>
      <w:r>
        <w:t>4</w:t>
      </w:r>
      <w:r w:rsidRPr="00F71FD1">
        <w:t>.1</w:t>
      </w:r>
      <w:r>
        <w:t>4</w:t>
      </w:r>
      <w:r w:rsidRPr="00F71FD1">
        <w:t>.6</w:t>
      </w:r>
      <w:r w:rsidRPr="00F71FD1">
        <w:tab/>
        <w:t>Ajouter le nouveau paragraphe suivant :</w:t>
      </w:r>
    </w:p>
    <w:p w14:paraId="059C0288" w14:textId="6A9FA523" w:rsidR="002673A9" w:rsidRDefault="002673A9" w:rsidP="00F11D23">
      <w:pPr>
        <w:pStyle w:val="SingleTxtG"/>
        <w:tabs>
          <w:tab w:val="left" w:pos="3686"/>
        </w:tabs>
        <w:ind w:left="2268"/>
      </w:pPr>
      <w:r>
        <w:t>« 6.7.4.14.6.1</w:t>
      </w:r>
      <w:r w:rsidR="00F3075C">
        <w:tab/>
        <w:t xml:space="preserve">À </w:t>
      </w:r>
      <w:r>
        <w:t>l’exception des cas prévus au 6.7.3.1</w:t>
      </w:r>
      <w:r w:rsidR="008A4294">
        <w:t>4</w:t>
      </w:r>
      <w:r>
        <w:t>.6, les citernes qui n'ont pas respecté le délai prévu pour leur contrôle et épreuve périodique de cinq ans ou de deux ans et demi ne peuvent être remplies et présentées au transport que si un nouveau contrôle et épreuve périodique de cinq ans est effectué conformément au 6.7.4.14.4. ».</w:t>
      </w:r>
    </w:p>
    <w:p w14:paraId="4D19C298" w14:textId="77777777" w:rsidR="002673A9" w:rsidRPr="00EC732E" w:rsidRDefault="002673A9" w:rsidP="002673A9">
      <w:pPr>
        <w:pStyle w:val="SingleTxtG"/>
        <w:rPr>
          <w:i/>
          <w:iCs/>
        </w:rPr>
      </w:pPr>
      <w:r w:rsidRPr="00EC732E">
        <w:rPr>
          <w:i/>
          <w:iCs/>
        </w:rPr>
        <w:t>(Document de référence :</w:t>
      </w:r>
      <w:r>
        <w:rPr>
          <w:i/>
          <w:iCs/>
        </w:rPr>
        <w:t>ST/SG/AC.10/C.3/2018/112, amendement de conséquence)</w:t>
      </w:r>
    </w:p>
    <w:p w14:paraId="704B1AFB" w14:textId="51AA6FFC" w:rsidR="00E00A9A" w:rsidRPr="00CA141D" w:rsidRDefault="00E00A9A" w:rsidP="001A32D1">
      <w:pPr>
        <w:pStyle w:val="H1G"/>
      </w:pPr>
      <w:r>
        <w:rPr>
          <w:szCs w:val="24"/>
        </w:rPr>
        <w:tab/>
      </w:r>
      <w:r>
        <w:rPr>
          <w:szCs w:val="24"/>
        </w:rPr>
        <w:tab/>
      </w:r>
      <w:r w:rsidR="002B2EA2">
        <w:rPr>
          <w:szCs w:val="24"/>
        </w:rPr>
        <w:t>D</w:t>
      </w:r>
      <w:r w:rsidRPr="00461782">
        <w:rPr>
          <w:szCs w:val="24"/>
        </w:rPr>
        <w:t>ocument</w:t>
      </w:r>
      <w:r w:rsidRPr="00461782">
        <w:t xml:space="preserve"> ST/SG/AC.10/C.3/201</w:t>
      </w:r>
      <w:r>
        <w:t>8</w:t>
      </w:r>
      <w:r w:rsidRPr="00461782">
        <w:t>/6</w:t>
      </w:r>
      <w:r>
        <w:t>5, Partie I,</w:t>
      </w:r>
      <w:r w:rsidRPr="00461782">
        <w:t xml:space="preserve"> </w:t>
      </w:r>
      <w:r>
        <w:t xml:space="preserve">adopté avec les modifications suivantes </w:t>
      </w:r>
      <w:r w:rsidRPr="00461782">
        <w:t>:</w:t>
      </w:r>
    </w:p>
    <w:p w14:paraId="0C570041" w14:textId="77777777" w:rsidR="00F539F0" w:rsidRPr="00BD6319" w:rsidRDefault="00F539F0" w:rsidP="00F539F0">
      <w:pPr>
        <w:pStyle w:val="SingleTxtG"/>
      </w:pPr>
      <w:r w:rsidRPr="00BD6319">
        <w:t>Supprimer tous les crochets.</w:t>
      </w:r>
    </w:p>
    <w:p w14:paraId="00B174D7" w14:textId="77777777" w:rsidR="00E00A9A" w:rsidRPr="00461782" w:rsidRDefault="002B2EA2" w:rsidP="00F11D23">
      <w:pPr>
        <w:pStyle w:val="H23G"/>
      </w:pPr>
      <w:r>
        <w:tab/>
      </w:r>
      <w:r>
        <w:tab/>
      </w:r>
      <w:r w:rsidR="00E00A9A">
        <w:t>Chapitre 1.1</w:t>
      </w:r>
    </w:p>
    <w:p w14:paraId="32DC0A90" w14:textId="45E0FCFF" w:rsidR="00E00A9A" w:rsidRDefault="00E00A9A" w:rsidP="00E00A9A">
      <w:pPr>
        <w:pStyle w:val="SingleTxtG"/>
      </w:pPr>
      <w:r>
        <w:t>1.1.1.2</w:t>
      </w:r>
      <w:r>
        <w:tab/>
      </w:r>
      <w:r>
        <w:tab/>
        <w:t xml:space="preserve">Supprimer </w:t>
      </w:r>
      <w:r w:rsidR="002B2EA2">
        <w:t>l’</w:t>
      </w:r>
      <w:r>
        <w:t xml:space="preserve">amendement. </w:t>
      </w:r>
    </w:p>
    <w:p w14:paraId="3E8E0178" w14:textId="77777777" w:rsidR="00E00A9A" w:rsidRDefault="00E00A9A" w:rsidP="00E00A9A">
      <w:pPr>
        <w:pStyle w:val="SingleTxtG"/>
        <w:rPr>
          <w:i/>
          <w:iCs/>
        </w:rPr>
      </w:pPr>
      <w:r w:rsidRPr="00461782">
        <w:rPr>
          <w:i/>
          <w:iCs/>
        </w:rPr>
        <w:t>(</w:t>
      </w:r>
      <w:r>
        <w:rPr>
          <w:i/>
          <w:iCs/>
        </w:rPr>
        <w:t>Document de référence : document informel</w:t>
      </w:r>
      <w:r w:rsidRPr="00461782">
        <w:rPr>
          <w:i/>
          <w:iCs/>
        </w:rPr>
        <w:t xml:space="preserve"> INF.5</w:t>
      </w:r>
      <w:r>
        <w:rPr>
          <w:i/>
          <w:iCs/>
        </w:rPr>
        <w:t>2, amendement de conséquence</w:t>
      </w:r>
      <w:r w:rsidRPr="00461782">
        <w:rPr>
          <w:i/>
          <w:iCs/>
        </w:rPr>
        <w:t>)</w:t>
      </w:r>
    </w:p>
    <w:p w14:paraId="68DB1EB0" w14:textId="77777777" w:rsidR="00F539F0" w:rsidRPr="00F11D23" w:rsidRDefault="002B2EA2" w:rsidP="00F11D23">
      <w:pPr>
        <w:pStyle w:val="H23G"/>
      </w:pPr>
      <w:r>
        <w:lastRenderedPageBreak/>
        <w:tab/>
      </w:r>
      <w:r>
        <w:tab/>
      </w:r>
      <w:r w:rsidR="00F539F0" w:rsidRPr="00F11D23">
        <w:t>Chapitre 3.2, Liste des marchandises dangereuses</w:t>
      </w:r>
    </w:p>
    <w:p w14:paraId="39353009" w14:textId="7C4E475C" w:rsidR="00F539F0" w:rsidRDefault="00F539F0" w:rsidP="00F539F0">
      <w:pPr>
        <w:pStyle w:val="SingleTxtG"/>
      </w:pPr>
      <w:r>
        <w:t>Supprimer la nouvelle rubrique pour le No. ONU 1390.</w:t>
      </w:r>
    </w:p>
    <w:p w14:paraId="62149107" w14:textId="342A57A7" w:rsidR="00F3075C" w:rsidRPr="00A40E27" w:rsidRDefault="00F3075C" w:rsidP="00F539F0">
      <w:pPr>
        <w:pStyle w:val="SingleTxtG"/>
      </w:pPr>
      <w:r w:rsidRPr="00EC732E">
        <w:rPr>
          <w:i/>
          <w:iCs/>
        </w:rPr>
        <w:t>(Document de référence :</w:t>
      </w:r>
      <w:r>
        <w:rPr>
          <w:i/>
          <w:iCs/>
        </w:rPr>
        <w:t>ST/SG/AC.10/C.3/2018/86)</w:t>
      </w:r>
    </w:p>
    <w:p w14:paraId="4880AAE7" w14:textId="77777777" w:rsidR="00F539F0" w:rsidRPr="00F11D23" w:rsidRDefault="002B2EA2" w:rsidP="00F11D23">
      <w:pPr>
        <w:pStyle w:val="H23G"/>
      </w:pPr>
      <w:r>
        <w:tab/>
      </w:r>
      <w:r>
        <w:tab/>
      </w:r>
      <w:r w:rsidR="00F539F0" w:rsidRPr="00F11D23">
        <w:t>Chapitre 3.3</w:t>
      </w:r>
    </w:p>
    <w:p w14:paraId="0B292D66" w14:textId="0BEECF4F" w:rsidR="00F539F0" w:rsidRDefault="002B2EA2" w:rsidP="00F11D23">
      <w:pPr>
        <w:pStyle w:val="SingleTxtG"/>
        <w:ind w:left="2127" w:hanging="993"/>
      </w:pPr>
      <w:r w:rsidRPr="00F3075C">
        <w:t xml:space="preserve">DS </w:t>
      </w:r>
      <w:r w:rsidR="00F539F0" w:rsidRPr="00F3075C">
        <w:t>388</w:t>
      </w:r>
      <w:r w:rsidR="00F539F0" w:rsidRPr="00F3075C">
        <w:tab/>
        <w:t>Remplacer « rubrique ONU 3536 BATTERIES AU LITHIUM INSTALLÉES DANS DES ENGINS DE TRANSPORT » par « rubrique ONU 3536 BATTERIES AU LITHIUM INSTALLÉES DANS DES ENGINS DE TRANSPORT batteries au lithium ionique ou batteries au lithium métal. ».</w:t>
      </w:r>
    </w:p>
    <w:p w14:paraId="79706882" w14:textId="7A8A2184" w:rsidR="00F3075C" w:rsidRPr="00F11D23" w:rsidRDefault="00F3075C" w:rsidP="00F11D23">
      <w:pPr>
        <w:pStyle w:val="SingleTxtG"/>
        <w:ind w:left="2127" w:hanging="993"/>
        <w:rPr>
          <w:i/>
          <w:iCs/>
        </w:rPr>
      </w:pPr>
      <w:r w:rsidRPr="00F11D23">
        <w:rPr>
          <w:i/>
          <w:iCs/>
        </w:rPr>
        <w:t>(Correction)</w:t>
      </w:r>
    </w:p>
    <w:p w14:paraId="45BF4E7D" w14:textId="77777777" w:rsidR="00F539F0" w:rsidRPr="00F11D23" w:rsidRDefault="002B2EA2" w:rsidP="00F11D23">
      <w:pPr>
        <w:pStyle w:val="H23G"/>
      </w:pPr>
      <w:r>
        <w:tab/>
      </w:r>
      <w:r>
        <w:tab/>
      </w:r>
      <w:r w:rsidR="00F539F0" w:rsidRPr="00F11D23">
        <w:t>Chapitre 4.1</w:t>
      </w:r>
    </w:p>
    <w:p w14:paraId="5732E03C" w14:textId="679D98AF" w:rsidR="00F539F0" w:rsidRPr="00A40E27" w:rsidRDefault="00F539F0" w:rsidP="00F11D23">
      <w:pPr>
        <w:pStyle w:val="SingleTxtG"/>
        <w:ind w:left="2552" w:hanging="1418"/>
      </w:pPr>
      <w:r w:rsidRPr="00A40E27">
        <w:t>4.1.4.1, P622</w:t>
      </w:r>
      <w:r w:rsidRPr="00A40E27">
        <w:tab/>
      </w:r>
      <w:r>
        <w:t>Remplacer « La présente instruction s’applique au No ONU 3549 » par « La présente instruction s’applique aux déchets du No ONU 3549 transportés en vue de leur élimination. ».</w:t>
      </w:r>
      <w:r w:rsidRPr="00A40E27">
        <w:t xml:space="preserve"> </w:t>
      </w:r>
    </w:p>
    <w:p w14:paraId="55D13AEF" w14:textId="64F1C6B1" w:rsidR="002B2EA2" w:rsidRDefault="00F539F0" w:rsidP="00F11D23">
      <w:pPr>
        <w:pStyle w:val="SingleTxtG"/>
        <w:ind w:left="2552" w:hanging="1418"/>
      </w:pPr>
      <w:r w:rsidRPr="00A40E27">
        <w:t>4.1.4.3, LP622</w:t>
      </w:r>
      <w:r w:rsidRPr="00A40E27">
        <w:tab/>
      </w:r>
      <w:r>
        <w:t>Après « La présente instruction s’applique au No ONU 3549 » ajouter « transportés en vue de leur élimination »</w:t>
      </w:r>
      <w:r w:rsidRPr="00A40E27">
        <w:t xml:space="preserve">. </w:t>
      </w:r>
    </w:p>
    <w:p w14:paraId="2EBBB007" w14:textId="2A604F7D" w:rsidR="00F3075C" w:rsidRDefault="00F539F0" w:rsidP="00F11D23">
      <w:pPr>
        <w:pStyle w:val="SingleTxtG"/>
        <w:ind w:left="2552"/>
      </w:pPr>
      <w:r>
        <w:t xml:space="preserve">L’amendement au paragraphe 6 des dispositions </w:t>
      </w:r>
      <w:r w:rsidR="002B2EA2">
        <w:t xml:space="preserve">supplémentaires </w:t>
      </w:r>
      <w:r>
        <w:t>ne s’applique pas au texte en français.</w:t>
      </w:r>
    </w:p>
    <w:p w14:paraId="56CEB432" w14:textId="4BD64A6C" w:rsidR="00F539F0" w:rsidRPr="00F11D23" w:rsidRDefault="00F3075C" w:rsidP="00F3075C">
      <w:pPr>
        <w:pStyle w:val="SingleTxtG"/>
        <w:rPr>
          <w:i/>
          <w:iCs/>
        </w:rPr>
      </w:pPr>
      <w:r>
        <w:rPr>
          <w:i/>
          <w:iCs/>
        </w:rPr>
        <w:t>(</w:t>
      </w:r>
      <w:r w:rsidRPr="00EC732E">
        <w:rPr>
          <w:i/>
          <w:iCs/>
        </w:rPr>
        <w:t>Document de référence</w:t>
      </w:r>
      <w:r>
        <w:rPr>
          <w:i/>
          <w:iCs/>
        </w:rPr>
        <w:t> : ST/SG/AC.10/C.3/108, paragraphe 8 (c))</w:t>
      </w:r>
    </w:p>
    <w:p w14:paraId="52E3C60B" w14:textId="77777777" w:rsidR="0090403E" w:rsidRPr="00F11D23" w:rsidRDefault="0090403E" w:rsidP="00CF5A95">
      <w:pPr>
        <w:pStyle w:val="H23G"/>
      </w:pPr>
      <w:r w:rsidRPr="00F11D23">
        <w:tab/>
      </w:r>
      <w:r w:rsidRPr="00F11D23">
        <w:tab/>
        <w:t>Chapitre 4.2</w:t>
      </w:r>
    </w:p>
    <w:p w14:paraId="073172B6" w14:textId="101DCA4C" w:rsidR="0090403E" w:rsidRDefault="0090403E" w:rsidP="00CC260C">
      <w:pPr>
        <w:pStyle w:val="SingleTxtG"/>
        <w:tabs>
          <w:tab w:val="left" w:pos="2552"/>
          <w:tab w:val="left" w:pos="2694"/>
        </w:tabs>
        <w:ind w:left="2552" w:hanging="1418"/>
      </w:pPr>
      <w:bookmarkStart w:id="3" w:name="_Hlk518036205"/>
      <w:r>
        <w:t>4.2.5.3</w:t>
      </w:r>
      <w:r w:rsidR="00CC260C">
        <w:t>,</w:t>
      </w:r>
      <w:r w:rsidR="00F3075C" w:rsidRPr="00CC260C">
        <w:t xml:space="preserve"> TP19</w:t>
      </w:r>
      <w:r>
        <w:tab/>
        <w:t>Modifier pour lire comme suit :</w:t>
      </w:r>
    </w:p>
    <w:p w14:paraId="0F0A5403" w14:textId="61E66C58" w:rsidR="0090403E" w:rsidRDefault="00CC260C" w:rsidP="00CC260C">
      <w:pPr>
        <w:pStyle w:val="SingleTxtG"/>
        <w:tabs>
          <w:tab w:val="left" w:pos="2552"/>
          <w:tab w:val="left" w:pos="2694"/>
          <w:tab w:val="left" w:pos="3119"/>
        </w:tabs>
        <w:ind w:left="2552" w:hanging="1418"/>
      </w:pPr>
      <w:r>
        <w:tab/>
      </w:r>
      <w:r w:rsidR="0090403E">
        <w:t>« </w:t>
      </w:r>
      <w:r w:rsidR="0090403E" w:rsidRPr="001C013A">
        <w:rPr>
          <w:b/>
          <w:bCs/>
        </w:rPr>
        <w:t>TP19</w:t>
      </w:r>
      <w:r w:rsidR="0090403E">
        <w:t xml:space="preserve"> </w:t>
      </w:r>
      <w:r w:rsidR="001C013A">
        <w:tab/>
      </w:r>
      <w:r w:rsidR="0090403E">
        <w:t xml:space="preserve">Au moment de la construction, l'épaisseur minimale du réservoir déterminée conformément au 6.7.3.4, doit être augmentée de 3 mm afin de prévoir une </w:t>
      </w:r>
      <w:r w:rsidR="0090403E" w:rsidRPr="005D563A">
        <w:rPr>
          <w:color w:val="000000"/>
        </w:rPr>
        <w:t>surépaisseur de corrosion</w:t>
      </w:r>
      <w:r w:rsidR="0090403E">
        <w:t xml:space="preserve">. L'épaisseur du réservoir doit être vérifiée par ultrasons à </w:t>
      </w:r>
      <w:proofErr w:type="spellStart"/>
      <w:r w:rsidR="0090403E">
        <w:t>mi-intervalle</w:t>
      </w:r>
      <w:proofErr w:type="spellEnd"/>
      <w:r w:rsidR="0090403E">
        <w:t xml:space="preserve"> entre les épreuves périodiques de pression hydraulique et ne doit jamais être inférieure à l’épaisseur minimale déterminée conformément au 6.7.3.4. ».</w:t>
      </w:r>
      <w:bookmarkEnd w:id="3"/>
    </w:p>
    <w:p w14:paraId="1A45AACB" w14:textId="01754607" w:rsidR="0090403E" w:rsidRDefault="0090403E" w:rsidP="0090403E">
      <w:pPr>
        <w:pStyle w:val="SingleTxtG"/>
        <w:rPr>
          <w:i/>
          <w:iCs/>
        </w:rPr>
      </w:pPr>
      <w:r w:rsidRPr="00973F91">
        <w:rPr>
          <w:i/>
          <w:iCs/>
        </w:rPr>
        <w:t>(</w:t>
      </w:r>
      <w:r w:rsidRPr="00EC732E">
        <w:rPr>
          <w:i/>
          <w:iCs/>
        </w:rPr>
        <w:t>Document de référence :</w:t>
      </w:r>
      <w:r>
        <w:rPr>
          <w:i/>
          <w:iCs/>
        </w:rPr>
        <w:t>ST/SG/AC.10/C.3/2018/100, proposition 1)</w:t>
      </w:r>
    </w:p>
    <w:p w14:paraId="7DB5EDF5" w14:textId="77777777" w:rsidR="00F539F0" w:rsidRPr="00BD6319" w:rsidRDefault="002B2EA2" w:rsidP="00F11D23">
      <w:pPr>
        <w:pStyle w:val="H23G"/>
      </w:pPr>
      <w:r>
        <w:tab/>
      </w:r>
      <w:r>
        <w:tab/>
      </w:r>
      <w:r w:rsidR="00F539F0" w:rsidRPr="00F11D23">
        <w:t>Chapitre 6.7</w:t>
      </w:r>
    </w:p>
    <w:p w14:paraId="4776C365" w14:textId="77777777" w:rsidR="00F539F0" w:rsidRPr="00647965" w:rsidRDefault="00F539F0" w:rsidP="00F11D23">
      <w:pPr>
        <w:pStyle w:val="SingleTxtG"/>
        <w:tabs>
          <w:tab w:val="left" w:pos="2268"/>
        </w:tabs>
      </w:pPr>
      <w:r w:rsidRPr="00647965">
        <w:t>6.7.2.12.2.1 et 6.7.3.8.1.1</w:t>
      </w:r>
      <w:r w:rsidRPr="00647965">
        <w:tab/>
        <w:t>Remplacer « conductivité thermique de l’isolation » par « coefficient de transfert thermique de l’isolation ».</w:t>
      </w:r>
    </w:p>
    <w:p w14:paraId="3232C90B" w14:textId="0B0C1C1D" w:rsidR="00F539F0" w:rsidRDefault="00F3075C" w:rsidP="00F539F0">
      <w:pPr>
        <w:pStyle w:val="SingleTxtG"/>
        <w:rPr>
          <w:i/>
          <w:iCs/>
        </w:rPr>
      </w:pPr>
      <w:r>
        <w:rPr>
          <w:i/>
          <w:iCs/>
        </w:rPr>
        <w:t>(</w:t>
      </w:r>
      <w:r w:rsidRPr="00EC732E">
        <w:rPr>
          <w:i/>
          <w:iCs/>
        </w:rPr>
        <w:t>Document de référence</w:t>
      </w:r>
      <w:r>
        <w:rPr>
          <w:i/>
          <w:iCs/>
        </w:rPr>
        <w:t> : ST/SG/AC.10/C.3/108, paragraphe 8 (e))</w:t>
      </w:r>
    </w:p>
    <w:p w14:paraId="61576C2F" w14:textId="77777777" w:rsidR="00F539F0" w:rsidRPr="00F11D23" w:rsidRDefault="002B2EA2" w:rsidP="00F11D23">
      <w:pPr>
        <w:pStyle w:val="H23G"/>
      </w:pPr>
      <w:r>
        <w:tab/>
      </w:r>
      <w:r>
        <w:tab/>
      </w:r>
      <w:r w:rsidR="00F539F0" w:rsidRPr="00F11D23">
        <w:t>Chapitre 7.1</w:t>
      </w:r>
    </w:p>
    <w:p w14:paraId="2DEB8494" w14:textId="6A9F4665" w:rsidR="00F3075C" w:rsidRDefault="00F539F0" w:rsidP="00F539F0">
      <w:pPr>
        <w:pStyle w:val="SingleTxtG"/>
      </w:pPr>
      <w:r>
        <w:t>7.1.5.4.5</w:t>
      </w:r>
      <w:r w:rsidR="002B2EA2">
        <w:t xml:space="preserve"> b) à e)</w:t>
      </w:r>
      <w:r>
        <w:tab/>
        <w:t>Supprimer les amendements</w:t>
      </w:r>
      <w:r w:rsidR="002B2EA2">
        <w:t>.</w:t>
      </w:r>
    </w:p>
    <w:p w14:paraId="71DE21F6" w14:textId="28F76559" w:rsidR="0090403E" w:rsidRPr="00F539F0" w:rsidRDefault="00F3075C" w:rsidP="00F539F0">
      <w:pPr>
        <w:pStyle w:val="SingleTxtG"/>
      </w:pPr>
      <w:r>
        <w:rPr>
          <w:i/>
          <w:iCs/>
        </w:rPr>
        <w:t>(</w:t>
      </w:r>
      <w:r w:rsidRPr="00EC732E">
        <w:rPr>
          <w:i/>
          <w:iCs/>
        </w:rPr>
        <w:t>Document de référence</w:t>
      </w:r>
      <w:r>
        <w:rPr>
          <w:i/>
          <w:iCs/>
        </w:rPr>
        <w:t> : ST/SG/AC.10/C.3/108, paragraphe 8 (d))</w:t>
      </w:r>
    </w:p>
    <w:p w14:paraId="71C9C0DE" w14:textId="77777777" w:rsidR="00E00A9A" w:rsidRPr="00E00A9A" w:rsidRDefault="00E00A9A" w:rsidP="00E00A9A"/>
    <w:p w14:paraId="63F8F111" w14:textId="77777777" w:rsidR="001410EC" w:rsidRDefault="001410EC">
      <w:pPr>
        <w:suppressAutoHyphens w:val="0"/>
        <w:spacing w:line="240" w:lineRule="auto"/>
      </w:pPr>
      <w:r>
        <w:br w:type="page"/>
      </w:r>
    </w:p>
    <w:p w14:paraId="60451315" w14:textId="017AA72D" w:rsidR="001410EC" w:rsidRDefault="001410EC" w:rsidP="001410EC">
      <w:pPr>
        <w:pStyle w:val="HChG"/>
        <w:rPr>
          <w:lang w:val="fr-FR"/>
        </w:rPr>
      </w:pPr>
      <w:r>
        <w:rPr>
          <w:lang w:val="fr-FR"/>
        </w:rPr>
        <w:lastRenderedPageBreak/>
        <w:t>Annex</w:t>
      </w:r>
      <w:r w:rsidR="00DC79D0">
        <w:rPr>
          <w:lang w:val="fr-FR"/>
        </w:rPr>
        <w:t>e</w:t>
      </w:r>
      <w:r>
        <w:rPr>
          <w:lang w:val="fr-FR"/>
        </w:rPr>
        <w:t xml:space="preserve"> II</w:t>
      </w:r>
    </w:p>
    <w:p w14:paraId="54F9FAC6" w14:textId="77777777" w:rsidR="001410EC" w:rsidRDefault="001410EC" w:rsidP="001410EC">
      <w:pPr>
        <w:pStyle w:val="HChG"/>
        <w:rPr>
          <w:lang w:val="fr-FR"/>
        </w:rPr>
      </w:pPr>
      <w:r>
        <w:rPr>
          <w:lang w:val="fr-FR"/>
        </w:rPr>
        <w:tab/>
      </w:r>
      <w:r>
        <w:rPr>
          <w:lang w:val="fr-FR"/>
        </w:rPr>
        <w:tab/>
        <w:t>Projet</w:t>
      </w:r>
      <w:r w:rsidRPr="00CF5BFF">
        <w:rPr>
          <w:lang w:val="fr-FR"/>
        </w:rPr>
        <w:t xml:space="preserve"> d</w:t>
      </w:r>
      <w:r>
        <w:rPr>
          <w:lang w:val="fr-FR"/>
        </w:rPr>
        <w:t>’</w:t>
      </w:r>
      <w:r w:rsidRPr="00CF5BFF">
        <w:rPr>
          <w:lang w:val="fr-FR"/>
        </w:rPr>
        <w:t>amendements à la sixième édition révisée des Recommandations relatives au</w:t>
      </w:r>
      <w:r>
        <w:rPr>
          <w:lang w:val="fr-FR"/>
        </w:rPr>
        <w:t xml:space="preserve"> </w:t>
      </w:r>
      <w:r w:rsidRPr="00CF5BFF">
        <w:rPr>
          <w:lang w:val="fr-FR"/>
        </w:rPr>
        <w:t>transport des marchandises dangereuses, Manuel d</w:t>
      </w:r>
      <w:r>
        <w:rPr>
          <w:lang w:val="fr-FR"/>
        </w:rPr>
        <w:t>’</w:t>
      </w:r>
      <w:r w:rsidRPr="00CF5BFF">
        <w:rPr>
          <w:lang w:val="fr-FR"/>
        </w:rPr>
        <w:t>épreuves et de critères (ST/SG/AC.10/11</w:t>
      </w:r>
      <w:r w:rsidRPr="007754E4">
        <w:rPr>
          <w:lang w:val="fr-FR"/>
        </w:rPr>
        <w:t>/Rev.6 et Amend.1)</w:t>
      </w:r>
    </w:p>
    <w:p w14:paraId="15165839" w14:textId="77777777" w:rsidR="00E00A9A" w:rsidRDefault="00E00A9A" w:rsidP="00E55CAB">
      <w:pPr>
        <w:pStyle w:val="H1G"/>
        <w:rPr>
          <w:lang w:val="fr-FR"/>
        </w:rPr>
      </w:pPr>
      <w:r>
        <w:rPr>
          <w:lang w:val="fr-FR"/>
        </w:rPr>
        <w:tab/>
      </w:r>
      <w:r>
        <w:rPr>
          <w:lang w:val="fr-FR"/>
        </w:rPr>
        <w:tab/>
        <w:t xml:space="preserve">Table générale des matières </w:t>
      </w:r>
    </w:p>
    <w:p w14:paraId="15433177" w14:textId="77777777" w:rsidR="00E00A9A" w:rsidRDefault="00E00A9A" w:rsidP="00E00A9A">
      <w:pPr>
        <w:pStyle w:val="SingleTxtG"/>
      </w:pPr>
      <w:r>
        <w:t>Dans le titre de la quatrième partie, remplacer « au matériel de transport » par « aux équipements de transport ».</w:t>
      </w:r>
    </w:p>
    <w:p w14:paraId="4DCD62E5" w14:textId="77777777" w:rsidR="00E00A9A" w:rsidRPr="003A3701" w:rsidRDefault="00E00A9A" w:rsidP="00E00A9A">
      <w:pPr>
        <w:ind w:left="567" w:firstLine="567"/>
        <w:rPr>
          <w:lang w:val="fr-FR"/>
        </w:rPr>
      </w:pPr>
      <w:r w:rsidRPr="00E93E11">
        <w:rPr>
          <w:i/>
          <w:iCs/>
        </w:rPr>
        <w:t xml:space="preserve">(Document de référence : document informel INF.52, proposition </w:t>
      </w:r>
      <w:r>
        <w:rPr>
          <w:i/>
          <w:iCs/>
        </w:rPr>
        <w:t>4</w:t>
      </w:r>
      <w:r w:rsidRPr="00E93E11">
        <w:rPr>
          <w:i/>
          <w:iCs/>
        </w:rPr>
        <w:t>)</w:t>
      </w:r>
    </w:p>
    <w:p w14:paraId="5B57BBAA" w14:textId="77777777" w:rsidR="00E00A9A" w:rsidRDefault="00E00A9A" w:rsidP="00E55CAB">
      <w:pPr>
        <w:pStyle w:val="H1G"/>
      </w:pPr>
      <w:r>
        <w:rPr>
          <w:lang w:val="fr-FR"/>
        </w:rPr>
        <w:tab/>
      </w:r>
      <w:r>
        <w:rPr>
          <w:lang w:val="fr-FR"/>
        </w:rPr>
        <w:tab/>
      </w:r>
      <w:r>
        <w:t>Section 1</w:t>
      </w:r>
    </w:p>
    <w:p w14:paraId="4FC745BE" w14:textId="77777777" w:rsidR="00E00A9A" w:rsidRDefault="00E00A9A" w:rsidP="00E00A9A">
      <w:pPr>
        <w:pStyle w:val="SingleTxtG"/>
      </w:pPr>
      <w:r>
        <w:tab/>
        <w:t>Dans le Nota de l’introduction générale, remplacer « au matériel de transport » par « aux équipements de transport ».</w:t>
      </w:r>
    </w:p>
    <w:p w14:paraId="2ACB73D3" w14:textId="77777777" w:rsidR="00E00A9A" w:rsidRDefault="00E00A9A" w:rsidP="00E00A9A">
      <w:pPr>
        <w:pStyle w:val="SingleTxtG"/>
        <w:rPr>
          <w:i/>
          <w:iCs/>
        </w:rPr>
      </w:pPr>
      <w:r w:rsidRPr="00E93E11">
        <w:rPr>
          <w:i/>
          <w:iCs/>
        </w:rPr>
        <w:t xml:space="preserve">(Document de référence : document informel INF.52, proposition </w:t>
      </w:r>
      <w:r>
        <w:rPr>
          <w:i/>
          <w:iCs/>
        </w:rPr>
        <w:t>4</w:t>
      </w:r>
      <w:r w:rsidRPr="00E93E11">
        <w:rPr>
          <w:i/>
          <w:iCs/>
        </w:rPr>
        <w:t>)</w:t>
      </w:r>
    </w:p>
    <w:p w14:paraId="25D15FAE" w14:textId="269968FA" w:rsidR="00E55CAB" w:rsidRPr="00F06260" w:rsidRDefault="00E00A9A" w:rsidP="00CB4F27">
      <w:pPr>
        <w:pStyle w:val="H1G"/>
      </w:pPr>
      <w:r>
        <w:tab/>
      </w:r>
      <w:r>
        <w:tab/>
      </w:r>
      <w:r w:rsidR="00E55CAB">
        <w:tab/>
      </w:r>
      <w:r w:rsidR="00E55CAB" w:rsidRPr="00F06260">
        <w:t>Section 16</w:t>
      </w:r>
    </w:p>
    <w:p w14:paraId="6C5065DB" w14:textId="665D1835" w:rsidR="00E55CAB" w:rsidRPr="00461782" w:rsidRDefault="00E55CAB" w:rsidP="00F11D23">
      <w:pPr>
        <w:pStyle w:val="SingleTxtG"/>
        <w:ind w:left="2268" w:hanging="1134"/>
      </w:pPr>
      <w:r w:rsidRPr="00461782">
        <w:t>16.5.1.4</w:t>
      </w:r>
      <w:r>
        <w:t xml:space="preserve"> c)</w:t>
      </w:r>
      <w:r>
        <w:tab/>
        <w:t>Remplacer « </w:t>
      </w:r>
      <w:r w:rsidRPr="00A4424E">
        <w:t xml:space="preserve">a obtenu </w:t>
      </w:r>
      <w:r w:rsidRPr="00F121C9">
        <w:t>un résultat positif (+) » par « a obtenu</w:t>
      </w:r>
      <w:r w:rsidRPr="00A4424E">
        <w:t xml:space="preserve"> </w:t>
      </w:r>
      <w:r>
        <w:t>la preuve d’</w:t>
      </w:r>
      <w:r w:rsidRPr="00F121C9">
        <w:t xml:space="preserve">une explosion en masse ». </w:t>
      </w:r>
    </w:p>
    <w:p w14:paraId="636085FB" w14:textId="11B78E67" w:rsidR="00E55CAB" w:rsidRPr="00461782" w:rsidRDefault="00E55CAB" w:rsidP="00E55CAB">
      <w:pPr>
        <w:pStyle w:val="SingleTxtG"/>
        <w:rPr>
          <w:i/>
          <w:iCs/>
        </w:rPr>
      </w:pPr>
      <w:r w:rsidRPr="00461782">
        <w:rPr>
          <w:i/>
          <w:iCs/>
        </w:rPr>
        <w:t>(</w:t>
      </w:r>
      <w:r>
        <w:rPr>
          <w:i/>
          <w:iCs/>
        </w:rPr>
        <w:t xml:space="preserve">Document de référence : </w:t>
      </w:r>
      <w:r w:rsidR="00D561F4">
        <w:rPr>
          <w:i/>
          <w:iCs/>
        </w:rPr>
        <w:t xml:space="preserve">ST/SG/AC.10/C.3/2018/82 tel que modifié par le </w:t>
      </w:r>
      <w:r>
        <w:rPr>
          <w:i/>
          <w:iCs/>
        </w:rPr>
        <w:t xml:space="preserve">document informel </w:t>
      </w:r>
      <w:r w:rsidRPr="00461782">
        <w:rPr>
          <w:i/>
          <w:iCs/>
        </w:rPr>
        <w:t>INF.50, Annex 3, amend</w:t>
      </w:r>
      <w:r>
        <w:rPr>
          <w:i/>
          <w:iCs/>
        </w:rPr>
        <w:t>e</w:t>
      </w:r>
      <w:r w:rsidRPr="00461782">
        <w:rPr>
          <w:i/>
          <w:iCs/>
        </w:rPr>
        <w:t>ment 6)</w:t>
      </w:r>
    </w:p>
    <w:p w14:paraId="21433F79" w14:textId="38648E7C" w:rsidR="002B2EA2" w:rsidRPr="00F11D23" w:rsidRDefault="00D561F4" w:rsidP="002B2EA2">
      <w:pPr>
        <w:pStyle w:val="H1G"/>
      </w:pPr>
      <w:r>
        <w:rPr>
          <w:i/>
          <w:iCs/>
        </w:rPr>
        <w:tab/>
      </w:r>
      <w:r w:rsidR="002B2EA2" w:rsidRPr="00F11D23">
        <w:tab/>
        <w:t>Quatrième Partie</w:t>
      </w:r>
    </w:p>
    <w:p w14:paraId="2BE6D0B6" w14:textId="77777777" w:rsidR="002B2EA2" w:rsidRPr="00F11D23" w:rsidRDefault="002B2EA2" w:rsidP="002B2EA2">
      <w:pPr>
        <w:pStyle w:val="SingleTxtG"/>
      </w:pPr>
      <w:r w:rsidRPr="00F11D23">
        <w:t>Dans le titre, remplacer « au matériel de transport » par « aux équipements de transport ».</w:t>
      </w:r>
    </w:p>
    <w:p w14:paraId="7B145399" w14:textId="04BAFC33" w:rsidR="002B2EA2" w:rsidRPr="00461782" w:rsidRDefault="002B2EA2" w:rsidP="00CF5A95">
      <w:pPr>
        <w:pStyle w:val="SingleTxtG"/>
        <w:rPr>
          <w:i/>
          <w:iCs/>
        </w:rPr>
      </w:pPr>
      <w:r w:rsidRPr="00F11D23">
        <w:rPr>
          <w:i/>
          <w:iCs/>
        </w:rPr>
        <w:t>(Document de référence : document informel INF.52, proposition 4)</w:t>
      </w:r>
    </w:p>
    <w:p w14:paraId="55D80F77" w14:textId="3BBBFECA" w:rsidR="00E55CAB" w:rsidRPr="003D36D8" w:rsidRDefault="00E55CAB" w:rsidP="00F11D23">
      <w:pPr>
        <w:pStyle w:val="H1G"/>
        <w:rPr>
          <w:szCs w:val="24"/>
          <w:lang w:val="en-GB"/>
        </w:rPr>
      </w:pPr>
      <w:r>
        <w:rPr>
          <w:szCs w:val="24"/>
        </w:rPr>
        <w:tab/>
      </w:r>
      <w:r>
        <w:rPr>
          <w:szCs w:val="24"/>
        </w:rPr>
        <w:tab/>
      </w:r>
      <w:r w:rsidR="00D561F4">
        <w:rPr>
          <w:szCs w:val="24"/>
          <w:lang w:val="en-GB"/>
        </w:rPr>
        <w:t>D</w:t>
      </w:r>
      <w:r>
        <w:rPr>
          <w:szCs w:val="24"/>
          <w:lang w:val="en-GB"/>
        </w:rPr>
        <w:t>ocument</w:t>
      </w:r>
      <w:r w:rsidRPr="003D36D8">
        <w:rPr>
          <w:szCs w:val="24"/>
          <w:lang w:val="en-GB"/>
        </w:rPr>
        <w:t xml:space="preserve"> ST/SG/AC.10/C.3/100/Add.1</w:t>
      </w:r>
      <w:r w:rsidR="00D561F4">
        <w:rPr>
          <w:szCs w:val="24"/>
          <w:lang w:val="en-GB"/>
        </w:rPr>
        <w:t>, annexe II: Correction</w:t>
      </w:r>
    </w:p>
    <w:p w14:paraId="1D44E575" w14:textId="77777777" w:rsidR="00E55CAB" w:rsidRPr="00461782" w:rsidRDefault="00E55CAB" w:rsidP="00E55CAB">
      <w:pPr>
        <w:pStyle w:val="SingleTxtG"/>
      </w:pPr>
      <w:r>
        <w:t xml:space="preserve">Sous les points </w:t>
      </w:r>
      <w:r w:rsidRPr="00461782">
        <w:t xml:space="preserve">5, 6, 13 </w:t>
      </w:r>
      <w:r>
        <w:t xml:space="preserve">et </w:t>
      </w:r>
      <w:r w:rsidRPr="00461782">
        <w:t xml:space="preserve">17, </w:t>
      </w:r>
      <w:r>
        <w:t>supprimer</w:t>
      </w:r>
      <w:r w:rsidRPr="00461782">
        <w:t xml:space="preserve"> </w:t>
      </w:r>
      <w:r>
        <w:t>« </w:t>
      </w:r>
      <w:r w:rsidRPr="008C7134">
        <w:rPr>
          <w:lang w:val="fr-FR"/>
        </w:rPr>
        <w:t xml:space="preserve">de phtalate de </w:t>
      </w:r>
      <w:proofErr w:type="spellStart"/>
      <w:r w:rsidRPr="008C7134">
        <w:rPr>
          <w:lang w:val="fr-FR"/>
        </w:rPr>
        <w:t>dibutyle</w:t>
      </w:r>
      <w:proofErr w:type="spellEnd"/>
      <w:r w:rsidRPr="008C7134">
        <w:rPr>
          <w:lang w:val="fr-FR"/>
        </w:rPr>
        <w:t xml:space="preserve"> </w:t>
      </w:r>
      <w:proofErr w:type="gramStart"/>
      <w:r w:rsidRPr="008C7134">
        <w:rPr>
          <w:lang w:val="fr-FR"/>
        </w:rPr>
        <w:t>ou</w:t>
      </w:r>
      <w:r>
        <w:rPr>
          <w:lang w:val="fr-FR"/>
        </w:rPr>
        <w:t> »</w:t>
      </w:r>
      <w:proofErr w:type="gramEnd"/>
      <w:r>
        <w:rPr>
          <w:lang w:val="fr-FR"/>
        </w:rPr>
        <w:t>.</w:t>
      </w:r>
    </w:p>
    <w:p w14:paraId="77236D20" w14:textId="77777777" w:rsidR="00E55CAB" w:rsidRDefault="00E55CAB" w:rsidP="00E55CAB">
      <w:pPr>
        <w:pStyle w:val="SingleTxtG"/>
        <w:rPr>
          <w:i/>
          <w:iCs/>
        </w:rPr>
      </w:pPr>
      <w:r w:rsidRPr="00461782">
        <w:rPr>
          <w:i/>
          <w:iCs/>
        </w:rPr>
        <w:t>(</w:t>
      </w:r>
      <w:r>
        <w:rPr>
          <w:i/>
          <w:iCs/>
        </w:rPr>
        <w:t xml:space="preserve">Document de référence </w:t>
      </w:r>
      <w:r w:rsidRPr="00461782">
        <w:rPr>
          <w:i/>
          <w:iCs/>
        </w:rPr>
        <w:t xml:space="preserve">: </w:t>
      </w:r>
      <w:r>
        <w:rPr>
          <w:i/>
          <w:iCs/>
        </w:rPr>
        <w:t>document informel</w:t>
      </w:r>
      <w:r w:rsidRPr="00461782">
        <w:rPr>
          <w:i/>
          <w:iCs/>
        </w:rPr>
        <w:t xml:space="preserve"> INF.50, Annex</w:t>
      </w:r>
      <w:r>
        <w:rPr>
          <w:i/>
          <w:iCs/>
        </w:rPr>
        <w:t>e</w:t>
      </w:r>
      <w:r w:rsidRPr="00461782">
        <w:rPr>
          <w:i/>
          <w:iCs/>
        </w:rPr>
        <w:t xml:space="preserve"> 5)</w:t>
      </w:r>
    </w:p>
    <w:p w14:paraId="251E6A99" w14:textId="3D2F45F3" w:rsidR="00E55CAB" w:rsidRPr="00F11D23" w:rsidRDefault="00E55CAB" w:rsidP="00F11D23">
      <w:pPr>
        <w:pStyle w:val="H1G"/>
        <w:rPr>
          <w:szCs w:val="24"/>
        </w:rPr>
      </w:pPr>
      <w:r>
        <w:rPr>
          <w:szCs w:val="24"/>
        </w:rPr>
        <w:tab/>
      </w:r>
      <w:r>
        <w:rPr>
          <w:szCs w:val="24"/>
        </w:rPr>
        <w:tab/>
      </w:r>
      <w:r w:rsidR="002B2EA2">
        <w:rPr>
          <w:szCs w:val="24"/>
        </w:rPr>
        <w:t>D</w:t>
      </w:r>
      <w:r w:rsidRPr="00461782">
        <w:rPr>
          <w:szCs w:val="24"/>
        </w:rPr>
        <w:t>ocument</w:t>
      </w:r>
      <w:r w:rsidRPr="00F11D23">
        <w:rPr>
          <w:szCs w:val="24"/>
        </w:rPr>
        <w:t xml:space="preserve"> ST/SG/AC.10/C.3/2018/61, adopté avec les modifications suivantes</w:t>
      </w:r>
      <w:r w:rsidR="00D561F4">
        <w:rPr>
          <w:szCs w:val="24"/>
        </w:rPr>
        <w:t> </w:t>
      </w:r>
      <w:r w:rsidRPr="00F11D23">
        <w:rPr>
          <w:szCs w:val="24"/>
        </w:rPr>
        <w:t>:</w:t>
      </w:r>
    </w:p>
    <w:p w14:paraId="1AEC40BB" w14:textId="77777777" w:rsidR="00E55CAB" w:rsidRPr="002C14C3" w:rsidRDefault="00E55CAB" w:rsidP="00E55CAB">
      <w:pPr>
        <w:pStyle w:val="SingleTxtG"/>
      </w:pPr>
      <w:r>
        <w:t>Supprimer tous les crochets.</w:t>
      </w:r>
    </w:p>
    <w:p w14:paraId="747C14E8" w14:textId="77777777" w:rsidR="00E55CAB" w:rsidRPr="00D561F4" w:rsidRDefault="002B2EA2" w:rsidP="00F11D23">
      <w:pPr>
        <w:pStyle w:val="H23G"/>
      </w:pPr>
      <w:r>
        <w:tab/>
      </w:r>
      <w:r>
        <w:tab/>
      </w:r>
      <w:r w:rsidR="00E55CAB" w:rsidRPr="00D561F4">
        <w:t>Section 20</w:t>
      </w:r>
    </w:p>
    <w:p w14:paraId="0B96B344" w14:textId="77777777" w:rsidR="00E55CAB" w:rsidRDefault="00E55CAB" w:rsidP="00F11D23">
      <w:pPr>
        <w:pStyle w:val="SingleTxtG"/>
        <w:tabs>
          <w:tab w:val="left" w:pos="2268"/>
        </w:tabs>
        <w:ind w:left="2268" w:hanging="1134"/>
      </w:pPr>
      <w:r>
        <w:t>20.2.6</w:t>
      </w:r>
      <w:r>
        <w:tab/>
      </w:r>
      <w:r>
        <w:tab/>
        <w:t xml:space="preserve">Dans le Nota, remplacer « la TPAA est </w:t>
      </w:r>
      <w:r>
        <w:rPr>
          <w:lang w:val="fr-FR"/>
        </w:rPr>
        <w:t>déterminée pour évaluer »</w:t>
      </w:r>
      <w:r>
        <w:t xml:space="preserve"> par « la TPAA est évaluée (par exemple calculée ou mesurée) pour déterminer ». </w:t>
      </w:r>
    </w:p>
    <w:p w14:paraId="2F67FCF0" w14:textId="77777777" w:rsidR="00E55CAB" w:rsidRDefault="00E55CAB" w:rsidP="00E55CAB">
      <w:pPr>
        <w:pStyle w:val="SingleTxtG"/>
        <w:rPr>
          <w:i/>
          <w:iCs/>
        </w:rPr>
      </w:pPr>
      <w:r w:rsidRPr="00461782">
        <w:rPr>
          <w:i/>
          <w:iCs/>
        </w:rPr>
        <w:lastRenderedPageBreak/>
        <w:t>(</w:t>
      </w:r>
      <w:r>
        <w:rPr>
          <w:i/>
          <w:iCs/>
        </w:rPr>
        <w:t>Document de référence : document informel</w:t>
      </w:r>
      <w:r w:rsidRPr="00461782">
        <w:rPr>
          <w:i/>
          <w:iCs/>
        </w:rPr>
        <w:t xml:space="preserve"> INF.50, Annex</w:t>
      </w:r>
      <w:r>
        <w:rPr>
          <w:i/>
          <w:iCs/>
        </w:rPr>
        <w:t>e</w:t>
      </w:r>
      <w:r w:rsidRPr="00461782">
        <w:rPr>
          <w:i/>
          <w:iCs/>
        </w:rPr>
        <w:t xml:space="preserve"> </w:t>
      </w:r>
      <w:r>
        <w:rPr>
          <w:i/>
          <w:iCs/>
        </w:rPr>
        <w:t>6</w:t>
      </w:r>
      <w:r w:rsidRPr="00461782">
        <w:rPr>
          <w:i/>
          <w:iCs/>
        </w:rPr>
        <w:t>)</w:t>
      </w:r>
    </w:p>
    <w:p w14:paraId="435F56BC" w14:textId="77777777" w:rsidR="00E55CAB" w:rsidRDefault="00E55CAB" w:rsidP="00F11D23">
      <w:pPr>
        <w:pStyle w:val="SingleTxtG"/>
        <w:ind w:left="2268" w:hanging="1134"/>
      </w:pPr>
      <w:r>
        <w:t>20.4.1.4</w:t>
      </w:r>
      <w:r>
        <w:tab/>
        <w:t xml:space="preserve">Dans la deuxième phrase, remplacer « la TPAA est </w:t>
      </w:r>
      <w:r>
        <w:rPr>
          <w:lang w:val="fr-FR"/>
        </w:rPr>
        <w:t>déterminée pour évaluer »</w:t>
      </w:r>
      <w:r>
        <w:t xml:space="preserve"> par « la TPAA est évaluée (par exemple calculée ou mesurée) pour déterminer ». </w:t>
      </w:r>
    </w:p>
    <w:p w14:paraId="3B8F3214" w14:textId="77777777" w:rsidR="00E55CAB" w:rsidRDefault="00E55CAB" w:rsidP="00E55CAB">
      <w:pPr>
        <w:pStyle w:val="SingleTxtG"/>
        <w:rPr>
          <w:i/>
          <w:iCs/>
        </w:rPr>
      </w:pPr>
      <w:r w:rsidRPr="00461782">
        <w:rPr>
          <w:i/>
          <w:iCs/>
        </w:rPr>
        <w:t>(</w:t>
      </w:r>
      <w:r>
        <w:rPr>
          <w:i/>
          <w:iCs/>
        </w:rPr>
        <w:t>Document de référence : document informel</w:t>
      </w:r>
      <w:r w:rsidRPr="00461782">
        <w:rPr>
          <w:i/>
          <w:iCs/>
        </w:rPr>
        <w:t xml:space="preserve"> INF.50, Annex</w:t>
      </w:r>
      <w:r>
        <w:rPr>
          <w:i/>
          <w:iCs/>
        </w:rPr>
        <w:t>e</w:t>
      </w:r>
      <w:r w:rsidRPr="00461782">
        <w:rPr>
          <w:i/>
          <w:iCs/>
        </w:rPr>
        <w:t xml:space="preserve"> </w:t>
      </w:r>
      <w:r>
        <w:rPr>
          <w:i/>
          <w:iCs/>
        </w:rPr>
        <w:t>6</w:t>
      </w:r>
      <w:r w:rsidRPr="00461782">
        <w:rPr>
          <w:i/>
          <w:iCs/>
        </w:rPr>
        <w:t>)</w:t>
      </w:r>
    </w:p>
    <w:p w14:paraId="5A8A6B74" w14:textId="7AE3BC5F" w:rsidR="00E55CAB" w:rsidRPr="00F11D23" w:rsidRDefault="00E55CAB" w:rsidP="00F11D23">
      <w:pPr>
        <w:pStyle w:val="H1G"/>
        <w:rPr>
          <w:szCs w:val="24"/>
        </w:rPr>
      </w:pPr>
      <w:r>
        <w:rPr>
          <w:szCs w:val="24"/>
        </w:rPr>
        <w:tab/>
      </w:r>
      <w:r>
        <w:rPr>
          <w:szCs w:val="24"/>
        </w:rPr>
        <w:tab/>
      </w:r>
      <w:r w:rsidR="002B2EA2">
        <w:rPr>
          <w:szCs w:val="24"/>
        </w:rPr>
        <w:t>D</w:t>
      </w:r>
      <w:r w:rsidRPr="00461782">
        <w:rPr>
          <w:szCs w:val="24"/>
        </w:rPr>
        <w:t>ocument</w:t>
      </w:r>
      <w:r w:rsidRPr="00F11D23">
        <w:rPr>
          <w:szCs w:val="24"/>
        </w:rPr>
        <w:t xml:space="preserve"> ST/SG/AC.10/C.3/2018/62</w:t>
      </w:r>
      <w:r w:rsidR="002B2EA2" w:rsidRPr="00F11D23">
        <w:rPr>
          <w:szCs w:val="24"/>
        </w:rPr>
        <w:t> :</w:t>
      </w:r>
      <w:r w:rsidRPr="00F11D23">
        <w:rPr>
          <w:szCs w:val="24"/>
        </w:rPr>
        <w:t xml:space="preserve"> adopté</w:t>
      </w:r>
    </w:p>
    <w:p w14:paraId="0B491BBC" w14:textId="61FFC142" w:rsidR="00E55CAB" w:rsidRPr="00F11D23" w:rsidRDefault="00E55CAB" w:rsidP="00F11D23">
      <w:pPr>
        <w:pStyle w:val="H1G"/>
        <w:rPr>
          <w:szCs w:val="24"/>
        </w:rPr>
      </w:pPr>
      <w:r>
        <w:rPr>
          <w:szCs w:val="24"/>
        </w:rPr>
        <w:tab/>
      </w:r>
      <w:r>
        <w:rPr>
          <w:szCs w:val="24"/>
        </w:rPr>
        <w:tab/>
      </w:r>
      <w:r w:rsidR="002B2EA2">
        <w:rPr>
          <w:szCs w:val="24"/>
        </w:rPr>
        <w:t>D</w:t>
      </w:r>
      <w:r w:rsidRPr="00461782">
        <w:rPr>
          <w:szCs w:val="24"/>
        </w:rPr>
        <w:t>ocument</w:t>
      </w:r>
      <w:r w:rsidRPr="00F11D23">
        <w:rPr>
          <w:szCs w:val="24"/>
        </w:rPr>
        <w:t xml:space="preserve"> ST/SG/AC.10/C.3/2018/64</w:t>
      </w:r>
      <w:r w:rsidR="002B2EA2" w:rsidRPr="00F11D23">
        <w:rPr>
          <w:szCs w:val="24"/>
        </w:rPr>
        <w:t>,</w:t>
      </w:r>
      <w:r w:rsidRPr="00F11D23">
        <w:rPr>
          <w:szCs w:val="24"/>
        </w:rPr>
        <w:t xml:space="preserve"> adopté avec les modifications suivantes :</w:t>
      </w:r>
    </w:p>
    <w:p w14:paraId="0EB99F91" w14:textId="2BA5E109" w:rsidR="00E55CAB" w:rsidRPr="00461782" w:rsidRDefault="00E55CAB" w:rsidP="00E55CAB">
      <w:pPr>
        <w:pStyle w:val="SingleTxtG"/>
      </w:pPr>
      <w:r>
        <w:t>Supprimer tous les crochets.</w:t>
      </w:r>
    </w:p>
    <w:p w14:paraId="6572F771" w14:textId="27827D63" w:rsidR="00E55CAB" w:rsidRPr="00461782" w:rsidRDefault="001B3FEB" w:rsidP="00F11D23">
      <w:pPr>
        <w:pStyle w:val="H23G"/>
      </w:pPr>
      <w:r>
        <w:tab/>
      </w:r>
      <w:r>
        <w:tab/>
      </w:r>
      <w:r w:rsidR="00E55CAB" w:rsidRPr="00461782">
        <w:t>Appen</w:t>
      </w:r>
      <w:r w:rsidR="00E55CAB">
        <w:t>dice</w:t>
      </w:r>
      <w:r w:rsidR="00E55CAB" w:rsidRPr="00461782">
        <w:t xml:space="preserve"> 11</w:t>
      </w:r>
    </w:p>
    <w:p w14:paraId="068B949A" w14:textId="77777777" w:rsidR="00E55CAB" w:rsidRPr="00461782" w:rsidRDefault="00E55CAB" w:rsidP="00E55CAB">
      <w:pPr>
        <w:pStyle w:val="SingleTxtG"/>
      </w:pPr>
      <w:r>
        <w:t xml:space="preserve">Paragraphe </w:t>
      </w:r>
      <w:r w:rsidRPr="00461782">
        <w:t>1</w:t>
      </w:r>
      <w:r w:rsidRPr="00461782">
        <w:tab/>
      </w:r>
      <w:r>
        <w:t>Supprimer</w:t>
      </w:r>
      <w:r w:rsidRPr="00461782">
        <w:t xml:space="preserve"> </w:t>
      </w:r>
      <w:r>
        <w:t>« </w:t>
      </w:r>
      <w:r w:rsidRPr="00DE6A6A">
        <w:rPr>
          <w:lang w:val="fr-FR"/>
        </w:rPr>
        <w:t>approuvés par l’ONU</w:t>
      </w:r>
      <w:r>
        <w:rPr>
          <w:lang w:val="fr-FR"/>
        </w:rPr>
        <w:t> »</w:t>
      </w:r>
      <w:r w:rsidRPr="00461782">
        <w:t>.</w:t>
      </w:r>
    </w:p>
    <w:p w14:paraId="33D096A9" w14:textId="05BBC71C" w:rsidR="00E55CAB" w:rsidRPr="00AA2F95" w:rsidRDefault="00E55CAB" w:rsidP="00E55CAB">
      <w:pPr>
        <w:pStyle w:val="SingleTxtG"/>
        <w:rPr>
          <w:i/>
          <w:iCs/>
        </w:rPr>
      </w:pPr>
      <w:r w:rsidRPr="00461782">
        <w:rPr>
          <w:i/>
          <w:iCs/>
        </w:rPr>
        <w:t>(</w:t>
      </w:r>
      <w:r>
        <w:rPr>
          <w:i/>
          <w:iCs/>
        </w:rPr>
        <w:t xml:space="preserve">Document de référence : </w:t>
      </w:r>
      <w:r w:rsidR="00ED1A21">
        <w:rPr>
          <w:i/>
          <w:iCs/>
        </w:rPr>
        <w:t xml:space="preserve">document informel </w:t>
      </w:r>
      <w:r w:rsidRPr="00461782">
        <w:rPr>
          <w:i/>
          <w:iCs/>
        </w:rPr>
        <w:t>INF.50, Annex</w:t>
      </w:r>
      <w:r>
        <w:rPr>
          <w:i/>
          <w:iCs/>
        </w:rPr>
        <w:t>e</w:t>
      </w:r>
      <w:r w:rsidRPr="00461782">
        <w:rPr>
          <w:i/>
          <w:iCs/>
        </w:rPr>
        <w:t xml:space="preserve"> 5)</w:t>
      </w:r>
    </w:p>
    <w:p w14:paraId="6430AC81" w14:textId="530AB205" w:rsidR="00E55CAB" w:rsidRPr="00F11D23" w:rsidRDefault="00E55CAB" w:rsidP="00F11D23">
      <w:pPr>
        <w:pStyle w:val="H1G"/>
        <w:rPr>
          <w:szCs w:val="24"/>
        </w:rPr>
      </w:pPr>
      <w:r>
        <w:rPr>
          <w:szCs w:val="24"/>
        </w:rPr>
        <w:tab/>
      </w:r>
      <w:r>
        <w:rPr>
          <w:szCs w:val="24"/>
        </w:rPr>
        <w:tab/>
      </w:r>
      <w:r w:rsidR="002B2EA2">
        <w:rPr>
          <w:szCs w:val="24"/>
        </w:rPr>
        <w:t>D</w:t>
      </w:r>
      <w:r w:rsidRPr="00461782">
        <w:rPr>
          <w:szCs w:val="24"/>
        </w:rPr>
        <w:t>ocument</w:t>
      </w:r>
      <w:r w:rsidRPr="00F11D23">
        <w:rPr>
          <w:szCs w:val="24"/>
        </w:rPr>
        <w:t xml:space="preserve"> ST/SG/AC.10/C.3/2018/65, Partie II</w:t>
      </w:r>
      <w:r w:rsidR="00B72301">
        <w:rPr>
          <w:szCs w:val="24"/>
        </w:rPr>
        <w:t>,</w:t>
      </w:r>
      <w:r w:rsidRPr="00F11D23">
        <w:rPr>
          <w:szCs w:val="24"/>
        </w:rPr>
        <w:t xml:space="preserve"> adopté avec </w:t>
      </w:r>
      <w:r w:rsidR="00B72301" w:rsidRPr="00F11D23">
        <w:rPr>
          <w:szCs w:val="24"/>
        </w:rPr>
        <w:t xml:space="preserve">la </w:t>
      </w:r>
      <w:r w:rsidRPr="00F11D23">
        <w:rPr>
          <w:szCs w:val="24"/>
        </w:rPr>
        <w:t xml:space="preserve">modification </w:t>
      </w:r>
      <w:proofErr w:type="gramStart"/>
      <w:r w:rsidRPr="00F11D23">
        <w:rPr>
          <w:szCs w:val="24"/>
        </w:rPr>
        <w:t>suivante:</w:t>
      </w:r>
      <w:proofErr w:type="gramEnd"/>
    </w:p>
    <w:p w14:paraId="3A56CC45" w14:textId="7100418F" w:rsidR="00E55CAB" w:rsidRPr="00461782" w:rsidRDefault="001B3FEB" w:rsidP="00F11D23">
      <w:pPr>
        <w:pStyle w:val="H23G"/>
      </w:pPr>
      <w:r>
        <w:tab/>
      </w:r>
      <w:r>
        <w:tab/>
      </w:r>
      <w:r w:rsidR="00E55CAB" w:rsidRPr="00461782">
        <w:t>Section 1</w:t>
      </w:r>
    </w:p>
    <w:p w14:paraId="2EE75320" w14:textId="647D86A1" w:rsidR="00E55CAB" w:rsidRPr="00461782" w:rsidRDefault="00E55CAB" w:rsidP="00F11D23">
      <w:pPr>
        <w:pStyle w:val="SingleTxtG"/>
        <w:tabs>
          <w:tab w:val="left" w:pos="1985"/>
        </w:tabs>
      </w:pPr>
      <w:r w:rsidRPr="00B72301">
        <w:t>1.6.1</w:t>
      </w:r>
      <w:r w:rsidRPr="00B72301">
        <w:tab/>
        <w:t>Remplacer « </w:t>
      </w:r>
      <w:r w:rsidR="00B72301">
        <w:t xml:space="preserve">Ajouter une nouvelle l) </w:t>
      </w:r>
      <w:r w:rsidRPr="00B72301">
        <w:t>sous les lignes actuelles pour les épreuves de la série 7</w:t>
      </w:r>
      <w:r w:rsidR="00B72301">
        <w:t>, comme suit</w:t>
      </w:r>
      <w:r w:rsidRPr="00B72301">
        <w:t xml:space="preserve"> » par « </w:t>
      </w:r>
      <w:r w:rsidR="00B72301">
        <w:t xml:space="preserve">Ajouter une nouvelle ligne </w:t>
      </w:r>
      <w:r w:rsidRPr="00B72301">
        <w:t>sous les lignes actuelles pour les épreuves de la série 7 k) ».</w:t>
      </w:r>
    </w:p>
    <w:p w14:paraId="7B6CC737" w14:textId="77777777" w:rsidR="00E55CAB" w:rsidRDefault="00E55CAB" w:rsidP="00E55CAB">
      <w:pPr>
        <w:pStyle w:val="SingleTxtG"/>
        <w:rPr>
          <w:i/>
          <w:iCs/>
        </w:rPr>
      </w:pPr>
      <w:r w:rsidRPr="00461782">
        <w:rPr>
          <w:i/>
          <w:iCs/>
        </w:rPr>
        <w:t>(</w:t>
      </w:r>
      <w:r>
        <w:rPr>
          <w:i/>
          <w:iCs/>
        </w:rPr>
        <w:t>Document de référence : document informel</w:t>
      </w:r>
      <w:r w:rsidRPr="00461782">
        <w:rPr>
          <w:i/>
          <w:iCs/>
        </w:rPr>
        <w:t xml:space="preserve"> INF.50, Annex</w:t>
      </w:r>
      <w:r>
        <w:rPr>
          <w:i/>
          <w:iCs/>
        </w:rPr>
        <w:t>e</w:t>
      </w:r>
      <w:r w:rsidRPr="00461782">
        <w:rPr>
          <w:i/>
          <w:iCs/>
        </w:rPr>
        <w:t xml:space="preserve"> 5)</w:t>
      </w:r>
    </w:p>
    <w:p w14:paraId="17238BF5" w14:textId="5F74739F" w:rsidR="00E55CAB" w:rsidRPr="00F11D23" w:rsidRDefault="00E55CAB" w:rsidP="00F11D23">
      <w:pPr>
        <w:pStyle w:val="H1G"/>
        <w:rPr>
          <w:szCs w:val="24"/>
        </w:rPr>
      </w:pPr>
      <w:r>
        <w:rPr>
          <w:szCs w:val="24"/>
        </w:rPr>
        <w:tab/>
      </w:r>
      <w:r>
        <w:rPr>
          <w:szCs w:val="24"/>
        </w:rPr>
        <w:tab/>
      </w:r>
      <w:r w:rsidR="002B2EA2">
        <w:rPr>
          <w:szCs w:val="24"/>
        </w:rPr>
        <w:t>D</w:t>
      </w:r>
      <w:r w:rsidRPr="00461782">
        <w:rPr>
          <w:szCs w:val="24"/>
        </w:rPr>
        <w:t>ocument</w:t>
      </w:r>
      <w:r w:rsidRPr="00F11D23">
        <w:rPr>
          <w:szCs w:val="24"/>
        </w:rPr>
        <w:t xml:space="preserve"> ST/SG/AC.10/C.3/2018/67, </w:t>
      </w:r>
      <w:r w:rsidR="002C0A59">
        <w:rPr>
          <w:szCs w:val="24"/>
        </w:rPr>
        <w:t>a</w:t>
      </w:r>
      <w:r w:rsidRPr="00F11D23">
        <w:rPr>
          <w:szCs w:val="24"/>
        </w:rPr>
        <w:t>nnexe</w:t>
      </w:r>
      <w:r w:rsidR="002C0A59">
        <w:rPr>
          <w:szCs w:val="24"/>
        </w:rPr>
        <w:t>s</w:t>
      </w:r>
      <w:r w:rsidRPr="00F11D23">
        <w:rPr>
          <w:szCs w:val="24"/>
        </w:rPr>
        <w:t xml:space="preserve"> </w:t>
      </w:r>
      <w:r w:rsidR="002C0A59">
        <w:rPr>
          <w:szCs w:val="24"/>
        </w:rPr>
        <w:t xml:space="preserve">I et </w:t>
      </w:r>
      <w:r w:rsidRPr="00F11D23">
        <w:rPr>
          <w:szCs w:val="24"/>
        </w:rPr>
        <w:t>II</w:t>
      </w:r>
      <w:r w:rsidR="00B72301">
        <w:rPr>
          <w:szCs w:val="24"/>
        </w:rPr>
        <w:t xml:space="preserve"> : </w:t>
      </w:r>
      <w:r w:rsidRPr="00F11D23">
        <w:rPr>
          <w:szCs w:val="24"/>
        </w:rPr>
        <w:t>adopté</w:t>
      </w:r>
      <w:r w:rsidR="002C0A59">
        <w:rPr>
          <w:szCs w:val="24"/>
        </w:rPr>
        <w:t>s</w:t>
      </w:r>
      <w:r w:rsidRPr="00F11D23">
        <w:rPr>
          <w:szCs w:val="24"/>
        </w:rPr>
        <w:t xml:space="preserve"> tel que modifié</w:t>
      </w:r>
      <w:r w:rsidR="002C0A59">
        <w:rPr>
          <w:szCs w:val="24"/>
        </w:rPr>
        <w:t>s</w:t>
      </w:r>
      <w:r w:rsidRPr="00F11D23">
        <w:rPr>
          <w:szCs w:val="24"/>
        </w:rPr>
        <w:t xml:space="preserve"> par le document informel INF.50, Annexe </w:t>
      </w:r>
      <w:r w:rsidR="00F15A86" w:rsidRPr="00F11D23">
        <w:rPr>
          <w:szCs w:val="24"/>
        </w:rPr>
        <w:t>I</w:t>
      </w:r>
      <w:r w:rsidRPr="00F11D23">
        <w:rPr>
          <w:szCs w:val="24"/>
        </w:rPr>
        <w:t>II, amendement</w:t>
      </w:r>
      <w:r w:rsidR="002C0A59">
        <w:rPr>
          <w:szCs w:val="24"/>
        </w:rPr>
        <w:t>s</w:t>
      </w:r>
      <w:r w:rsidRPr="00F11D23">
        <w:rPr>
          <w:szCs w:val="24"/>
        </w:rPr>
        <w:t xml:space="preserve"> </w:t>
      </w:r>
      <w:r w:rsidR="002C0A59">
        <w:rPr>
          <w:szCs w:val="24"/>
        </w:rPr>
        <w:t xml:space="preserve">1, 2, 3, 4 et </w:t>
      </w:r>
      <w:r w:rsidRPr="00F11D23">
        <w:rPr>
          <w:szCs w:val="24"/>
        </w:rPr>
        <w:t>5</w:t>
      </w:r>
    </w:p>
    <w:p w14:paraId="49BCFCF6" w14:textId="23B60FE2" w:rsidR="00E55CAB" w:rsidRDefault="00E55CAB" w:rsidP="00F11D23">
      <w:pPr>
        <w:pStyle w:val="H1G"/>
      </w:pPr>
      <w:r>
        <w:rPr>
          <w:szCs w:val="24"/>
        </w:rPr>
        <w:tab/>
      </w:r>
      <w:r>
        <w:rPr>
          <w:szCs w:val="24"/>
        </w:rPr>
        <w:tab/>
      </w:r>
      <w:r w:rsidR="002B2EA2">
        <w:rPr>
          <w:szCs w:val="24"/>
        </w:rPr>
        <w:t>D</w:t>
      </w:r>
      <w:r w:rsidRPr="00461782">
        <w:rPr>
          <w:szCs w:val="24"/>
        </w:rPr>
        <w:t>ocument</w:t>
      </w:r>
      <w:r w:rsidRPr="00461782">
        <w:t xml:space="preserve"> ST/SG/AC.10/C.3/201</w:t>
      </w:r>
      <w:r>
        <w:t>8</w:t>
      </w:r>
      <w:r w:rsidRPr="00461782">
        <w:t>/</w:t>
      </w:r>
      <w:r>
        <w:t>88</w:t>
      </w:r>
      <w:r w:rsidR="002B2EA2">
        <w:t>,</w:t>
      </w:r>
      <w:r>
        <w:t xml:space="preserve"> adopté</w:t>
      </w:r>
      <w:r w:rsidRPr="006F102C">
        <w:t xml:space="preserve"> </w:t>
      </w:r>
      <w:r>
        <w:t>avec la modification suivante</w:t>
      </w:r>
      <w:r w:rsidR="002B2EA2">
        <w:t> </w:t>
      </w:r>
      <w:r w:rsidRPr="00461782">
        <w:t>:</w:t>
      </w:r>
    </w:p>
    <w:p w14:paraId="724143BA" w14:textId="55572CCD" w:rsidR="00E55CAB" w:rsidRPr="003D36D8" w:rsidRDefault="00E55CAB" w:rsidP="00F11D23">
      <w:pPr>
        <w:pStyle w:val="H23G"/>
      </w:pPr>
      <w:r>
        <w:tab/>
      </w:r>
      <w:r w:rsidR="00000624">
        <w:tab/>
      </w:r>
      <w:r w:rsidR="00000624">
        <w:tab/>
      </w:r>
      <w:r>
        <w:t>Section 28</w:t>
      </w:r>
    </w:p>
    <w:p w14:paraId="4CD03905" w14:textId="77777777" w:rsidR="00E55CAB" w:rsidRDefault="00E55CAB" w:rsidP="00E55CAB">
      <w:pPr>
        <w:pStyle w:val="SingleTxtG"/>
      </w:pPr>
      <w:r>
        <w:t>28.2.5</w:t>
      </w:r>
      <w:r>
        <w:tab/>
      </w:r>
      <w:r>
        <w:tab/>
        <w:t>La modification ne s’applique pas au texte en français.</w:t>
      </w:r>
    </w:p>
    <w:p w14:paraId="6B2857CB" w14:textId="77777777" w:rsidR="00AE429C" w:rsidRPr="00B069C4" w:rsidRDefault="00E55CAB" w:rsidP="00E55CAB">
      <w:pPr>
        <w:pStyle w:val="SingleTxtG"/>
        <w:rPr>
          <w:i/>
          <w:iCs/>
        </w:rPr>
      </w:pPr>
      <w:r>
        <w:rPr>
          <w:i/>
          <w:iCs/>
        </w:rPr>
        <w:t>(Document de référence : document informel</w:t>
      </w:r>
      <w:r w:rsidRPr="00461782">
        <w:rPr>
          <w:i/>
          <w:iCs/>
        </w:rPr>
        <w:t xml:space="preserve"> INF.50, Annex</w:t>
      </w:r>
      <w:r>
        <w:rPr>
          <w:i/>
          <w:iCs/>
        </w:rPr>
        <w:t>e</w:t>
      </w:r>
      <w:r w:rsidRPr="00461782">
        <w:rPr>
          <w:i/>
          <w:iCs/>
        </w:rPr>
        <w:t xml:space="preserve"> </w:t>
      </w:r>
      <w:r>
        <w:rPr>
          <w:i/>
          <w:iCs/>
        </w:rPr>
        <w:t>6)</w:t>
      </w:r>
    </w:p>
    <w:p w14:paraId="05BD04EE" w14:textId="0C1C2AF6" w:rsidR="00E00A9A" w:rsidRPr="00F11D23" w:rsidRDefault="00E00A9A" w:rsidP="00F11D23">
      <w:pPr>
        <w:pStyle w:val="H1G"/>
        <w:rPr>
          <w:szCs w:val="24"/>
        </w:rPr>
      </w:pPr>
      <w:r>
        <w:rPr>
          <w:szCs w:val="24"/>
        </w:rPr>
        <w:tab/>
      </w:r>
      <w:r>
        <w:rPr>
          <w:szCs w:val="24"/>
        </w:rPr>
        <w:tab/>
      </w:r>
      <w:r w:rsidRPr="00F11D23">
        <w:rPr>
          <w:szCs w:val="24"/>
        </w:rPr>
        <w:t xml:space="preserve"> </w:t>
      </w:r>
      <w:r w:rsidR="002B2EA2">
        <w:rPr>
          <w:szCs w:val="24"/>
        </w:rPr>
        <w:t>D</w:t>
      </w:r>
      <w:r w:rsidRPr="00461782">
        <w:rPr>
          <w:szCs w:val="24"/>
        </w:rPr>
        <w:t>ocument</w:t>
      </w:r>
      <w:r w:rsidRPr="00F11D23">
        <w:rPr>
          <w:szCs w:val="24"/>
        </w:rPr>
        <w:t xml:space="preserve"> ST/SG/AC.10/C.3/2018/116</w:t>
      </w:r>
      <w:r w:rsidR="002B2EA2" w:rsidRPr="00F11D23">
        <w:rPr>
          <w:szCs w:val="24"/>
        </w:rPr>
        <w:t> :</w:t>
      </w:r>
      <w:r w:rsidRPr="00F11D23">
        <w:rPr>
          <w:szCs w:val="24"/>
        </w:rPr>
        <w:t xml:space="preserve"> adopté</w:t>
      </w:r>
    </w:p>
    <w:p w14:paraId="3F72CD71" w14:textId="77777777" w:rsidR="00E00A9A" w:rsidRPr="00E00A9A" w:rsidRDefault="00E00A9A" w:rsidP="00E00A9A">
      <w:pPr>
        <w:rPr>
          <w:lang w:val="fr-FR"/>
        </w:rPr>
      </w:pPr>
    </w:p>
    <w:p w14:paraId="32403D9F" w14:textId="77777777" w:rsidR="006C4CB9" w:rsidRDefault="006C4CB9">
      <w:pPr>
        <w:suppressAutoHyphens w:val="0"/>
        <w:spacing w:line="240" w:lineRule="auto"/>
        <w:rPr>
          <w:lang w:val="fr-FR"/>
        </w:rPr>
      </w:pPr>
      <w:r>
        <w:rPr>
          <w:lang w:val="fr-FR"/>
        </w:rPr>
        <w:br w:type="page"/>
      </w:r>
    </w:p>
    <w:p w14:paraId="6588C0DF" w14:textId="2FA8E0DB" w:rsidR="006C4CB9" w:rsidRDefault="006C4CB9" w:rsidP="001A018E">
      <w:pPr>
        <w:pStyle w:val="HChG"/>
      </w:pPr>
      <w:r>
        <w:lastRenderedPageBreak/>
        <w:t>Annex</w:t>
      </w:r>
      <w:r w:rsidR="00DC79D0">
        <w:t>e</w:t>
      </w:r>
      <w:r>
        <w:t xml:space="preserve"> III</w:t>
      </w:r>
      <w:r>
        <w:tab/>
      </w:r>
    </w:p>
    <w:p w14:paraId="4A5C091F" w14:textId="77777777" w:rsidR="006C4CB9" w:rsidRDefault="006C4CB9" w:rsidP="001A018E">
      <w:pPr>
        <w:pStyle w:val="HChG"/>
        <w:rPr>
          <w:lang w:val="fr-FR"/>
        </w:rPr>
      </w:pPr>
      <w:r>
        <w:tab/>
      </w:r>
      <w:r>
        <w:tab/>
      </w:r>
      <w:r w:rsidRPr="006B0E45">
        <w:rPr>
          <w:lang w:val="fr-FR"/>
        </w:rPr>
        <w:t>Corrections à la vingtième édition révisée des Recommandations relatives au transport des marchandises dangereuses, Règlement type (ST/SG/AC.10/1/Rev.20)</w:t>
      </w:r>
    </w:p>
    <w:p w14:paraId="47D6C97F" w14:textId="79F8AFBC" w:rsidR="00EC0ED6" w:rsidRPr="00754703" w:rsidRDefault="00EC0ED6" w:rsidP="00CF5A95">
      <w:pPr>
        <w:pStyle w:val="H23G"/>
      </w:pPr>
      <w:r>
        <w:tab/>
      </w:r>
      <w:r>
        <w:tab/>
      </w:r>
      <w:r w:rsidRPr="00754703">
        <w:t>Chap</w:t>
      </w:r>
      <w:r>
        <w:t xml:space="preserve">itre </w:t>
      </w:r>
      <w:r w:rsidRPr="00754703">
        <w:t>2.2, 2.2.1.2</w:t>
      </w:r>
      <w:r w:rsidR="002B2EA2">
        <w:t xml:space="preserve"> c)</w:t>
      </w:r>
    </w:p>
    <w:p w14:paraId="15FCE1CF" w14:textId="0103866D" w:rsidR="00EC0ED6" w:rsidRPr="00754703" w:rsidRDefault="002B2EA2" w:rsidP="00EC0ED6">
      <w:pPr>
        <w:pStyle w:val="SingleTxtG"/>
      </w:pPr>
      <w:r w:rsidRPr="00F11D23">
        <w:t>À la fin,</w:t>
      </w:r>
      <w:r>
        <w:rPr>
          <w:i/>
          <w:iCs/>
        </w:rPr>
        <w:t xml:space="preserve"> s</w:t>
      </w:r>
      <w:r w:rsidR="00EC0ED6">
        <w:rPr>
          <w:i/>
          <w:iCs/>
        </w:rPr>
        <w:t xml:space="preserve">upprimer </w:t>
      </w:r>
      <w:proofErr w:type="gramStart"/>
      <w:r w:rsidR="00EC0ED6">
        <w:t>ou</w:t>
      </w:r>
      <w:proofErr w:type="gramEnd"/>
    </w:p>
    <w:p w14:paraId="216F7F6B" w14:textId="77777777" w:rsidR="00EC0ED6" w:rsidRPr="00AE4FA3" w:rsidRDefault="00EC0ED6" w:rsidP="00EC0ED6">
      <w:pPr>
        <w:pStyle w:val="SingleTxtG"/>
        <w:rPr>
          <w:i/>
          <w:iCs/>
        </w:rPr>
      </w:pPr>
      <w:r w:rsidRPr="00AE4FA3">
        <w:rPr>
          <w:i/>
          <w:iCs/>
        </w:rPr>
        <w:t>(</w:t>
      </w:r>
      <w:r>
        <w:rPr>
          <w:i/>
          <w:iCs/>
        </w:rPr>
        <w:t>Document de référence : document informel INF.18</w:t>
      </w:r>
      <w:r w:rsidRPr="00AE4FA3">
        <w:rPr>
          <w:i/>
          <w:iCs/>
        </w:rPr>
        <w:t>)</w:t>
      </w:r>
    </w:p>
    <w:p w14:paraId="4D77EEB5" w14:textId="77777777" w:rsidR="00EC0ED6" w:rsidRPr="00754703" w:rsidRDefault="00EC0ED6" w:rsidP="00EC0ED6">
      <w:pPr>
        <w:pStyle w:val="H23G"/>
      </w:pPr>
      <w:r>
        <w:tab/>
      </w:r>
      <w:r>
        <w:tab/>
      </w:r>
      <w:r w:rsidR="00C34E53">
        <w:t>Chap</w:t>
      </w:r>
      <w:r>
        <w:t xml:space="preserve">itre </w:t>
      </w:r>
      <w:r w:rsidRPr="00754703">
        <w:t>2.</w:t>
      </w:r>
      <w:r>
        <w:t>4</w:t>
      </w:r>
      <w:r w:rsidRPr="00754703">
        <w:t>, 2.</w:t>
      </w:r>
      <w:r>
        <w:t>4.2.3.1.2 e</w:t>
      </w:r>
      <w:r w:rsidRPr="00754703">
        <w:t>)</w:t>
      </w:r>
    </w:p>
    <w:p w14:paraId="0D0D707F" w14:textId="77777777" w:rsidR="00EC0ED6" w:rsidRPr="00824BBE" w:rsidRDefault="00EC0ED6" w:rsidP="00EC0ED6">
      <w:pPr>
        <w:pStyle w:val="SingleTxtG"/>
      </w:pPr>
      <w:r w:rsidRPr="00754703">
        <w:rPr>
          <w:i/>
          <w:iCs/>
        </w:rPr>
        <w:tab/>
      </w:r>
      <w:r w:rsidRPr="00824BBE">
        <w:t>La correction ne s’applique pas au texte en français.</w:t>
      </w:r>
    </w:p>
    <w:p w14:paraId="57A16A56" w14:textId="77777777" w:rsidR="00EC0ED6" w:rsidRPr="00AE4FA3" w:rsidRDefault="00EC0ED6" w:rsidP="00EC0ED6">
      <w:pPr>
        <w:pStyle w:val="SingleTxtG"/>
        <w:rPr>
          <w:i/>
          <w:iCs/>
        </w:rPr>
      </w:pPr>
      <w:r w:rsidRPr="00AE4FA3">
        <w:rPr>
          <w:i/>
          <w:iCs/>
        </w:rPr>
        <w:t>(</w:t>
      </w:r>
      <w:r>
        <w:rPr>
          <w:i/>
          <w:iCs/>
        </w:rPr>
        <w:t>Document de référence : document informel INF.18</w:t>
      </w:r>
      <w:r w:rsidRPr="00AE4FA3">
        <w:rPr>
          <w:i/>
          <w:iCs/>
        </w:rPr>
        <w:t>)</w:t>
      </w:r>
    </w:p>
    <w:p w14:paraId="667959E7" w14:textId="25E02BD7" w:rsidR="00EC0ED6" w:rsidRPr="00754703" w:rsidRDefault="00EC0ED6" w:rsidP="00EC0ED6">
      <w:pPr>
        <w:pStyle w:val="H23G"/>
      </w:pPr>
      <w:r>
        <w:tab/>
      </w:r>
      <w:r>
        <w:tab/>
      </w:r>
      <w:r w:rsidRPr="00754703">
        <w:t>Chap</w:t>
      </w:r>
      <w:r>
        <w:t>itre</w:t>
      </w:r>
      <w:r w:rsidRPr="00754703">
        <w:t xml:space="preserve"> 2.</w:t>
      </w:r>
      <w:r>
        <w:t>8</w:t>
      </w:r>
      <w:r w:rsidRPr="00754703">
        <w:t>, 2.</w:t>
      </w:r>
      <w:r>
        <w:t>8.4.3.3</w:t>
      </w:r>
      <w:r w:rsidRPr="00754703">
        <w:t xml:space="preserve"> </w:t>
      </w:r>
    </w:p>
    <w:p w14:paraId="587AEC00" w14:textId="7C588B46" w:rsidR="00EC0ED6" w:rsidRPr="00E50126" w:rsidRDefault="002B2EA2" w:rsidP="00EC0ED6">
      <w:pPr>
        <w:pStyle w:val="SingleTxtG"/>
      </w:pPr>
      <w:r>
        <w:t>À</w:t>
      </w:r>
      <w:r w:rsidRPr="00F11D23">
        <w:t xml:space="preserve"> la fin,</w:t>
      </w:r>
      <w:r>
        <w:rPr>
          <w:i/>
          <w:iCs/>
        </w:rPr>
        <w:t xml:space="preserve"> a</w:t>
      </w:r>
      <w:r w:rsidR="00EC0ED6">
        <w:rPr>
          <w:i/>
          <w:iCs/>
        </w:rPr>
        <w:t xml:space="preserve">jouter </w:t>
      </w:r>
      <w:r w:rsidR="00EC0ED6">
        <w:t>Pour cette méthode de calcul, les limites de concentration génériques s’appliquent lorsque la valeur 1 % est utilisé dans la première étape pour l’évaluation des matières du groupe d’emballage I et puis 5 % est utilisé pour les étapes suivantes.</w:t>
      </w:r>
    </w:p>
    <w:p w14:paraId="7EBCAA37" w14:textId="77777777" w:rsidR="00EC0ED6" w:rsidRPr="00AE4FA3" w:rsidRDefault="00EC0ED6" w:rsidP="00EC0ED6">
      <w:pPr>
        <w:pStyle w:val="SingleTxtG"/>
        <w:ind w:left="567" w:firstLine="567"/>
        <w:rPr>
          <w:i/>
          <w:iCs/>
        </w:rPr>
      </w:pPr>
      <w:r w:rsidRPr="00AE4FA3">
        <w:rPr>
          <w:i/>
          <w:iCs/>
        </w:rPr>
        <w:t>(</w:t>
      </w:r>
      <w:r>
        <w:rPr>
          <w:i/>
          <w:iCs/>
        </w:rPr>
        <w:t>Document de référence : document informel INF.18</w:t>
      </w:r>
      <w:r w:rsidRPr="00AE4FA3">
        <w:rPr>
          <w:i/>
          <w:iCs/>
        </w:rPr>
        <w:t>)</w:t>
      </w:r>
    </w:p>
    <w:p w14:paraId="26DB079A" w14:textId="77777777" w:rsidR="00EC0ED6" w:rsidRPr="00754703" w:rsidRDefault="00EC0ED6" w:rsidP="00EC0ED6">
      <w:pPr>
        <w:pStyle w:val="H23G"/>
      </w:pPr>
      <w:r>
        <w:tab/>
      </w:r>
      <w:r>
        <w:tab/>
      </w:r>
      <w:r w:rsidRPr="00754703">
        <w:t>Chap</w:t>
      </w:r>
      <w:r>
        <w:t>itre</w:t>
      </w:r>
      <w:r w:rsidRPr="00754703">
        <w:t xml:space="preserve"> 2.</w:t>
      </w:r>
      <w:r>
        <w:t>8</w:t>
      </w:r>
      <w:r w:rsidRPr="00754703">
        <w:t>, 2.</w:t>
      </w:r>
      <w:r>
        <w:t>8.4.3.4, dernière phrase</w:t>
      </w:r>
    </w:p>
    <w:p w14:paraId="3BBF7018" w14:textId="77777777" w:rsidR="00EC0ED6" w:rsidRPr="00754703" w:rsidRDefault="00EC0ED6" w:rsidP="00EC0ED6">
      <w:pPr>
        <w:pStyle w:val="SingleTxtG"/>
      </w:pPr>
      <w:r w:rsidRPr="00754703">
        <w:rPr>
          <w:i/>
          <w:iCs/>
        </w:rPr>
        <w:tab/>
      </w:r>
      <w:r>
        <w:rPr>
          <w:i/>
          <w:iCs/>
        </w:rPr>
        <w:t>Supprimer</w:t>
      </w:r>
    </w:p>
    <w:p w14:paraId="3A3C17B2" w14:textId="77777777" w:rsidR="00EC0ED6" w:rsidRPr="00AE4FA3" w:rsidRDefault="00EC0ED6" w:rsidP="00EC0ED6">
      <w:pPr>
        <w:pStyle w:val="SingleTxtG"/>
        <w:rPr>
          <w:i/>
          <w:iCs/>
        </w:rPr>
      </w:pPr>
      <w:r w:rsidRPr="00AE4FA3">
        <w:rPr>
          <w:i/>
          <w:iCs/>
        </w:rPr>
        <w:t>(</w:t>
      </w:r>
      <w:r>
        <w:rPr>
          <w:i/>
          <w:iCs/>
        </w:rPr>
        <w:t>Document de référence : document informel INF.18</w:t>
      </w:r>
      <w:r w:rsidRPr="00AE4FA3">
        <w:rPr>
          <w:i/>
          <w:iCs/>
        </w:rPr>
        <w:t>)</w:t>
      </w:r>
    </w:p>
    <w:p w14:paraId="2E65CC60" w14:textId="6BE3F1B1" w:rsidR="00EC0ED6" w:rsidRPr="00754703" w:rsidRDefault="00EC0ED6" w:rsidP="00EC0ED6">
      <w:pPr>
        <w:pStyle w:val="H23G"/>
      </w:pPr>
      <w:r>
        <w:tab/>
      </w:r>
      <w:r>
        <w:tab/>
      </w:r>
      <w:r w:rsidRPr="00754703">
        <w:t>Chap</w:t>
      </w:r>
      <w:r>
        <w:t>itre</w:t>
      </w:r>
      <w:r w:rsidRPr="00754703">
        <w:t xml:space="preserve"> 2.</w:t>
      </w:r>
      <w:r>
        <w:t>8</w:t>
      </w:r>
      <w:r w:rsidRPr="00754703">
        <w:t>, 2.</w:t>
      </w:r>
      <w:r>
        <w:t xml:space="preserve">8.4.3.5, Example 2, </w:t>
      </w:r>
      <w:r w:rsidR="006A19CA">
        <w:t>calcul pour le groupe d’emballage III</w:t>
      </w:r>
      <w:r>
        <w:t xml:space="preserve"> </w:t>
      </w:r>
    </w:p>
    <w:p w14:paraId="125E4802" w14:textId="2F32A32D" w:rsidR="00EC0ED6" w:rsidRPr="006A19CA" w:rsidRDefault="006A19CA" w:rsidP="00EC0ED6">
      <w:pPr>
        <w:pStyle w:val="SingleTxtG"/>
      </w:pPr>
      <w:r w:rsidRPr="00F11D23">
        <w:t>La correction ne s’applique pas au texte en français</w:t>
      </w:r>
    </w:p>
    <w:p w14:paraId="45FD32FE" w14:textId="77777777" w:rsidR="00EC0ED6" w:rsidRPr="00AE4FA3" w:rsidRDefault="00EC0ED6" w:rsidP="00EC0ED6">
      <w:pPr>
        <w:pStyle w:val="SingleTxtG"/>
        <w:rPr>
          <w:i/>
          <w:iCs/>
        </w:rPr>
      </w:pPr>
      <w:r w:rsidRPr="00AE4FA3">
        <w:rPr>
          <w:i/>
          <w:iCs/>
        </w:rPr>
        <w:t>(</w:t>
      </w:r>
      <w:r>
        <w:rPr>
          <w:i/>
          <w:iCs/>
        </w:rPr>
        <w:t>Document de référence : document informel INF.18, tel que modifié</w:t>
      </w:r>
      <w:r w:rsidRPr="00AE4FA3">
        <w:rPr>
          <w:i/>
          <w:iCs/>
        </w:rPr>
        <w:t>)</w:t>
      </w:r>
    </w:p>
    <w:p w14:paraId="1D9A11F1" w14:textId="44AACE4A" w:rsidR="00EC0ED6" w:rsidRPr="00754703" w:rsidRDefault="00EC0ED6" w:rsidP="00EC0ED6">
      <w:pPr>
        <w:pStyle w:val="H23G"/>
      </w:pPr>
      <w:r>
        <w:tab/>
      </w:r>
      <w:r>
        <w:tab/>
      </w:r>
      <w:r w:rsidRPr="00754703">
        <w:t>Chap</w:t>
      </w:r>
      <w:r>
        <w:t>itre</w:t>
      </w:r>
      <w:r w:rsidRPr="00754703">
        <w:t xml:space="preserve"> </w:t>
      </w:r>
      <w:r>
        <w:t>3.3</w:t>
      </w:r>
      <w:r w:rsidRPr="00754703">
        <w:t xml:space="preserve">, </w:t>
      </w:r>
      <w:r>
        <w:t xml:space="preserve">disposition spéciale 188 </w:t>
      </w:r>
      <w:r w:rsidR="00000624">
        <w:t xml:space="preserve">alinéas </w:t>
      </w:r>
      <w:r>
        <w:t>g)</w:t>
      </w:r>
      <w:r w:rsidR="00000624">
        <w:t xml:space="preserve"> et h)</w:t>
      </w:r>
    </w:p>
    <w:p w14:paraId="3AAF11F5" w14:textId="172C6421" w:rsidR="00EC0ED6" w:rsidRPr="00754703" w:rsidRDefault="00EC0ED6" w:rsidP="00EC0ED6">
      <w:pPr>
        <w:pStyle w:val="SingleTxtG"/>
      </w:pPr>
      <w:r w:rsidRPr="00754703">
        <w:rPr>
          <w:i/>
          <w:iCs/>
        </w:rPr>
        <w:tab/>
      </w:r>
      <w:r>
        <w:rPr>
          <w:i/>
          <w:iCs/>
        </w:rPr>
        <w:t xml:space="preserve">Pour </w:t>
      </w:r>
      <w:r w:rsidRPr="000A5463">
        <w:t>Sauf lorsque les batteries</w:t>
      </w:r>
      <w:r>
        <w:rPr>
          <w:i/>
          <w:iCs/>
        </w:rPr>
        <w:t xml:space="preserve"> lire </w:t>
      </w:r>
      <w:r w:rsidRPr="000A5463">
        <w:t>Sauf lorsque les piles ou batteries</w:t>
      </w:r>
    </w:p>
    <w:p w14:paraId="6950C1D0" w14:textId="77777777" w:rsidR="00EC0ED6" w:rsidRPr="00AE4FA3" w:rsidRDefault="00EC0ED6" w:rsidP="00EC0ED6">
      <w:pPr>
        <w:pStyle w:val="SingleTxtG"/>
        <w:rPr>
          <w:i/>
          <w:iCs/>
        </w:rPr>
      </w:pPr>
      <w:r w:rsidRPr="00AE4FA3">
        <w:rPr>
          <w:i/>
          <w:iCs/>
        </w:rPr>
        <w:t>(</w:t>
      </w:r>
      <w:r>
        <w:rPr>
          <w:i/>
          <w:iCs/>
        </w:rPr>
        <w:t>Document de référence : document informel INF.18, tel que modifié</w:t>
      </w:r>
      <w:r w:rsidRPr="00AE4FA3">
        <w:rPr>
          <w:i/>
          <w:iCs/>
        </w:rPr>
        <w:t>)</w:t>
      </w:r>
    </w:p>
    <w:p w14:paraId="5DEDCA99" w14:textId="41FBF865" w:rsidR="00EC0ED6" w:rsidRPr="00754703" w:rsidRDefault="00EC0ED6" w:rsidP="00000624">
      <w:pPr>
        <w:pStyle w:val="H23G"/>
      </w:pPr>
      <w:r>
        <w:tab/>
      </w:r>
      <w:r>
        <w:tab/>
      </w:r>
      <w:r>
        <w:tab/>
      </w:r>
      <w:r w:rsidRPr="00754703">
        <w:t>Chap</w:t>
      </w:r>
      <w:r>
        <w:t>itre</w:t>
      </w:r>
      <w:r w:rsidRPr="00754703">
        <w:t xml:space="preserve"> </w:t>
      </w:r>
      <w:r>
        <w:t>3.3</w:t>
      </w:r>
      <w:r w:rsidRPr="00754703">
        <w:t xml:space="preserve">, </w:t>
      </w:r>
      <w:r>
        <w:t>disposition spéciale 392, rubrique pour le Règlement No. 134</w:t>
      </w:r>
    </w:p>
    <w:p w14:paraId="06823005" w14:textId="76CA0C49" w:rsidR="00EC0ED6" w:rsidRPr="00754703" w:rsidRDefault="00EC0ED6" w:rsidP="00EC0ED6">
      <w:pPr>
        <w:pStyle w:val="SingleTxtG"/>
      </w:pPr>
      <w:r w:rsidRPr="00754703">
        <w:rPr>
          <w:i/>
          <w:iCs/>
        </w:rPr>
        <w:tab/>
      </w:r>
      <w:r>
        <w:rPr>
          <w:i/>
          <w:iCs/>
        </w:rPr>
        <w:t xml:space="preserve">Pour </w:t>
      </w:r>
      <w:r>
        <w:t>Véhicules à hydrogène et à pile à combustible (HFCV)</w:t>
      </w:r>
      <w:r>
        <w:rPr>
          <w:i/>
          <w:iCs/>
        </w:rPr>
        <w:t xml:space="preserve"> lire </w:t>
      </w:r>
      <w:r>
        <w:t>Prescriptions uniformes relatives à l’homologation des véhicules automobiles et de leurs composants en ce qui concerne les prescriptions de sécurité des véhicules fonctionnant à l’hydrogène (HFCV)</w:t>
      </w:r>
    </w:p>
    <w:p w14:paraId="4B78DA86" w14:textId="77777777" w:rsidR="00EC0ED6" w:rsidRPr="00AE4FA3" w:rsidRDefault="00EC0ED6" w:rsidP="00EC0ED6">
      <w:pPr>
        <w:pStyle w:val="SingleTxtG"/>
        <w:rPr>
          <w:i/>
          <w:iCs/>
        </w:rPr>
      </w:pPr>
      <w:r w:rsidRPr="00AE4FA3">
        <w:rPr>
          <w:i/>
          <w:iCs/>
        </w:rPr>
        <w:t xml:space="preserve"> (</w:t>
      </w:r>
      <w:r>
        <w:rPr>
          <w:i/>
          <w:iCs/>
        </w:rPr>
        <w:t>Document de référence : document informel INF.18</w:t>
      </w:r>
      <w:r w:rsidRPr="00AE4FA3">
        <w:rPr>
          <w:i/>
          <w:iCs/>
        </w:rPr>
        <w:t>)</w:t>
      </w:r>
    </w:p>
    <w:p w14:paraId="7664350C" w14:textId="77777777" w:rsidR="00EC0ED6" w:rsidRPr="00754703" w:rsidRDefault="00EC0ED6" w:rsidP="00EC0ED6">
      <w:pPr>
        <w:pStyle w:val="H23G"/>
      </w:pPr>
      <w:r>
        <w:tab/>
      </w:r>
      <w:r>
        <w:tab/>
      </w:r>
      <w:r w:rsidRPr="00754703">
        <w:t>Chap</w:t>
      </w:r>
      <w:r>
        <w:t>itre</w:t>
      </w:r>
      <w:r w:rsidRPr="00754703">
        <w:t xml:space="preserve"> </w:t>
      </w:r>
      <w:r>
        <w:t>5.2</w:t>
      </w:r>
      <w:r w:rsidRPr="00754703">
        <w:t xml:space="preserve">, </w:t>
      </w:r>
      <w:r>
        <w:t>5.2.2.1.12.1, troisième phrase</w:t>
      </w:r>
    </w:p>
    <w:p w14:paraId="7D53FC8D" w14:textId="77777777" w:rsidR="00EC0ED6" w:rsidRPr="00754703" w:rsidRDefault="00EC0ED6" w:rsidP="00EC0ED6">
      <w:pPr>
        <w:pStyle w:val="SingleTxtG"/>
      </w:pPr>
      <w:r w:rsidRPr="00754703">
        <w:rPr>
          <w:i/>
          <w:iCs/>
        </w:rPr>
        <w:tab/>
      </w:r>
      <w:r>
        <w:rPr>
          <w:i/>
          <w:iCs/>
        </w:rPr>
        <w:t>Supprimer</w:t>
      </w:r>
    </w:p>
    <w:p w14:paraId="1A0C9C58" w14:textId="77777777" w:rsidR="00EC0ED6" w:rsidRPr="00AE4FA3" w:rsidRDefault="00EC0ED6" w:rsidP="00EC0ED6">
      <w:pPr>
        <w:pStyle w:val="SingleTxtG"/>
        <w:rPr>
          <w:i/>
          <w:iCs/>
        </w:rPr>
      </w:pPr>
      <w:r w:rsidRPr="00AE4FA3">
        <w:rPr>
          <w:i/>
          <w:iCs/>
        </w:rPr>
        <w:t>(</w:t>
      </w:r>
      <w:r>
        <w:rPr>
          <w:i/>
          <w:iCs/>
        </w:rPr>
        <w:t>Document de référence : document informel INF.18</w:t>
      </w:r>
      <w:r w:rsidRPr="00AE4FA3">
        <w:rPr>
          <w:i/>
          <w:iCs/>
        </w:rPr>
        <w:t>)</w:t>
      </w:r>
    </w:p>
    <w:p w14:paraId="70D69DD4" w14:textId="77777777" w:rsidR="00EC0ED6" w:rsidRPr="000E7835" w:rsidRDefault="00EC0ED6" w:rsidP="00EC0ED6">
      <w:pPr>
        <w:pStyle w:val="SingleTxtG"/>
        <w:spacing w:before="240" w:after="0"/>
        <w:jc w:val="center"/>
      </w:pPr>
      <w:r>
        <w:tab/>
      </w:r>
      <w:r>
        <w:tab/>
      </w:r>
      <w:r>
        <w:rPr>
          <w:u w:val="single"/>
        </w:rPr>
        <w:tab/>
      </w:r>
      <w:r>
        <w:rPr>
          <w:u w:val="single"/>
        </w:rPr>
        <w:tab/>
      </w:r>
      <w:r>
        <w:rPr>
          <w:u w:val="single"/>
        </w:rPr>
        <w:tab/>
      </w:r>
      <w:r>
        <w:tab/>
      </w:r>
    </w:p>
    <w:p w14:paraId="7471C141" w14:textId="77777777" w:rsidR="00EC0ED6" w:rsidRPr="00EC0ED6" w:rsidRDefault="00EC0ED6" w:rsidP="00EC0ED6">
      <w:pPr>
        <w:rPr>
          <w:lang w:val="fr-FR"/>
        </w:rPr>
      </w:pPr>
    </w:p>
    <w:sectPr w:rsidR="00EC0ED6" w:rsidRPr="00EC0ED6" w:rsidSect="00D148A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7754E" w14:textId="77777777" w:rsidR="004559DF" w:rsidRDefault="004559DF"/>
  </w:endnote>
  <w:endnote w:type="continuationSeparator" w:id="0">
    <w:p w14:paraId="47C5F698" w14:textId="77777777" w:rsidR="004559DF" w:rsidRDefault="004559DF"/>
  </w:endnote>
  <w:endnote w:type="continuationNotice" w:id="1">
    <w:p w14:paraId="4B23BD6F" w14:textId="77777777" w:rsidR="004559DF" w:rsidRDefault="00455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182D" w14:textId="77777777" w:rsidR="004559DF" w:rsidRPr="00D148AA" w:rsidRDefault="004559DF" w:rsidP="00D148AA">
    <w:pPr>
      <w:pStyle w:val="Footer"/>
      <w:tabs>
        <w:tab w:val="right" w:pos="9638"/>
      </w:tabs>
      <w:rPr>
        <w:sz w:val="18"/>
      </w:rPr>
    </w:pPr>
    <w:r w:rsidRPr="00D148AA">
      <w:rPr>
        <w:b/>
        <w:sz w:val="18"/>
      </w:rPr>
      <w:fldChar w:fldCharType="begin"/>
    </w:r>
    <w:r w:rsidRPr="00D148AA">
      <w:rPr>
        <w:b/>
        <w:sz w:val="18"/>
      </w:rPr>
      <w:instrText xml:space="preserve"> PAGE  \* MERGEFORMAT </w:instrText>
    </w:r>
    <w:r w:rsidRPr="00D148AA">
      <w:rPr>
        <w:b/>
        <w:sz w:val="18"/>
      </w:rPr>
      <w:fldChar w:fldCharType="separate"/>
    </w:r>
    <w:r w:rsidRPr="00D148AA">
      <w:rPr>
        <w:b/>
        <w:noProof/>
        <w:sz w:val="18"/>
      </w:rPr>
      <w:t>2</w:t>
    </w:r>
    <w:r w:rsidRPr="00D148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44C4" w14:textId="77777777" w:rsidR="004559DF" w:rsidRPr="00D148AA" w:rsidRDefault="004559DF" w:rsidP="00D148AA">
    <w:pPr>
      <w:pStyle w:val="Footer"/>
      <w:tabs>
        <w:tab w:val="right" w:pos="9638"/>
      </w:tabs>
      <w:rPr>
        <w:b/>
        <w:sz w:val="18"/>
      </w:rPr>
    </w:pPr>
    <w:r>
      <w:tab/>
    </w:r>
    <w:r w:rsidRPr="00D148AA">
      <w:rPr>
        <w:b/>
        <w:sz w:val="18"/>
      </w:rPr>
      <w:fldChar w:fldCharType="begin"/>
    </w:r>
    <w:r w:rsidRPr="00D148AA">
      <w:rPr>
        <w:b/>
        <w:sz w:val="18"/>
      </w:rPr>
      <w:instrText xml:space="preserve"> PAGE  \* MERGEFORMAT </w:instrText>
    </w:r>
    <w:r w:rsidRPr="00D148AA">
      <w:rPr>
        <w:b/>
        <w:sz w:val="18"/>
      </w:rPr>
      <w:fldChar w:fldCharType="separate"/>
    </w:r>
    <w:r w:rsidRPr="00D148AA">
      <w:rPr>
        <w:b/>
        <w:noProof/>
        <w:sz w:val="18"/>
      </w:rPr>
      <w:t>3</w:t>
    </w:r>
    <w:r w:rsidRPr="00D148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C8369" w14:textId="77777777" w:rsidR="004559DF" w:rsidRPr="00D27D5E" w:rsidRDefault="004559DF" w:rsidP="00D27D5E">
      <w:pPr>
        <w:tabs>
          <w:tab w:val="right" w:pos="2155"/>
        </w:tabs>
        <w:spacing w:after="80"/>
        <w:ind w:left="680"/>
        <w:rPr>
          <w:u w:val="single"/>
        </w:rPr>
      </w:pPr>
      <w:r>
        <w:rPr>
          <w:u w:val="single"/>
        </w:rPr>
        <w:tab/>
      </w:r>
    </w:p>
  </w:footnote>
  <w:footnote w:type="continuationSeparator" w:id="0">
    <w:p w14:paraId="4BB19884" w14:textId="77777777" w:rsidR="004559DF" w:rsidRPr="00A40B11" w:rsidRDefault="004559DF" w:rsidP="00A40B11">
      <w:pPr>
        <w:tabs>
          <w:tab w:val="right" w:pos="2155"/>
        </w:tabs>
        <w:spacing w:after="80"/>
        <w:ind w:left="680"/>
        <w:rPr>
          <w:u w:val="single"/>
        </w:rPr>
      </w:pPr>
      <w:r w:rsidRPr="00A40B11">
        <w:rPr>
          <w:u w:val="single"/>
        </w:rPr>
        <w:tab/>
      </w:r>
    </w:p>
  </w:footnote>
  <w:footnote w:type="continuationNotice" w:id="1">
    <w:p w14:paraId="4448D340" w14:textId="77777777" w:rsidR="004559DF" w:rsidRDefault="00455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604B" w14:textId="77777777" w:rsidR="004559DF" w:rsidRPr="00D148AA" w:rsidRDefault="004559DF">
    <w:pPr>
      <w:pStyle w:val="Header"/>
    </w:pPr>
    <w:r>
      <w:t>ST/SG/AC.10/C.3/108/Add.1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48A1" w14:textId="77777777" w:rsidR="004559DF" w:rsidRPr="00D148AA" w:rsidRDefault="004559DF" w:rsidP="00D148AA">
    <w:pPr>
      <w:pStyle w:val="Header"/>
      <w:jc w:val="right"/>
    </w:pPr>
    <w:r>
      <w:t>ST/SG/AC.10/C.3/108/Add.1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4F11660"/>
    <w:multiLevelType w:val="hybridMultilevel"/>
    <w:tmpl w:val="3792394E"/>
    <w:lvl w:ilvl="0" w:tplc="04090001">
      <w:start w:val="1"/>
      <w:numFmt w:val="bullet"/>
      <w:lvlText w:val=""/>
      <w:lvlJc w:val="left"/>
      <w:pPr>
        <w:ind w:left="3037" w:hanging="360"/>
      </w:pPr>
      <w:rPr>
        <w:rFonts w:ascii="Symbol" w:hAnsi="Symbol" w:hint="default"/>
      </w:rPr>
    </w:lvl>
    <w:lvl w:ilvl="1" w:tplc="04090003" w:tentative="1">
      <w:start w:val="1"/>
      <w:numFmt w:val="bullet"/>
      <w:lvlText w:val="o"/>
      <w:lvlJc w:val="left"/>
      <w:pPr>
        <w:ind w:left="3757" w:hanging="360"/>
      </w:pPr>
      <w:rPr>
        <w:rFonts w:ascii="Courier New" w:hAnsi="Courier New" w:cs="Courier New" w:hint="default"/>
      </w:rPr>
    </w:lvl>
    <w:lvl w:ilvl="2" w:tplc="04090005" w:tentative="1">
      <w:start w:val="1"/>
      <w:numFmt w:val="bullet"/>
      <w:lvlText w:val=""/>
      <w:lvlJc w:val="left"/>
      <w:pPr>
        <w:ind w:left="4477" w:hanging="360"/>
      </w:pPr>
      <w:rPr>
        <w:rFonts w:ascii="Wingdings" w:hAnsi="Wingdings" w:hint="default"/>
      </w:rPr>
    </w:lvl>
    <w:lvl w:ilvl="3" w:tplc="04090001" w:tentative="1">
      <w:start w:val="1"/>
      <w:numFmt w:val="bullet"/>
      <w:lvlText w:val=""/>
      <w:lvlJc w:val="left"/>
      <w:pPr>
        <w:ind w:left="5197" w:hanging="360"/>
      </w:pPr>
      <w:rPr>
        <w:rFonts w:ascii="Symbol" w:hAnsi="Symbol" w:hint="default"/>
      </w:rPr>
    </w:lvl>
    <w:lvl w:ilvl="4" w:tplc="04090003" w:tentative="1">
      <w:start w:val="1"/>
      <w:numFmt w:val="bullet"/>
      <w:lvlText w:val="o"/>
      <w:lvlJc w:val="left"/>
      <w:pPr>
        <w:ind w:left="5917" w:hanging="360"/>
      </w:pPr>
      <w:rPr>
        <w:rFonts w:ascii="Courier New" w:hAnsi="Courier New" w:cs="Courier New" w:hint="default"/>
      </w:rPr>
    </w:lvl>
    <w:lvl w:ilvl="5" w:tplc="04090005" w:tentative="1">
      <w:start w:val="1"/>
      <w:numFmt w:val="bullet"/>
      <w:lvlText w:val=""/>
      <w:lvlJc w:val="left"/>
      <w:pPr>
        <w:ind w:left="6637" w:hanging="360"/>
      </w:pPr>
      <w:rPr>
        <w:rFonts w:ascii="Wingdings" w:hAnsi="Wingdings" w:hint="default"/>
      </w:rPr>
    </w:lvl>
    <w:lvl w:ilvl="6" w:tplc="04090001" w:tentative="1">
      <w:start w:val="1"/>
      <w:numFmt w:val="bullet"/>
      <w:lvlText w:val=""/>
      <w:lvlJc w:val="left"/>
      <w:pPr>
        <w:ind w:left="7357" w:hanging="360"/>
      </w:pPr>
      <w:rPr>
        <w:rFonts w:ascii="Symbol" w:hAnsi="Symbol" w:hint="default"/>
      </w:rPr>
    </w:lvl>
    <w:lvl w:ilvl="7" w:tplc="04090003" w:tentative="1">
      <w:start w:val="1"/>
      <w:numFmt w:val="bullet"/>
      <w:lvlText w:val="o"/>
      <w:lvlJc w:val="left"/>
      <w:pPr>
        <w:ind w:left="8077" w:hanging="360"/>
      </w:pPr>
      <w:rPr>
        <w:rFonts w:ascii="Courier New" w:hAnsi="Courier New" w:cs="Courier New" w:hint="default"/>
      </w:rPr>
    </w:lvl>
    <w:lvl w:ilvl="8" w:tplc="04090005" w:tentative="1">
      <w:start w:val="1"/>
      <w:numFmt w:val="bullet"/>
      <w:lvlText w:val=""/>
      <w:lvlJc w:val="left"/>
      <w:pPr>
        <w:ind w:left="8797"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AA"/>
    <w:rsid w:val="00000624"/>
    <w:rsid w:val="00016AC5"/>
    <w:rsid w:val="00042017"/>
    <w:rsid w:val="0006773A"/>
    <w:rsid w:val="00072E7B"/>
    <w:rsid w:val="00073282"/>
    <w:rsid w:val="000B206A"/>
    <w:rsid w:val="000B3711"/>
    <w:rsid w:val="000B5484"/>
    <w:rsid w:val="000D3E81"/>
    <w:rsid w:val="000F41F2"/>
    <w:rsid w:val="001079E5"/>
    <w:rsid w:val="001410EC"/>
    <w:rsid w:val="00154CB9"/>
    <w:rsid w:val="00156AB1"/>
    <w:rsid w:val="00160540"/>
    <w:rsid w:val="0018111D"/>
    <w:rsid w:val="00192EEB"/>
    <w:rsid w:val="00197E7E"/>
    <w:rsid w:val="001A018E"/>
    <w:rsid w:val="001A20FB"/>
    <w:rsid w:val="001A32D1"/>
    <w:rsid w:val="001B3FEB"/>
    <w:rsid w:val="001C013A"/>
    <w:rsid w:val="001D0385"/>
    <w:rsid w:val="001D44B7"/>
    <w:rsid w:val="001D7F8A"/>
    <w:rsid w:val="001E3FEB"/>
    <w:rsid w:val="001E4A02"/>
    <w:rsid w:val="001E68C9"/>
    <w:rsid w:val="001F0E00"/>
    <w:rsid w:val="001F22F1"/>
    <w:rsid w:val="002156CB"/>
    <w:rsid w:val="002207DC"/>
    <w:rsid w:val="00220B3D"/>
    <w:rsid w:val="00225A8C"/>
    <w:rsid w:val="00240A3C"/>
    <w:rsid w:val="002659F1"/>
    <w:rsid w:val="002673A9"/>
    <w:rsid w:val="002801E5"/>
    <w:rsid w:val="00287E79"/>
    <w:rsid w:val="002928F9"/>
    <w:rsid w:val="002A5D07"/>
    <w:rsid w:val="002B2EA2"/>
    <w:rsid w:val="002C0A59"/>
    <w:rsid w:val="003016B7"/>
    <w:rsid w:val="00340F07"/>
    <w:rsid w:val="0034591A"/>
    <w:rsid w:val="003515AA"/>
    <w:rsid w:val="00353080"/>
    <w:rsid w:val="00374106"/>
    <w:rsid w:val="003976D5"/>
    <w:rsid w:val="003D3BED"/>
    <w:rsid w:val="003D6C68"/>
    <w:rsid w:val="003F5B56"/>
    <w:rsid w:val="00406945"/>
    <w:rsid w:val="004159D0"/>
    <w:rsid w:val="00421A60"/>
    <w:rsid w:val="00421F7A"/>
    <w:rsid w:val="004438A9"/>
    <w:rsid w:val="00455932"/>
    <w:rsid w:val="004559DF"/>
    <w:rsid w:val="0046126F"/>
    <w:rsid w:val="004776D1"/>
    <w:rsid w:val="00482AF2"/>
    <w:rsid w:val="00483D0C"/>
    <w:rsid w:val="00492E46"/>
    <w:rsid w:val="004A0F69"/>
    <w:rsid w:val="004A1557"/>
    <w:rsid w:val="004B41A4"/>
    <w:rsid w:val="004E16FD"/>
    <w:rsid w:val="005201CE"/>
    <w:rsid w:val="00524945"/>
    <w:rsid w:val="00543D5E"/>
    <w:rsid w:val="00562BA9"/>
    <w:rsid w:val="00566DAB"/>
    <w:rsid w:val="00571F41"/>
    <w:rsid w:val="0058132F"/>
    <w:rsid w:val="005C7B4F"/>
    <w:rsid w:val="005E5D1F"/>
    <w:rsid w:val="00603122"/>
    <w:rsid w:val="00611D43"/>
    <w:rsid w:val="00612D48"/>
    <w:rsid w:val="00616B45"/>
    <w:rsid w:val="00630D9B"/>
    <w:rsid w:val="00631953"/>
    <w:rsid w:val="006439EC"/>
    <w:rsid w:val="006679FB"/>
    <w:rsid w:val="006924C3"/>
    <w:rsid w:val="006A19CA"/>
    <w:rsid w:val="006B4590"/>
    <w:rsid w:val="006C340C"/>
    <w:rsid w:val="006C390F"/>
    <w:rsid w:val="006C4154"/>
    <w:rsid w:val="006C467A"/>
    <w:rsid w:val="006C4CB9"/>
    <w:rsid w:val="006E51D2"/>
    <w:rsid w:val="0070347C"/>
    <w:rsid w:val="00703DCC"/>
    <w:rsid w:val="00704E0E"/>
    <w:rsid w:val="007152D6"/>
    <w:rsid w:val="007176C1"/>
    <w:rsid w:val="00796086"/>
    <w:rsid w:val="007C0A75"/>
    <w:rsid w:val="007D5710"/>
    <w:rsid w:val="007D7CE5"/>
    <w:rsid w:val="007E7C8D"/>
    <w:rsid w:val="007F55CB"/>
    <w:rsid w:val="00832F3C"/>
    <w:rsid w:val="00844750"/>
    <w:rsid w:val="00845D4D"/>
    <w:rsid w:val="00850A60"/>
    <w:rsid w:val="00851BA3"/>
    <w:rsid w:val="00855512"/>
    <w:rsid w:val="0086254F"/>
    <w:rsid w:val="00866D64"/>
    <w:rsid w:val="008A4294"/>
    <w:rsid w:val="008A56E7"/>
    <w:rsid w:val="008B44C4"/>
    <w:rsid w:val="008C76CB"/>
    <w:rsid w:val="008E12DE"/>
    <w:rsid w:val="008E7FAE"/>
    <w:rsid w:val="0090403E"/>
    <w:rsid w:val="00911BF7"/>
    <w:rsid w:val="00917EE8"/>
    <w:rsid w:val="009303CB"/>
    <w:rsid w:val="00931BEB"/>
    <w:rsid w:val="0094723C"/>
    <w:rsid w:val="00951BBA"/>
    <w:rsid w:val="009716F2"/>
    <w:rsid w:val="00977EC8"/>
    <w:rsid w:val="00980FAD"/>
    <w:rsid w:val="009B614C"/>
    <w:rsid w:val="009C74D5"/>
    <w:rsid w:val="009D3A8C"/>
    <w:rsid w:val="009E7956"/>
    <w:rsid w:val="009E79B0"/>
    <w:rsid w:val="009F5122"/>
    <w:rsid w:val="00A1534D"/>
    <w:rsid w:val="00A2492E"/>
    <w:rsid w:val="00A40B11"/>
    <w:rsid w:val="00A40F0E"/>
    <w:rsid w:val="00A61DD7"/>
    <w:rsid w:val="00A61F69"/>
    <w:rsid w:val="00A91CE0"/>
    <w:rsid w:val="00A93A75"/>
    <w:rsid w:val="00AB5D3D"/>
    <w:rsid w:val="00AC67A1"/>
    <w:rsid w:val="00AC687F"/>
    <w:rsid w:val="00AC7977"/>
    <w:rsid w:val="00AE352C"/>
    <w:rsid w:val="00AE429C"/>
    <w:rsid w:val="00B0632E"/>
    <w:rsid w:val="00B10104"/>
    <w:rsid w:val="00B1469F"/>
    <w:rsid w:val="00B15353"/>
    <w:rsid w:val="00B20C2F"/>
    <w:rsid w:val="00B32E2D"/>
    <w:rsid w:val="00B41CAA"/>
    <w:rsid w:val="00B4300F"/>
    <w:rsid w:val="00B61990"/>
    <w:rsid w:val="00B72301"/>
    <w:rsid w:val="00BA7AB4"/>
    <w:rsid w:val="00BB2441"/>
    <w:rsid w:val="00BF0556"/>
    <w:rsid w:val="00BF1492"/>
    <w:rsid w:val="00BF24C2"/>
    <w:rsid w:val="00C056B2"/>
    <w:rsid w:val="00C261F8"/>
    <w:rsid w:val="00C33100"/>
    <w:rsid w:val="00C34E53"/>
    <w:rsid w:val="00C57996"/>
    <w:rsid w:val="00CA0680"/>
    <w:rsid w:val="00CB4F27"/>
    <w:rsid w:val="00CC260C"/>
    <w:rsid w:val="00CD1A71"/>
    <w:rsid w:val="00CD1FBB"/>
    <w:rsid w:val="00CD2641"/>
    <w:rsid w:val="00CF5A95"/>
    <w:rsid w:val="00D016B5"/>
    <w:rsid w:val="00D034F1"/>
    <w:rsid w:val="00D117BD"/>
    <w:rsid w:val="00D148AA"/>
    <w:rsid w:val="00D27D5E"/>
    <w:rsid w:val="00D3472F"/>
    <w:rsid w:val="00D561F4"/>
    <w:rsid w:val="00D7672C"/>
    <w:rsid w:val="00DC0B05"/>
    <w:rsid w:val="00DC79D0"/>
    <w:rsid w:val="00DE6D90"/>
    <w:rsid w:val="00DE7375"/>
    <w:rsid w:val="00DF002F"/>
    <w:rsid w:val="00DF163D"/>
    <w:rsid w:val="00E00A9A"/>
    <w:rsid w:val="00E0244D"/>
    <w:rsid w:val="00E25E12"/>
    <w:rsid w:val="00E32D32"/>
    <w:rsid w:val="00E55CAB"/>
    <w:rsid w:val="00E81E94"/>
    <w:rsid w:val="00E82607"/>
    <w:rsid w:val="00EA4106"/>
    <w:rsid w:val="00EC0ED6"/>
    <w:rsid w:val="00EC5AFA"/>
    <w:rsid w:val="00ED1A21"/>
    <w:rsid w:val="00F0067D"/>
    <w:rsid w:val="00F11D23"/>
    <w:rsid w:val="00F12455"/>
    <w:rsid w:val="00F15A86"/>
    <w:rsid w:val="00F3075C"/>
    <w:rsid w:val="00F30A6F"/>
    <w:rsid w:val="00F443E1"/>
    <w:rsid w:val="00F47F76"/>
    <w:rsid w:val="00F539F0"/>
    <w:rsid w:val="00F82125"/>
    <w:rsid w:val="00F85E35"/>
    <w:rsid w:val="00F970FF"/>
    <w:rsid w:val="00FA5A79"/>
    <w:rsid w:val="00FA67F3"/>
    <w:rsid w:val="00FA7BD2"/>
    <w:rsid w:val="00FB0BFE"/>
    <w:rsid w:val="00FB4C51"/>
    <w:rsid w:val="00FC09ED"/>
    <w:rsid w:val="00FD4586"/>
    <w:rsid w:val="00FE0EB6"/>
    <w:rsid w:val="00FF1DBD"/>
    <w:rsid w:val="00FF56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C5F05B7"/>
  <w15:docId w15:val="{72224BEC-F19A-4793-8050-4C49D99A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basedOn w:val="DefaultParagraphFon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1F22F1"/>
    <w:rPr>
      <w:lang w:val="fr-CH" w:eastAsia="en-US"/>
    </w:rPr>
  </w:style>
  <w:style w:type="character" w:customStyle="1" w:styleId="H23GChar">
    <w:name w:val="_ H_2/3_G Char"/>
    <w:link w:val="H23G"/>
    <w:rsid w:val="001F22F1"/>
    <w:rPr>
      <w:b/>
      <w:lang w:val="fr-CH" w:eastAsia="en-US"/>
    </w:rPr>
  </w:style>
  <w:style w:type="character" w:customStyle="1" w:styleId="HChGChar">
    <w:name w:val="_ H _Ch_G Char"/>
    <w:link w:val="HChG"/>
    <w:rsid w:val="001F22F1"/>
    <w:rPr>
      <w:b/>
      <w:sz w:val="28"/>
      <w:lang w:val="fr-CH" w:eastAsia="en-US"/>
    </w:rPr>
  </w:style>
  <w:style w:type="character" w:customStyle="1" w:styleId="H1GCar">
    <w:name w:val="_ H_1_G Car"/>
    <w:link w:val="H1G"/>
    <w:locked/>
    <w:rsid w:val="00F970FF"/>
    <w:rPr>
      <w:b/>
      <w:sz w:val="24"/>
      <w:lang w:val="fr-CH" w:eastAsia="en-US"/>
    </w:rPr>
  </w:style>
  <w:style w:type="paragraph" w:styleId="BalloonText">
    <w:name w:val="Balloon Text"/>
    <w:basedOn w:val="Normal"/>
    <w:link w:val="BalloonTextChar"/>
    <w:rsid w:val="00DC79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DC79D0"/>
    <w:rPr>
      <w:rFonts w:ascii="Segoe UI" w:hAnsi="Segoe UI" w:cs="Segoe UI"/>
      <w:sz w:val="18"/>
      <w:szCs w:val="18"/>
      <w:lang w:val="fr-CH" w:eastAsia="en-US"/>
    </w:rPr>
  </w:style>
  <w:style w:type="character" w:styleId="CommentReference">
    <w:name w:val="annotation reference"/>
    <w:basedOn w:val="DefaultParagraphFont"/>
    <w:semiHidden/>
    <w:unhideWhenUsed/>
    <w:rsid w:val="00CF5A95"/>
    <w:rPr>
      <w:sz w:val="16"/>
      <w:szCs w:val="16"/>
    </w:rPr>
  </w:style>
  <w:style w:type="paragraph" w:styleId="CommentText">
    <w:name w:val="annotation text"/>
    <w:basedOn w:val="Normal"/>
    <w:link w:val="CommentTextChar"/>
    <w:semiHidden/>
    <w:unhideWhenUsed/>
    <w:rsid w:val="00CF5A95"/>
    <w:pPr>
      <w:spacing w:line="240" w:lineRule="auto"/>
    </w:pPr>
  </w:style>
  <w:style w:type="character" w:customStyle="1" w:styleId="CommentTextChar">
    <w:name w:val="Comment Text Char"/>
    <w:basedOn w:val="DefaultParagraphFont"/>
    <w:link w:val="CommentText"/>
    <w:semiHidden/>
    <w:rsid w:val="00CF5A95"/>
    <w:rPr>
      <w:lang w:val="fr-CH" w:eastAsia="en-US"/>
    </w:rPr>
  </w:style>
  <w:style w:type="paragraph" w:styleId="CommentSubject">
    <w:name w:val="annotation subject"/>
    <w:basedOn w:val="CommentText"/>
    <w:next w:val="CommentText"/>
    <w:link w:val="CommentSubjectChar"/>
    <w:semiHidden/>
    <w:unhideWhenUsed/>
    <w:rsid w:val="00CF5A95"/>
    <w:rPr>
      <w:b/>
      <w:bCs/>
    </w:rPr>
  </w:style>
  <w:style w:type="character" w:customStyle="1" w:styleId="CommentSubjectChar">
    <w:name w:val="Comment Subject Char"/>
    <w:basedOn w:val="CommentTextChar"/>
    <w:link w:val="CommentSubject"/>
    <w:semiHidden/>
    <w:rsid w:val="00CF5A95"/>
    <w:rPr>
      <w:b/>
      <w:bCs/>
      <w:lang w:val="fr-CH" w:eastAsia="en-US"/>
    </w:rPr>
  </w:style>
  <w:style w:type="paragraph" w:styleId="Revision">
    <w:name w:val="Revision"/>
    <w:hidden/>
    <w:uiPriority w:val="99"/>
    <w:semiHidden/>
    <w:rsid w:val="00CF5A95"/>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2B57-F73F-4A8B-919C-C7AE7F35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782</TotalTime>
  <Pages>14</Pages>
  <Words>4540</Words>
  <Characters>24456</Characters>
  <Application>Microsoft Office Word</Application>
  <DocSecurity>0</DocSecurity>
  <Lines>528</Lines>
  <Paragraphs>291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MS</dc:creator>
  <cp:lastModifiedBy>Laurence Berthet</cp:lastModifiedBy>
  <cp:revision>75</cp:revision>
  <cp:lastPrinted>2018-12-20T15:49:00Z</cp:lastPrinted>
  <dcterms:created xsi:type="dcterms:W3CDTF">2018-12-05T07:48:00Z</dcterms:created>
  <dcterms:modified xsi:type="dcterms:W3CDTF">2018-12-20T15:49:00Z</dcterms:modified>
</cp:coreProperties>
</file>