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A22F7" w14:paraId="4CB8EFBE" w14:textId="77777777" w:rsidTr="009E6CB7">
        <w:trPr>
          <w:cantSplit/>
          <w:trHeight w:hRule="exact" w:val="851"/>
        </w:trPr>
        <w:tc>
          <w:tcPr>
            <w:tcW w:w="1276" w:type="dxa"/>
            <w:tcBorders>
              <w:bottom w:val="single" w:sz="4" w:space="0" w:color="auto"/>
            </w:tcBorders>
            <w:vAlign w:val="bottom"/>
          </w:tcPr>
          <w:p w14:paraId="43284BA2" w14:textId="77777777" w:rsidR="009E6CB7" w:rsidRPr="00BA22F7" w:rsidRDefault="009E6CB7" w:rsidP="009E6CB7">
            <w:pPr>
              <w:spacing w:after="80"/>
            </w:pPr>
          </w:p>
        </w:tc>
        <w:tc>
          <w:tcPr>
            <w:tcW w:w="2268" w:type="dxa"/>
            <w:tcBorders>
              <w:bottom w:val="single" w:sz="4" w:space="0" w:color="auto"/>
            </w:tcBorders>
            <w:vAlign w:val="bottom"/>
          </w:tcPr>
          <w:p w14:paraId="7BEA5379" w14:textId="77777777" w:rsidR="009E6CB7" w:rsidRPr="00BA22F7" w:rsidRDefault="009E6CB7" w:rsidP="009E6CB7">
            <w:pPr>
              <w:spacing w:after="80" w:line="300" w:lineRule="exact"/>
              <w:rPr>
                <w:b/>
                <w:sz w:val="24"/>
                <w:szCs w:val="24"/>
              </w:rPr>
            </w:pPr>
            <w:r w:rsidRPr="00BA22F7">
              <w:rPr>
                <w:sz w:val="28"/>
                <w:szCs w:val="28"/>
              </w:rPr>
              <w:t>United Nations</w:t>
            </w:r>
          </w:p>
        </w:tc>
        <w:tc>
          <w:tcPr>
            <w:tcW w:w="6095" w:type="dxa"/>
            <w:gridSpan w:val="2"/>
            <w:tcBorders>
              <w:bottom w:val="single" w:sz="4" w:space="0" w:color="auto"/>
            </w:tcBorders>
            <w:vAlign w:val="bottom"/>
          </w:tcPr>
          <w:p w14:paraId="6791500D" w14:textId="7146B437" w:rsidR="009E6CB7" w:rsidRPr="00BA22F7" w:rsidRDefault="0063461B" w:rsidP="007E043A">
            <w:pPr>
              <w:jc w:val="right"/>
            </w:pPr>
            <w:r w:rsidRPr="00BA22F7">
              <w:rPr>
                <w:sz w:val="40"/>
              </w:rPr>
              <w:t>ST</w:t>
            </w:r>
            <w:r w:rsidR="00527E4B" w:rsidRPr="00BA22F7">
              <w:t>/</w:t>
            </w:r>
            <w:r w:rsidRPr="00BA22F7">
              <w:t>SG/AC.10/C.3/</w:t>
            </w:r>
            <w:r w:rsidR="00C47F13" w:rsidRPr="00BA22F7">
              <w:t>10</w:t>
            </w:r>
            <w:r w:rsidR="00AB2106" w:rsidRPr="00BA22F7">
              <w:t>8</w:t>
            </w:r>
            <w:r w:rsidR="00444941" w:rsidRPr="00BA22F7">
              <w:t>/Add.1</w:t>
            </w:r>
          </w:p>
        </w:tc>
      </w:tr>
      <w:tr w:rsidR="009E6CB7" w:rsidRPr="00BA22F7" w14:paraId="1F78790E" w14:textId="77777777" w:rsidTr="009E6CB7">
        <w:trPr>
          <w:cantSplit/>
          <w:trHeight w:hRule="exact" w:val="2835"/>
        </w:trPr>
        <w:tc>
          <w:tcPr>
            <w:tcW w:w="1276" w:type="dxa"/>
            <w:tcBorders>
              <w:top w:val="single" w:sz="4" w:space="0" w:color="auto"/>
              <w:bottom w:val="single" w:sz="12" w:space="0" w:color="auto"/>
            </w:tcBorders>
          </w:tcPr>
          <w:p w14:paraId="6DD230E0" w14:textId="77777777" w:rsidR="009E6CB7" w:rsidRPr="00BA22F7" w:rsidRDefault="00C82CF0" w:rsidP="009E6CB7">
            <w:pPr>
              <w:spacing w:before="120"/>
            </w:pPr>
            <w:r w:rsidRPr="00BA22F7">
              <w:rPr>
                <w:noProof/>
                <w:lang w:eastAsia="en-GB"/>
              </w:rPr>
              <w:drawing>
                <wp:inline distT="0" distB="0" distL="0" distR="0" wp14:anchorId="76FE49E6" wp14:editId="1465FA1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A9EDF2" w14:textId="77777777" w:rsidR="009E6CB7" w:rsidRPr="0003697C" w:rsidRDefault="008A7340" w:rsidP="009E6CB7">
            <w:pPr>
              <w:spacing w:before="120" w:line="420" w:lineRule="exact"/>
              <w:rPr>
                <w:sz w:val="40"/>
                <w:szCs w:val="40"/>
              </w:rPr>
            </w:pPr>
            <w:r w:rsidRPr="0003697C">
              <w:rPr>
                <w:b/>
                <w:sz w:val="40"/>
                <w:szCs w:val="40"/>
              </w:rPr>
              <w:t>Secretariat</w:t>
            </w:r>
          </w:p>
        </w:tc>
        <w:tc>
          <w:tcPr>
            <w:tcW w:w="2835" w:type="dxa"/>
            <w:tcBorders>
              <w:top w:val="single" w:sz="4" w:space="0" w:color="auto"/>
              <w:bottom w:val="single" w:sz="12" w:space="0" w:color="auto"/>
            </w:tcBorders>
          </w:tcPr>
          <w:p w14:paraId="191A3E66" w14:textId="77777777" w:rsidR="0063461B" w:rsidRPr="0003697C" w:rsidRDefault="0063461B" w:rsidP="0063461B">
            <w:pPr>
              <w:spacing w:before="240" w:line="240" w:lineRule="exact"/>
            </w:pPr>
            <w:r w:rsidRPr="0003697C">
              <w:t>Distr.: General</w:t>
            </w:r>
          </w:p>
          <w:p w14:paraId="1ED88E99" w14:textId="5456499E" w:rsidR="0063461B" w:rsidRPr="0003697C" w:rsidRDefault="009D35D9" w:rsidP="00F245A8">
            <w:pPr>
              <w:spacing w:line="240" w:lineRule="exact"/>
            </w:pPr>
            <w:r w:rsidRPr="0003697C">
              <w:t>21</w:t>
            </w:r>
            <w:r w:rsidR="007A5E7E" w:rsidRPr="0003697C">
              <w:t xml:space="preserve"> December </w:t>
            </w:r>
            <w:r w:rsidR="00BC5968" w:rsidRPr="0003697C">
              <w:t>2018</w:t>
            </w:r>
          </w:p>
          <w:p w14:paraId="74E33841" w14:textId="06866526" w:rsidR="00E400BD" w:rsidRPr="0003697C" w:rsidRDefault="0003697C" w:rsidP="00D41DD3">
            <w:pPr>
              <w:spacing w:line="240" w:lineRule="exact"/>
            </w:pPr>
            <w:r w:rsidRPr="0003697C">
              <w:t>English</w:t>
            </w:r>
          </w:p>
          <w:p w14:paraId="4BF20A0D" w14:textId="0ECA94BD" w:rsidR="009E6CB7" w:rsidRPr="0003697C" w:rsidRDefault="0063461B" w:rsidP="00D41DD3">
            <w:pPr>
              <w:spacing w:line="240" w:lineRule="exact"/>
            </w:pPr>
            <w:r w:rsidRPr="0003697C">
              <w:t>Original: English</w:t>
            </w:r>
            <w:r w:rsidR="00E400BD" w:rsidRPr="0003697C">
              <w:t xml:space="preserve"> </w:t>
            </w:r>
            <w:r w:rsidR="00BA22F7" w:rsidRPr="0003697C">
              <w:t>and French</w:t>
            </w:r>
          </w:p>
        </w:tc>
      </w:tr>
    </w:tbl>
    <w:p w14:paraId="6BC8C9E0" w14:textId="77777777" w:rsidR="003133C5" w:rsidRPr="00BA22F7" w:rsidRDefault="003133C5" w:rsidP="003133C5">
      <w:pPr>
        <w:spacing w:before="120"/>
        <w:rPr>
          <w:b/>
          <w:sz w:val="24"/>
          <w:szCs w:val="24"/>
        </w:rPr>
      </w:pPr>
      <w:r w:rsidRPr="00BA22F7">
        <w:rPr>
          <w:b/>
          <w:sz w:val="24"/>
          <w:szCs w:val="24"/>
        </w:rPr>
        <w:t>Committee of Experts on the Transport of</w:t>
      </w:r>
      <w:r w:rsidR="0004101D" w:rsidRPr="00BA22F7">
        <w:rPr>
          <w:b/>
          <w:sz w:val="24"/>
          <w:szCs w:val="24"/>
        </w:rPr>
        <w:t xml:space="preserve"> </w:t>
      </w:r>
      <w:r w:rsidRPr="00BA22F7">
        <w:rPr>
          <w:b/>
          <w:sz w:val="24"/>
          <w:szCs w:val="24"/>
        </w:rPr>
        <w:t xml:space="preserve">Dangerous Goods </w:t>
      </w:r>
      <w:r w:rsidR="0004101D" w:rsidRPr="00BA22F7">
        <w:rPr>
          <w:b/>
          <w:sz w:val="24"/>
          <w:szCs w:val="24"/>
        </w:rPr>
        <w:br/>
      </w:r>
      <w:r w:rsidRPr="00BA22F7">
        <w:rPr>
          <w:b/>
          <w:sz w:val="24"/>
          <w:szCs w:val="24"/>
        </w:rPr>
        <w:t>and on the Globally</w:t>
      </w:r>
      <w:r w:rsidR="0004101D" w:rsidRPr="00BA22F7">
        <w:rPr>
          <w:b/>
          <w:sz w:val="24"/>
          <w:szCs w:val="24"/>
        </w:rPr>
        <w:t xml:space="preserve"> </w:t>
      </w:r>
      <w:r w:rsidRPr="00BA22F7">
        <w:rPr>
          <w:b/>
          <w:sz w:val="24"/>
          <w:szCs w:val="24"/>
        </w:rPr>
        <w:t xml:space="preserve">Harmonized System of Classification </w:t>
      </w:r>
      <w:r w:rsidR="0004101D" w:rsidRPr="00BA22F7">
        <w:rPr>
          <w:b/>
          <w:sz w:val="24"/>
          <w:szCs w:val="24"/>
        </w:rPr>
        <w:br/>
      </w:r>
      <w:r w:rsidRPr="00BA22F7">
        <w:rPr>
          <w:b/>
          <w:sz w:val="24"/>
          <w:szCs w:val="24"/>
        </w:rPr>
        <w:t>and</w:t>
      </w:r>
      <w:r w:rsidR="0004101D" w:rsidRPr="00BA22F7">
        <w:rPr>
          <w:b/>
          <w:sz w:val="24"/>
          <w:szCs w:val="24"/>
        </w:rPr>
        <w:t xml:space="preserve"> </w:t>
      </w:r>
      <w:r w:rsidRPr="00BA22F7">
        <w:rPr>
          <w:b/>
          <w:sz w:val="24"/>
          <w:szCs w:val="24"/>
        </w:rPr>
        <w:t>Labelling of Chemicals</w:t>
      </w:r>
    </w:p>
    <w:p w14:paraId="10F594A2" w14:textId="77777777" w:rsidR="003133C5" w:rsidRPr="00BA22F7" w:rsidRDefault="003133C5" w:rsidP="00880C45">
      <w:pPr>
        <w:tabs>
          <w:tab w:val="left" w:pos="0"/>
          <w:tab w:val="left" w:pos="6361"/>
          <w:tab w:val="left" w:pos="6939"/>
        </w:tabs>
        <w:spacing w:before="120"/>
        <w:outlineLvl w:val="0"/>
        <w:rPr>
          <w:b/>
        </w:rPr>
      </w:pPr>
      <w:r w:rsidRPr="00BA22F7">
        <w:rPr>
          <w:b/>
        </w:rPr>
        <w:t xml:space="preserve">Sub-Committee of Experts on the Transport of Dangerous Goods </w:t>
      </w:r>
    </w:p>
    <w:p w14:paraId="3853C0E0" w14:textId="03B438CF" w:rsidR="003133C5" w:rsidRPr="00BA22F7" w:rsidRDefault="003133C5" w:rsidP="00F245A8">
      <w:pPr>
        <w:pStyle w:val="HChG"/>
        <w:spacing w:before="240" w:after="120"/>
      </w:pPr>
      <w:r w:rsidRPr="00BA22F7">
        <w:tab/>
      </w:r>
      <w:r w:rsidRPr="00BA22F7">
        <w:tab/>
        <w:t xml:space="preserve">Report of the Sub-Committee of Experts on </w:t>
      </w:r>
      <w:r w:rsidR="00B54CC3" w:rsidRPr="00BA22F7">
        <w:t xml:space="preserve">the Transport of Dangerous Goods on </w:t>
      </w:r>
      <w:r w:rsidRPr="00BA22F7">
        <w:t xml:space="preserve">its </w:t>
      </w:r>
      <w:r w:rsidR="007E043A" w:rsidRPr="00BA22F7">
        <w:t>fifty-</w:t>
      </w:r>
      <w:r w:rsidR="00AB2106" w:rsidRPr="00BA22F7">
        <w:t xml:space="preserve">fourth </w:t>
      </w:r>
      <w:r w:rsidRPr="00BA22F7">
        <w:t>session</w:t>
      </w:r>
    </w:p>
    <w:p w14:paraId="001B29CB" w14:textId="79C376B6" w:rsidR="003133C5" w:rsidRPr="00BA22F7" w:rsidRDefault="00837038" w:rsidP="00F43C0F">
      <w:pPr>
        <w:pStyle w:val="H23G"/>
        <w:spacing w:before="120" w:after="240"/>
        <w:rPr>
          <w:b w:val="0"/>
        </w:rPr>
      </w:pPr>
      <w:r w:rsidRPr="00BA22F7">
        <w:tab/>
      </w:r>
      <w:r w:rsidRPr="00BA22F7">
        <w:tab/>
      </w:r>
      <w:r w:rsidR="00F245A8" w:rsidRPr="00BA22F7">
        <w:rPr>
          <w:b w:val="0"/>
        </w:rPr>
        <w:t>h</w:t>
      </w:r>
      <w:r w:rsidRPr="00BA22F7">
        <w:rPr>
          <w:b w:val="0"/>
        </w:rPr>
        <w:t xml:space="preserve">eld in Geneva from </w:t>
      </w:r>
      <w:r w:rsidR="00C47F13" w:rsidRPr="00BA22F7">
        <w:rPr>
          <w:b w:val="0"/>
        </w:rPr>
        <w:t>2</w:t>
      </w:r>
      <w:r w:rsidR="00AB2106" w:rsidRPr="00BA22F7">
        <w:rPr>
          <w:b w:val="0"/>
        </w:rPr>
        <w:t>6</w:t>
      </w:r>
      <w:r w:rsidR="00F12C97" w:rsidRPr="00BA22F7">
        <w:rPr>
          <w:b w:val="0"/>
        </w:rPr>
        <w:t xml:space="preserve"> November to </w:t>
      </w:r>
      <w:r w:rsidR="00AB2106" w:rsidRPr="00BA22F7">
        <w:rPr>
          <w:b w:val="0"/>
        </w:rPr>
        <w:t>4</w:t>
      </w:r>
      <w:r w:rsidR="00F12C97" w:rsidRPr="00BA22F7">
        <w:rPr>
          <w:b w:val="0"/>
        </w:rPr>
        <w:t xml:space="preserve"> December</w:t>
      </w:r>
      <w:r w:rsidR="00AB2106" w:rsidRPr="00BA22F7">
        <w:rPr>
          <w:b w:val="0"/>
        </w:rPr>
        <w:t xml:space="preserve"> 2018</w:t>
      </w:r>
    </w:p>
    <w:p w14:paraId="62DAEFF6" w14:textId="5BB2CF78" w:rsidR="00444941" w:rsidRPr="00BA22F7" w:rsidRDefault="00444941" w:rsidP="00444941">
      <w:pPr>
        <w:pStyle w:val="H1G"/>
      </w:pPr>
      <w:r w:rsidRPr="00BA22F7">
        <w:tab/>
      </w:r>
      <w:r w:rsidRPr="00BA22F7">
        <w:tab/>
        <w:t>Addendum</w:t>
      </w:r>
      <w:r w:rsidRPr="00BA22F7">
        <w:tab/>
      </w:r>
      <w:r w:rsidRPr="00BA22F7">
        <w:tab/>
      </w:r>
    </w:p>
    <w:p w14:paraId="03DD5E2B" w14:textId="0BC96B9E" w:rsidR="00444941" w:rsidRPr="00BA22F7" w:rsidRDefault="00444941" w:rsidP="00444941">
      <w:pPr>
        <w:spacing w:line="200" w:lineRule="atLeast"/>
        <w:rPr>
          <w:sz w:val="28"/>
        </w:rPr>
      </w:pPr>
      <w:r w:rsidRPr="00BA22F7">
        <w:rPr>
          <w:sz w:val="28"/>
        </w:rPr>
        <w:t>Contents</w:t>
      </w:r>
    </w:p>
    <w:p w14:paraId="10FE3ECD" w14:textId="6A4A70D9" w:rsidR="00444941" w:rsidRPr="00A902F4" w:rsidRDefault="00444941" w:rsidP="00444941">
      <w:pPr>
        <w:pStyle w:val="H1G"/>
        <w:rPr>
          <w:b w:val="0"/>
          <w:bCs/>
          <w:szCs w:val="24"/>
        </w:rPr>
      </w:pPr>
      <w:r w:rsidRPr="00A902F4">
        <w:rPr>
          <w:b w:val="0"/>
          <w:bCs/>
          <w:szCs w:val="24"/>
        </w:rPr>
        <w:tab/>
        <w:t>Annexes</w:t>
      </w:r>
      <w:bookmarkStart w:id="0" w:name="_GoBack"/>
      <w:bookmarkEnd w:id="0"/>
    </w:p>
    <w:p w14:paraId="5E725C7B" w14:textId="099E52B4" w:rsidR="00444941" w:rsidRPr="00BA22F7" w:rsidRDefault="00444941" w:rsidP="00444941">
      <w:pPr>
        <w:tabs>
          <w:tab w:val="right" w:pos="8929"/>
          <w:tab w:val="right" w:pos="9638"/>
        </w:tabs>
        <w:spacing w:after="120"/>
        <w:ind w:left="283"/>
      </w:pPr>
      <w:r w:rsidRPr="00BA22F7">
        <w:rPr>
          <w:i/>
          <w:sz w:val="18"/>
        </w:rPr>
        <w:tab/>
      </w:r>
      <w:r w:rsidRPr="00BA22F7">
        <w:rPr>
          <w:i/>
          <w:sz w:val="18"/>
        </w:rPr>
        <w:tab/>
        <w:t>Page</w:t>
      </w:r>
    </w:p>
    <w:p w14:paraId="0E67CD30" w14:textId="0F90BF38" w:rsidR="00B761FD" w:rsidRPr="0003494A" w:rsidRDefault="00B761FD" w:rsidP="0003494A">
      <w:pPr>
        <w:tabs>
          <w:tab w:val="right" w:pos="850"/>
          <w:tab w:val="left" w:pos="1134"/>
          <w:tab w:val="left" w:pos="1984"/>
          <w:tab w:val="left" w:leader="dot" w:pos="8931"/>
          <w:tab w:val="right" w:pos="9638"/>
        </w:tabs>
        <w:spacing w:after="120"/>
        <w:ind w:left="1134" w:hanging="1134"/>
      </w:pPr>
      <w:bookmarkStart w:id="1" w:name="_Hlk532993721"/>
      <w:r w:rsidRPr="0003494A">
        <w:tab/>
      </w:r>
      <w:r w:rsidR="00444941" w:rsidRPr="0003494A">
        <w:t>I.</w:t>
      </w:r>
      <w:r w:rsidRPr="0003494A">
        <w:tab/>
        <w:t xml:space="preserve">Draft amendments to the twentieth revised edition of the Recommendations </w:t>
      </w:r>
      <w:r w:rsidRPr="0003494A">
        <w:br/>
        <w:t xml:space="preserve">on the Transport of Dangerous Goods, Model Regulations </w:t>
      </w:r>
      <w:r w:rsidRPr="0003494A">
        <w:br/>
        <w:t>(ST/SG/AC.10/1/Rev.20)</w:t>
      </w:r>
      <w:r w:rsidRPr="0003494A">
        <w:tab/>
      </w:r>
      <w:r w:rsidR="00AD5397">
        <w:tab/>
        <w:t>2</w:t>
      </w:r>
    </w:p>
    <w:p w14:paraId="2B110E2C" w14:textId="49DB528A" w:rsidR="00B761FD" w:rsidRPr="003A6450" w:rsidRDefault="00444941" w:rsidP="0003494A">
      <w:pPr>
        <w:tabs>
          <w:tab w:val="right" w:pos="850"/>
          <w:tab w:val="left" w:pos="1134"/>
          <w:tab w:val="left" w:pos="1984"/>
          <w:tab w:val="left" w:leader="dot" w:pos="8931"/>
          <w:tab w:val="right" w:pos="9638"/>
        </w:tabs>
        <w:spacing w:after="120"/>
        <w:ind w:left="1134" w:hanging="1134"/>
      </w:pPr>
      <w:r w:rsidRPr="0003494A">
        <w:tab/>
        <w:t>II.</w:t>
      </w:r>
      <w:r w:rsidRPr="0003494A">
        <w:tab/>
      </w:r>
      <w:r w:rsidR="00B761FD" w:rsidRPr="003A6450">
        <w:t xml:space="preserve">Draft amendments to the sixth revised edition of the Recommendations </w:t>
      </w:r>
      <w:r w:rsidR="00B761FD" w:rsidRPr="0003494A">
        <w:br/>
      </w:r>
      <w:r w:rsidR="00B761FD" w:rsidRPr="003A6450">
        <w:t xml:space="preserve">on the Transport of Dangerous Goods, Manual of Tests and Criteria </w:t>
      </w:r>
      <w:r w:rsidR="00B761FD" w:rsidRPr="0003494A">
        <w:br/>
      </w:r>
      <w:r w:rsidR="00B761FD" w:rsidRPr="003A6450">
        <w:t>(ST/SG/AC.10/11/Rev.6 and Amend.1)</w:t>
      </w:r>
      <w:r w:rsidR="00B761FD" w:rsidRPr="0003494A">
        <w:tab/>
      </w:r>
      <w:r w:rsidR="00AD5397">
        <w:tab/>
        <w:t>12</w:t>
      </w:r>
    </w:p>
    <w:p w14:paraId="7B39BE53" w14:textId="75CD2151" w:rsidR="00B761FD" w:rsidRPr="003A6450" w:rsidRDefault="00444941" w:rsidP="003A6450">
      <w:pPr>
        <w:tabs>
          <w:tab w:val="right" w:pos="850"/>
          <w:tab w:val="left" w:pos="1134"/>
          <w:tab w:val="left" w:pos="1984"/>
          <w:tab w:val="left" w:leader="dot" w:pos="8931"/>
          <w:tab w:val="right" w:pos="9638"/>
        </w:tabs>
        <w:spacing w:after="120"/>
        <w:ind w:left="1134" w:hanging="1134"/>
      </w:pPr>
      <w:r w:rsidRPr="003A6450">
        <w:tab/>
      </w:r>
      <w:r w:rsidR="00B761FD" w:rsidRPr="0003494A">
        <w:t>III.</w:t>
      </w:r>
      <w:r w:rsidR="00B761FD" w:rsidRPr="0003494A">
        <w:tab/>
      </w:r>
      <w:r w:rsidR="00B761FD" w:rsidRPr="003A6450">
        <w:t xml:space="preserve">Corrections to the twentieth revised edition of the Recommendations </w:t>
      </w:r>
      <w:r w:rsidR="00B761FD" w:rsidRPr="0003494A">
        <w:br/>
      </w:r>
      <w:r w:rsidR="00B761FD" w:rsidRPr="003A6450">
        <w:t xml:space="preserve">on the Transport of Dangerous Goods, Model Regulations </w:t>
      </w:r>
      <w:r w:rsidR="00B761FD" w:rsidRPr="0003494A">
        <w:br/>
      </w:r>
      <w:r w:rsidR="00B761FD" w:rsidRPr="003A6450">
        <w:t>(ST/SG/AC.10/1/Rev.20)</w:t>
      </w:r>
      <w:r w:rsidR="00B761FD" w:rsidRPr="0003494A">
        <w:tab/>
      </w:r>
      <w:r w:rsidR="00AD5397">
        <w:tab/>
        <w:t>14</w:t>
      </w:r>
    </w:p>
    <w:bookmarkEnd w:id="1"/>
    <w:p w14:paraId="4BECEEF2" w14:textId="77777777" w:rsidR="00444941" w:rsidRPr="00BA22F7" w:rsidRDefault="00444941">
      <w:pPr>
        <w:suppressAutoHyphens w:val="0"/>
        <w:spacing w:line="240" w:lineRule="auto"/>
        <w:rPr>
          <w:b/>
          <w:sz w:val="28"/>
        </w:rPr>
      </w:pPr>
      <w:r w:rsidRPr="00BA22F7">
        <w:br w:type="page"/>
      </w:r>
    </w:p>
    <w:p w14:paraId="3F8332F7" w14:textId="42078C20" w:rsidR="00444941" w:rsidRPr="00BA22F7" w:rsidRDefault="00444941" w:rsidP="00444941">
      <w:pPr>
        <w:pStyle w:val="HChG"/>
      </w:pPr>
      <w:r w:rsidRPr="00BA22F7">
        <w:lastRenderedPageBreak/>
        <w:tab/>
      </w:r>
      <w:r w:rsidRPr="00BA22F7">
        <w:tab/>
        <w:t>Annex I</w:t>
      </w:r>
    </w:p>
    <w:p w14:paraId="2747107D" w14:textId="76A20E32" w:rsidR="00444941" w:rsidRPr="00BA22F7" w:rsidRDefault="00444941" w:rsidP="00444941">
      <w:pPr>
        <w:pStyle w:val="HChG"/>
      </w:pPr>
      <w:r w:rsidRPr="00BA22F7">
        <w:tab/>
      </w:r>
      <w:r w:rsidRPr="00BA22F7">
        <w:tab/>
        <w:t>Draft amendments to the twentieth revised edition of the Recommendations on the Transport of Dangerous Goods, Model Regulations (ST/SG/AC.10/1/Rev.20)</w:t>
      </w:r>
    </w:p>
    <w:p w14:paraId="6C504E52" w14:textId="77777777" w:rsidR="00444941" w:rsidRPr="00BA22F7" w:rsidRDefault="00444941" w:rsidP="00EC04B8">
      <w:pPr>
        <w:pStyle w:val="H1G"/>
      </w:pPr>
      <w:r w:rsidRPr="00BA22F7">
        <w:tab/>
      </w:r>
      <w:r w:rsidRPr="00BA22F7">
        <w:tab/>
        <w:t>Chapter 1.1</w:t>
      </w:r>
    </w:p>
    <w:p w14:paraId="5FD9817E" w14:textId="6A76462F" w:rsidR="00444941" w:rsidRPr="00BA22F7" w:rsidRDefault="00EC04B8" w:rsidP="00444941">
      <w:pPr>
        <w:pStyle w:val="SingleTxtG"/>
      </w:pPr>
      <w:r>
        <w:t>The</w:t>
      </w:r>
      <w:r w:rsidRPr="00BA22F7">
        <w:t xml:space="preserve"> </w:t>
      </w:r>
      <w:r w:rsidR="00444941" w:rsidRPr="00BA22F7">
        <w:t xml:space="preserve">amendment </w:t>
      </w:r>
      <w:r w:rsidR="002D4C39">
        <w:t xml:space="preserve">to Note 1 under the heading </w:t>
      </w:r>
      <w:r w:rsidR="00444941" w:rsidRPr="00BA22F7">
        <w:t>does not apply to the English version.</w:t>
      </w:r>
    </w:p>
    <w:p w14:paraId="3649B995" w14:textId="77777777" w:rsidR="00444941" w:rsidRPr="00BA22F7" w:rsidRDefault="00444941" w:rsidP="00444941">
      <w:pPr>
        <w:pStyle w:val="SingleTxtG"/>
        <w:rPr>
          <w:i/>
          <w:iCs/>
        </w:rPr>
      </w:pPr>
      <w:r w:rsidRPr="00BA22F7">
        <w:rPr>
          <w:i/>
          <w:iCs/>
        </w:rPr>
        <w:t>(Reference document: informal document INF.52, proposal 4)</w:t>
      </w:r>
    </w:p>
    <w:p w14:paraId="6E409846" w14:textId="00E368D6" w:rsidR="007F2035" w:rsidRDefault="00444941" w:rsidP="007F2035">
      <w:pPr>
        <w:pStyle w:val="SingleTxtG"/>
        <w:tabs>
          <w:tab w:val="left" w:pos="2127"/>
        </w:tabs>
        <w:ind w:left="2127" w:hanging="993"/>
      </w:pPr>
      <w:r w:rsidRPr="00BA22F7">
        <w:t>1.1.1.2</w:t>
      </w:r>
      <w:r w:rsidRPr="00BA22F7">
        <w:tab/>
      </w:r>
      <w:r w:rsidR="007F2035">
        <w:t>The amendment to sub-paragraph (a) and note 3 does not apply to the English version.</w:t>
      </w:r>
    </w:p>
    <w:p w14:paraId="456157CE" w14:textId="3F1E9A82" w:rsidR="00444941" w:rsidRPr="00BA22F7" w:rsidRDefault="00444941" w:rsidP="007F2035">
      <w:pPr>
        <w:pStyle w:val="SingleTxtG"/>
        <w:tabs>
          <w:tab w:val="left" w:pos="2127"/>
        </w:tabs>
        <w:ind w:left="2127"/>
      </w:pPr>
      <w:r w:rsidRPr="00BA22F7">
        <w:t>Add a new note 4 as follows:</w:t>
      </w:r>
    </w:p>
    <w:p w14:paraId="42724909" w14:textId="77777777" w:rsidR="00444941" w:rsidRPr="0003494A" w:rsidRDefault="00444941" w:rsidP="007F2035">
      <w:pPr>
        <w:pStyle w:val="SingleTxtG"/>
        <w:tabs>
          <w:tab w:val="left" w:pos="2127"/>
        </w:tabs>
        <w:ind w:left="2127"/>
        <w:rPr>
          <w:i/>
          <w:iCs/>
        </w:rPr>
      </w:pPr>
      <w:r w:rsidRPr="00BA22F7">
        <w:t>“</w:t>
      </w:r>
      <w:r w:rsidRPr="0003494A">
        <w:rPr>
          <w:b/>
          <w:bCs/>
          <w:i/>
          <w:iCs/>
        </w:rPr>
        <w:t>NOTE 4</w:t>
      </w:r>
      <w:r w:rsidRPr="0003494A">
        <w:rPr>
          <w:i/>
          <w:iCs/>
        </w:rPr>
        <w:t>:</w:t>
      </w:r>
      <w:r w:rsidRPr="0003494A">
        <w:rPr>
          <w:i/>
          <w:iCs/>
        </w:rPr>
        <w:tab/>
        <w:t>For dangerous goods in equipment in use or intended for use during transport, see 5.5.4.”</w:t>
      </w:r>
    </w:p>
    <w:p w14:paraId="330A8930" w14:textId="1C3D9246" w:rsidR="00444941" w:rsidRPr="00BA22F7" w:rsidRDefault="007F2035" w:rsidP="007F2035">
      <w:pPr>
        <w:pStyle w:val="SingleTxtG"/>
        <w:tabs>
          <w:tab w:val="left" w:pos="2127"/>
        </w:tabs>
        <w:ind w:left="2127" w:hanging="993"/>
        <w:rPr>
          <w:i/>
          <w:iCs/>
        </w:rPr>
      </w:pPr>
      <w:r w:rsidRPr="00BA22F7">
        <w:rPr>
          <w:i/>
          <w:iCs/>
        </w:rPr>
        <w:t xml:space="preserve"> </w:t>
      </w:r>
      <w:r w:rsidR="00444941" w:rsidRPr="00BA22F7">
        <w:rPr>
          <w:i/>
          <w:iCs/>
        </w:rPr>
        <w:t>(Reference document: informal document INF.52, proposal</w:t>
      </w:r>
      <w:r>
        <w:rPr>
          <w:i/>
          <w:iCs/>
        </w:rPr>
        <w:t xml:space="preserve">s 1 and </w:t>
      </w:r>
      <w:r w:rsidR="00444941" w:rsidRPr="00BA22F7">
        <w:rPr>
          <w:i/>
          <w:iCs/>
        </w:rPr>
        <w:t>3)</w:t>
      </w:r>
    </w:p>
    <w:p w14:paraId="363DC38A" w14:textId="53C1C1DD" w:rsidR="00444941" w:rsidRPr="00BA22F7" w:rsidRDefault="00444941" w:rsidP="007F2035">
      <w:pPr>
        <w:pStyle w:val="H1G"/>
        <w:tabs>
          <w:tab w:val="left" w:pos="2127"/>
        </w:tabs>
        <w:ind w:left="2127" w:hanging="993"/>
      </w:pPr>
      <w:r w:rsidRPr="00BA22F7">
        <w:t>Chapter 1.5</w:t>
      </w:r>
    </w:p>
    <w:p w14:paraId="30093D59" w14:textId="0C5E980C" w:rsidR="00EC04B8" w:rsidRDefault="00444941" w:rsidP="007F2035">
      <w:pPr>
        <w:pStyle w:val="SingleTxtG"/>
        <w:tabs>
          <w:tab w:val="left" w:pos="2127"/>
        </w:tabs>
        <w:ind w:left="2127" w:hanging="993"/>
      </w:pPr>
      <w:r w:rsidRPr="00BA22F7">
        <w:t>1.5.2.5</w:t>
      </w:r>
      <w:r w:rsidRPr="00BA22F7">
        <w:tab/>
      </w:r>
      <w:r w:rsidRPr="00BA22F7">
        <w:tab/>
        <w:t xml:space="preserve">In the first sentence, replace “accidents or incidents” by “a nuclear or radiological emergency” and “, emergency provisions, as established” by “, provisions as established”. </w:t>
      </w:r>
    </w:p>
    <w:p w14:paraId="7A835B72" w14:textId="0C522CB3" w:rsidR="00444941" w:rsidRPr="00BA22F7" w:rsidRDefault="00EC04B8" w:rsidP="0003494A">
      <w:pPr>
        <w:pStyle w:val="SingleTxtG"/>
        <w:ind w:left="2268"/>
      </w:pPr>
      <w:r>
        <w:t>Amend</w:t>
      </w:r>
      <w:r w:rsidRPr="00BA22F7">
        <w:t xml:space="preserve"> </w:t>
      </w:r>
      <w:r w:rsidR="00444941" w:rsidRPr="00BA22F7">
        <w:t xml:space="preserve">the second sentence </w:t>
      </w:r>
      <w:r>
        <w:t>to read as follows:</w:t>
      </w:r>
      <w:r w:rsidRPr="00BA22F7">
        <w:t xml:space="preserve"> </w:t>
      </w:r>
      <w:r w:rsidR="00444941" w:rsidRPr="00BA22F7">
        <w:t>“This includes arrangements for preparedness and response established in accordance with the national and/or international requirements and in a consistent and coordinated manner with the national and/or international emergency arrangements.”.</w:t>
      </w:r>
    </w:p>
    <w:p w14:paraId="1C582E36" w14:textId="77777777" w:rsidR="00444941" w:rsidRPr="00BA22F7" w:rsidRDefault="00444941" w:rsidP="00444941">
      <w:pPr>
        <w:pStyle w:val="SingleTxtG"/>
        <w:rPr>
          <w:i/>
          <w:iCs/>
        </w:rPr>
      </w:pPr>
      <w:r w:rsidRPr="00BA22F7">
        <w:rPr>
          <w:i/>
          <w:iCs/>
        </w:rPr>
        <w:t>(Reference document: informal document INF.41, as amended)</w:t>
      </w:r>
    </w:p>
    <w:p w14:paraId="7DF18297" w14:textId="77777777" w:rsidR="00444941" w:rsidRPr="00BA22F7" w:rsidRDefault="00444941" w:rsidP="00444941">
      <w:pPr>
        <w:pStyle w:val="SingleTxtG"/>
      </w:pPr>
      <w:r w:rsidRPr="00BA22F7">
        <w:t>1.5.2.6</w:t>
      </w:r>
      <w:r w:rsidRPr="00BA22F7">
        <w:tab/>
      </w:r>
      <w:r w:rsidRPr="00BA22F7">
        <w:tab/>
        <w:t>Amend to read as follows:</w:t>
      </w:r>
    </w:p>
    <w:p w14:paraId="352BC4CE" w14:textId="77777777" w:rsidR="00444941" w:rsidRPr="00BA22F7" w:rsidRDefault="00444941" w:rsidP="0082102A">
      <w:pPr>
        <w:pStyle w:val="SingleTxtG"/>
        <w:ind w:left="2268"/>
      </w:pPr>
      <w:r w:rsidRPr="00BA22F7">
        <w:t>“1.5.2.6</w:t>
      </w:r>
      <w:r w:rsidRPr="00BA22F7">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14:paraId="6B29E6AE" w14:textId="77777777" w:rsidR="00444941" w:rsidRPr="00BA22F7" w:rsidRDefault="00444941" w:rsidP="00444941">
      <w:pPr>
        <w:pStyle w:val="SingleTxtG"/>
        <w:rPr>
          <w:i/>
          <w:iCs/>
        </w:rPr>
      </w:pPr>
      <w:r w:rsidRPr="00BA22F7">
        <w:rPr>
          <w:i/>
          <w:iCs/>
        </w:rPr>
        <w:t>(Reference document: informal document INF.41)</w:t>
      </w:r>
    </w:p>
    <w:p w14:paraId="418384DE" w14:textId="77777777" w:rsidR="00444941" w:rsidRPr="00BA22F7" w:rsidRDefault="00444941" w:rsidP="0003494A">
      <w:pPr>
        <w:pStyle w:val="H1G"/>
      </w:pPr>
      <w:r w:rsidRPr="00BA22F7">
        <w:lastRenderedPageBreak/>
        <w:tab/>
      </w:r>
      <w:r w:rsidRPr="00BA22F7">
        <w:tab/>
        <w:t>Chapter 2.0</w:t>
      </w:r>
    </w:p>
    <w:p w14:paraId="6D8D029A" w14:textId="47898CEB" w:rsidR="00444941" w:rsidRPr="00BA22F7" w:rsidRDefault="00444941" w:rsidP="0003494A">
      <w:pPr>
        <w:pStyle w:val="SingleTxtG"/>
        <w:ind w:left="2268" w:hanging="1134"/>
      </w:pPr>
      <w:r w:rsidRPr="00BA22F7">
        <w:t>2.0.5.4</w:t>
      </w:r>
      <w:r w:rsidRPr="00BA22F7">
        <w:tab/>
      </w:r>
      <w:r w:rsidRPr="00BA22F7">
        <w:tab/>
        <w:t xml:space="preserve">At the end, add the following new sentence “However, this section applies to articles containing explosives which are excluded from </w:t>
      </w:r>
      <w:r w:rsidR="00EC04B8">
        <w:t>C</w:t>
      </w:r>
      <w:r w:rsidR="00EC04B8" w:rsidRPr="00BA22F7">
        <w:t xml:space="preserve">lass </w:t>
      </w:r>
      <w:r w:rsidRPr="00BA22F7">
        <w:t>1 in accordance with 2.1.3.6.4.”.</w:t>
      </w:r>
    </w:p>
    <w:p w14:paraId="55A9B280" w14:textId="77777777" w:rsidR="00444941" w:rsidRPr="00BA22F7" w:rsidRDefault="00444941" w:rsidP="00444941">
      <w:pPr>
        <w:pStyle w:val="SingleTxtG"/>
        <w:rPr>
          <w:i/>
          <w:iCs/>
        </w:rPr>
      </w:pPr>
      <w:r w:rsidRPr="00BA22F7">
        <w:rPr>
          <w:i/>
          <w:iCs/>
        </w:rPr>
        <w:t>(Reference document: ST/SG/AC.10/C.3/2018/75, proposal 1)</w:t>
      </w:r>
    </w:p>
    <w:p w14:paraId="6A31A958" w14:textId="77777777" w:rsidR="00444941" w:rsidRPr="00BA22F7" w:rsidRDefault="00444941" w:rsidP="0003494A">
      <w:pPr>
        <w:pStyle w:val="H1G"/>
      </w:pPr>
      <w:r w:rsidRPr="00BA22F7">
        <w:tab/>
      </w:r>
      <w:r w:rsidRPr="00BA22F7">
        <w:tab/>
      </w:r>
      <w:r w:rsidRPr="0003494A">
        <w:t>Chapter</w:t>
      </w:r>
      <w:r w:rsidRPr="00BA22F7">
        <w:t xml:space="preserve"> 2.1</w:t>
      </w:r>
    </w:p>
    <w:p w14:paraId="0E3A94CD" w14:textId="77777777" w:rsidR="00444941" w:rsidRPr="00BA22F7" w:rsidRDefault="00444941" w:rsidP="00444941">
      <w:pPr>
        <w:pStyle w:val="SingleTxtG"/>
      </w:pPr>
      <w:r w:rsidRPr="00BA22F7">
        <w:t>2.1.3.3.1</w:t>
      </w:r>
      <w:r w:rsidRPr="00BA22F7">
        <w:tab/>
        <w:t>In the second sentence delete “(2.1.1.1 (c))”.</w:t>
      </w:r>
    </w:p>
    <w:p w14:paraId="786B2B4D" w14:textId="4A36293B" w:rsidR="00444941" w:rsidRPr="00BA22F7" w:rsidRDefault="00444941" w:rsidP="00444941">
      <w:pPr>
        <w:pStyle w:val="SingleTxtG"/>
        <w:rPr>
          <w:i/>
          <w:iCs/>
        </w:rPr>
      </w:pPr>
      <w:r w:rsidRPr="00BA22F7">
        <w:rPr>
          <w:i/>
          <w:iCs/>
        </w:rPr>
        <w:t xml:space="preserve">(Reference document: </w:t>
      </w:r>
      <w:bookmarkStart w:id="2" w:name="_Hlk533061791"/>
      <w:r w:rsidR="0092051A" w:rsidRPr="00BA22F7">
        <w:rPr>
          <w:i/>
          <w:iCs/>
        </w:rPr>
        <w:t>ST/SG/AC.10/C.3/2018/</w:t>
      </w:r>
      <w:r w:rsidR="005A6206">
        <w:rPr>
          <w:i/>
          <w:iCs/>
        </w:rPr>
        <w:t>81</w:t>
      </w:r>
      <w:r w:rsidR="0092051A">
        <w:rPr>
          <w:i/>
          <w:iCs/>
        </w:rPr>
        <w:t xml:space="preserve"> </w:t>
      </w:r>
      <w:bookmarkEnd w:id="2"/>
      <w:r w:rsidR="0092051A">
        <w:rPr>
          <w:i/>
          <w:iCs/>
        </w:rPr>
        <w:t xml:space="preserve">as amended by </w:t>
      </w:r>
      <w:r w:rsidRPr="00BA22F7">
        <w:rPr>
          <w:i/>
          <w:iCs/>
        </w:rPr>
        <w:t>informal document INF.50, Annex 2, amendment 2)</w:t>
      </w:r>
    </w:p>
    <w:p w14:paraId="426916F8" w14:textId="77777777" w:rsidR="00444941" w:rsidRPr="00BA22F7" w:rsidRDefault="00444941" w:rsidP="0003494A">
      <w:pPr>
        <w:pStyle w:val="SingleTxtG"/>
        <w:ind w:left="2268" w:hanging="1134"/>
      </w:pPr>
      <w:r w:rsidRPr="00BA22F7">
        <w:t>2.1.3.5.2</w:t>
      </w:r>
      <w:r w:rsidRPr="00BA22F7">
        <w:tab/>
        <w:t>In the first sentence, after “or 0336” insert “, and articles to UN 0431 for those used for theatrical effects meeting the definition for article type and 1.4G specification in the default fireworks classification table in 2.1.3.5.5”.</w:t>
      </w:r>
    </w:p>
    <w:p w14:paraId="54A2F472" w14:textId="77777777" w:rsidR="00444941" w:rsidRPr="00BA22F7" w:rsidRDefault="00444941" w:rsidP="00444941">
      <w:pPr>
        <w:pStyle w:val="SingleTxtG"/>
        <w:rPr>
          <w:i/>
          <w:iCs/>
        </w:rPr>
      </w:pPr>
      <w:r w:rsidRPr="00BA22F7">
        <w:rPr>
          <w:i/>
          <w:iCs/>
        </w:rPr>
        <w:t>(Reference document: ST/SG/AC.10/C.3/2018/87, as amended)</w:t>
      </w:r>
    </w:p>
    <w:p w14:paraId="0A8896C7" w14:textId="77777777" w:rsidR="00444941" w:rsidRPr="00BA22F7" w:rsidRDefault="00444941" w:rsidP="00444941">
      <w:pPr>
        <w:pStyle w:val="H1G"/>
      </w:pPr>
      <w:r w:rsidRPr="00BA22F7">
        <w:tab/>
      </w:r>
      <w:r w:rsidRPr="00BA22F7">
        <w:tab/>
        <w:t>Chapter 2.2</w:t>
      </w:r>
    </w:p>
    <w:p w14:paraId="350D1035" w14:textId="77777777" w:rsidR="00444941" w:rsidRPr="00BA22F7" w:rsidRDefault="00444941" w:rsidP="0003494A">
      <w:pPr>
        <w:pStyle w:val="SingleTxtG"/>
        <w:ind w:left="2268" w:hanging="1134"/>
      </w:pPr>
      <w:r w:rsidRPr="00BA22F7">
        <w:t>2.2.1.3</w:t>
      </w:r>
      <w:r w:rsidRPr="00BA22F7">
        <w:tab/>
      </w:r>
      <w:r w:rsidRPr="00BA22F7">
        <w:tab/>
        <w:t>Replace “charged with a gas and aerosols” by “charged with a gas, aerosols and chemicals under pressure”.</w:t>
      </w:r>
    </w:p>
    <w:p w14:paraId="513398C5" w14:textId="77777777" w:rsidR="00444941" w:rsidRPr="00BA22F7" w:rsidRDefault="00444941" w:rsidP="00444941">
      <w:pPr>
        <w:pStyle w:val="SingleTxtG"/>
        <w:rPr>
          <w:i/>
          <w:iCs/>
        </w:rPr>
      </w:pPr>
      <w:r w:rsidRPr="00BA22F7">
        <w:tab/>
      </w:r>
      <w:r w:rsidRPr="00BA22F7">
        <w:rPr>
          <w:i/>
          <w:iCs/>
        </w:rPr>
        <w:t>(Reference document: informal document INF.23)</w:t>
      </w:r>
    </w:p>
    <w:p w14:paraId="6A553509" w14:textId="77777777" w:rsidR="00684DE2" w:rsidRPr="00220C88" w:rsidRDefault="00444941" w:rsidP="0003494A">
      <w:pPr>
        <w:pStyle w:val="SingleTxtG"/>
        <w:ind w:left="2268" w:hanging="1134"/>
      </w:pPr>
      <w:r w:rsidRPr="00BA22F7">
        <w:t>2.2.2.1</w:t>
      </w:r>
      <w:r w:rsidRPr="00BA22F7">
        <w:tab/>
      </w:r>
      <w:r w:rsidR="00684DE2" w:rsidRPr="00220C88">
        <w:t xml:space="preserve">Amend the note to read as follows: </w:t>
      </w:r>
    </w:p>
    <w:p w14:paraId="54936581" w14:textId="4B30B75D" w:rsidR="00684DE2" w:rsidRPr="0003494A" w:rsidRDefault="00684DE2" w:rsidP="0003494A">
      <w:pPr>
        <w:pStyle w:val="SingleTxtG"/>
        <w:ind w:left="2268"/>
        <w:rPr>
          <w:i/>
          <w:iCs/>
        </w:rPr>
      </w:pPr>
      <w:r w:rsidRPr="0003494A">
        <w:rPr>
          <w:b/>
          <w:bCs/>
          <w:i/>
          <w:iCs/>
        </w:rPr>
        <w:t xml:space="preserve">“NOTE: </w:t>
      </w:r>
      <w:r w:rsidR="00220C88" w:rsidRPr="00220C88">
        <w:rPr>
          <w:b/>
          <w:bCs/>
          <w:i/>
          <w:iCs/>
        </w:rPr>
        <w:tab/>
      </w:r>
      <w:r w:rsidRPr="0003494A">
        <w:rPr>
          <w:i/>
          <w:iCs/>
        </w:rPr>
        <w:t>For UN 1950 AEROSOLS, see also the criteria in special provision 63</w:t>
      </w:r>
      <w:r w:rsidR="00220C88" w:rsidRPr="00220C88">
        <w:rPr>
          <w:i/>
          <w:iCs/>
        </w:rPr>
        <w:t>.</w:t>
      </w:r>
      <w:r w:rsidRPr="0003494A">
        <w:rPr>
          <w:i/>
          <w:iCs/>
        </w:rPr>
        <w:t xml:space="preserve"> </w:t>
      </w:r>
      <w:r w:rsidR="00220C88" w:rsidRPr="0003494A">
        <w:rPr>
          <w:i/>
          <w:iCs/>
        </w:rPr>
        <w:t xml:space="preserve">For chemicals under pressure of UN </w:t>
      </w:r>
      <w:r w:rsidR="00220C88" w:rsidRPr="00220C88">
        <w:rPr>
          <w:i/>
          <w:iCs/>
        </w:rPr>
        <w:t xml:space="preserve">Nos. </w:t>
      </w:r>
      <w:r w:rsidR="00220C88" w:rsidRPr="0003494A">
        <w:rPr>
          <w:i/>
          <w:iCs/>
        </w:rPr>
        <w:t>3500 to 3505, see also special provision 362. F</w:t>
      </w:r>
      <w:r w:rsidRPr="0003494A">
        <w:rPr>
          <w:i/>
          <w:iCs/>
        </w:rPr>
        <w:t>or UN 2037 RECEPTACLES, SMALL, CONTAINING GAS (GAS CARTRIDGES) see also special provision 303.”</w:t>
      </w:r>
    </w:p>
    <w:p w14:paraId="053B381C" w14:textId="77777777" w:rsidR="00444941" w:rsidRPr="00BA22F7" w:rsidRDefault="00444941" w:rsidP="00444941">
      <w:pPr>
        <w:pStyle w:val="SingleTxtG"/>
        <w:rPr>
          <w:i/>
          <w:iCs/>
        </w:rPr>
      </w:pPr>
      <w:r w:rsidRPr="00BA22F7">
        <w:tab/>
      </w:r>
      <w:r w:rsidRPr="00BA22F7">
        <w:rPr>
          <w:i/>
          <w:iCs/>
        </w:rPr>
        <w:t>(Reference document: informal document INF.23, as amended)</w:t>
      </w:r>
    </w:p>
    <w:p w14:paraId="4BE44CC8" w14:textId="77777777" w:rsidR="00444941" w:rsidRPr="00BA22F7" w:rsidRDefault="00444941" w:rsidP="0003494A">
      <w:pPr>
        <w:pStyle w:val="H1G"/>
      </w:pPr>
      <w:r w:rsidRPr="00BA22F7">
        <w:tab/>
      </w:r>
      <w:r w:rsidRPr="00BA22F7">
        <w:tab/>
        <w:t>Chapter 2.8</w:t>
      </w:r>
    </w:p>
    <w:p w14:paraId="106280DB" w14:textId="06AE797E" w:rsidR="00444941" w:rsidRPr="00BA22F7" w:rsidRDefault="00444941" w:rsidP="00444941">
      <w:pPr>
        <w:pStyle w:val="SingleTxtG"/>
      </w:pPr>
      <w:r w:rsidRPr="00BA22F7">
        <w:t>2.8.1.1</w:t>
      </w:r>
      <w:r w:rsidRPr="00BA22F7">
        <w:tab/>
      </w:r>
      <w:r w:rsidRPr="00BA22F7">
        <w:tab/>
      </w:r>
      <w:r w:rsidR="00FE09FB">
        <w:t xml:space="preserve">The </w:t>
      </w:r>
      <w:r w:rsidRPr="00BA22F7">
        <w:t>amendment does not apply to the English version.</w:t>
      </w:r>
    </w:p>
    <w:p w14:paraId="2DF61020" w14:textId="77777777" w:rsidR="00444941" w:rsidRPr="00BA22F7" w:rsidRDefault="00444941" w:rsidP="00444941">
      <w:pPr>
        <w:pStyle w:val="SingleTxtG"/>
        <w:rPr>
          <w:i/>
          <w:iCs/>
        </w:rPr>
      </w:pPr>
      <w:r w:rsidRPr="00BA22F7">
        <w:rPr>
          <w:i/>
          <w:iCs/>
        </w:rPr>
        <w:t>(Reference document: informal document INF.52, proposal 3, as amended)</w:t>
      </w:r>
    </w:p>
    <w:p w14:paraId="53D568CD" w14:textId="72FAAB64" w:rsidR="00444941" w:rsidRDefault="00444941" w:rsidP="0003494A">
      <w:pPr>
        <w:pStyle w:val="SingleTxtG"/>
        <w:ind w:left="2268" w:hanging="1134"/>
      </w:pPr>
      <w:r w:rsidRPr="00BA22F7">
        <w:t>2.8.3.2</w:t>
      </w:r>
      <w:r w:rsidRPr="00BA22F7">
        <w:tab/>
      </w:r>
      <w:r w:rsidRPr="00BA22F7">
        <w:tab/>
        <w:t>In the second sentence, replace “the grouping” by “classification” and replace “OECD Test Guideline 404</w:t>
      </w:r>
      <w:r w:rsidRPr="00BA22F7">
        <w:rPr>
          <w:vertAlign w:val="superscript"/>
        </w:rPr>
        <w:t>1</w:t>
      </w:r>
      <w:r w:rsidRPr="00BA22F7">
        <w:t>, or 435</w:t>
      </w:r>
      <w:r w:rsidRPr="00BA22F7">
        <w:rPr>
          <w:vertAlign w:val="superscript"/>
        </w:rPr>
        <w:t>2,3,4</w:t>
      </w:r>
      <w:r w:rsidRPr="00BA22F7">
        <w:t>.” by “OECD Test Guidelines</w:t>
      </w:r>
      <w:r w:rsidRPr="00BA22F7">
        <w:rPr>
          <w:vertAlign w:val="superscript"/>
        </w:rPr>
        <w:t>1,2,3,4</w:t>
      </w:r>
      <w:r w:rsidRPr="00BA22F7">
        <w:t>.”.</w:t>
      </w:r>
    </w:p>
    <w:p w14:paraId="371391F0" w14:textId="77777777" w:rsidR="0092051A" w:rsidRDefault="0092051A" w:rsidP="0092051A">
      <w:pPr>
        <w:pStyle w:val="SingleTxtG"/>
        <w:ind w:left="2268"/>
      </w:pPr>
      <w:r w:rsidRPr="00BA22F7">
        <w:t>In the third sentence replace “OECD Test Guideline 430</w:t>
      </w:r>
      <w:r w:rsidRPr="00BA22F7">
        <w:rPr>
          <w:vertAlign w:val="superscript"/>
        </w:rPr>
        <w:t>3</w:t>
      </w:r>
      <w:r w:rsidRPr="00BA22F7">
        <w:t>, or 431</w:t>
      </w:r>
      <w:r w:rsidRPr="00BA22F7">
        <w:rPr>
          <w:vertAlign w:val="superscript"/>
        </w:rPr>
        <w:t>4</w:t>
      </w:r>
      <w:r w:rsidRPr="00BA22F7">
        <w:t>.” by “OECD Test Guidelines</w:t>
      </w:r>
      <w:r w:rsidRPr="00BA22F7">
        <w:rPr>
          <w:vertAlign w:val="superscript"/>
        </w:rPr>
        <w:t>1,2,3,4</w:t>
      </w:r>
      <w:r w:rsidRPr="00BA22F7">
        <w:t xml:space="preserve">.”. </w:t>
      </w:r>
    </w:p>
    <w:p w14:paraId="3D225DC2" w14:textId="71AB0E7C" w:rsidR="00444941" w:rsidRPr="00BA22F7" w:rsidRDefault="00444941" w:rsidP="0003494A">
      <w:pPr>
        <w:pStyle w:val="SingleTxtG"/>
        <w:ind w:left="2268"/>
      </w:pPr>
      <w:r w:rsidRPr="00BA22F7">
        <w:t xml:space="preserve">Delete the existing footnote 4 and renumber the current footnote 3 to 4. In the renumbered footnote, add “Method” between “Test” and “(TER)”. </w:t>
      </w:r>
      <w:r w:rsidR="0092051A">
        <w:t>Insert</w:t>
      </w:r>
      <w:r w:rsidR="0092051A" w:rsidRPr="00BA22F7">
        <w:t xml:space="preserve"> </w:t>
      </w:r>
      <w:r w:rsidRPr="00BA22F7">
        <w:t>a new footnote 3 as follows: “</w:t>
      </w:r>
      <w:r w:rsidRPr="00BA22F7">
        <w:rPr>
          <w:vertAlign w:val="superscript"/>
        </w:rPr>
        <w:t>3</w:t>
      </w:r>
      <w:r w:rsidRPr="00BA22F7">
        <w:t xml:space="preserve"> OECD Guideline for the testing of chemicals No. 431 "In </w:t>
      </w:r>
      <w:r w:rsidR="000D331E">
        <w:t>v</w:t>
      </w:r>
      <w:r w:rsidR="000D331E" w:rsidRPr="00BA22F7">
        <w:t xml:space="preserve">itro </w:t>
      </w:r>
      <w:r w:rsidR="000D331E">
        <w:t>s</w:t>
      </w:r>
      <w:r w:rsidR="000D331E" w:rsidRPr="00BA22F7">
        <w:t xml:space="preserve">kin </w:t>
      </w:r>
      <w:r w:rsidR="000D331E">
        <w:t>c</w:t>
      </w:r>
      <w:r w:rsidR="000D331E" w:rsidRPr="00BA22F7">
        <w:t>orrosion</w:t>
      </w:r>
      <w:r w:rsidRPr="00BA22F7">
        <w:t>: reconstructed human epidermis (RHE) test method" 2016”.</w:t>
      </w:r>
    </w:p>
    <w:p w14:paraId="6A73BAC8" w14:textId="14E0D29F" w:rsidR="00444941" w:rsidRPr="00BA22F7" w:rsidRDefault="00444941" w:rsidP="0003494A">
      <w:pPr>
        <w:pStyle w:val="SingleTxtG"/>
        <w:ind w:left="2268"/>
      </w:pPr>
      <w:r w:rsidRPr="00BA22F7">
        <w:t xml:space="preserve">At the end of the paragraph, add </w:t>
      </w:r>
      <w:r w:rsidR="00FE09FB">
        <w:t xml:space="preserve">the following </w:t>
      </w:r>
      <w:r w:rsidRPr="00BA22F7">
        <w:t xml:space="preserve">new sentence: “If the in vitro test results indicate that the substance or mixture is corrosive and not assigned </w:t>
      </w:r>
      <w:r w:rsidRPr="00BA22F7">
        <w:lastRenderedPageBreak/>
        <w:t xml:space="preserve">to packing group I, but the test method does not allow discrimination between packing groups II and III, it shall </w:t>
      </w:r>
      <w:proofErr w:type="gramStart"/>
      <w:r w:rsidRPr="00BA22F7">
        <w:t>be considered to be</w:t>
      </w:r>
      <w:proofErr w:type="gramEnd"/>
      <w:r w:rsidRPr="00BA22F7">
        <w:t xml:space="preserve"> packing group II.”.</w:t>
      </w:r>
    </w:p>
    <w:p w14:paraId="74D18CA7" w14:textId="77777777" w:rsidR="00444941" w:rsidRPr="00BA22F7" w:rsidRDefault="00444941" w:rsidP="00444941">
      <w:pPr>
        <w:pStyle w:val="SingleTxtG"/>
        <w:rPr>
          <w:i/>
          <w:iCs/>
        </w:rPr>
      </w:pPr>
      <w:r w:rsidRPr="00BA22F7">
        <w:rPr>
          <w:i/>
          <w:iCs/>
        </w:rPr>
        <w:t>(Reference document: ST/SG/AC.10/C.3/2018/70, as amended)</w:t>
      </w:r>
    </w:p>
    <w:p w14:paraId="260DE87E" w14:textId="77777777" w:rsidR="00444941" w:rsidRPr="00BA22F7" w:rsidRDefault="00444941" w:rsidP="00444941">
      <w:pPr>
        <w:pStyle w:val="H1G"/>
        <w:rPr>
          <w:b w:val="0"/>
          <w:bCs/>
        </w:rPr>
      </w:pPr>
      <w:r w:rsidRPr="00BA22F7">
        <w:tab/>
      </w:r>
      <w:r w:rsidRPr="00BA22F7">
        <w:tab/>
        <w:t xml:space="preserve">Chapter 3.2, </w:t>
      </w:r>
      <w:r w:rsidRPr="00BA22F7">
        <w:rPr>
          <w:bCs/>
        </w:rPr>
        <w:t>dangerous goods list</w:t>
      </w:r>
    </w:p>
    <w:p w14:paraId="7E9CED21" w14:textId="0FFCD48A" w:rsidR="00444941" w:rsidRPr="00BA22F7" w:rsidRDefault="00444941" w:rsidP="00444941">
      <w:pPr>
        <w:pStyle w:val="SingleTxtG"/>
      </w:pPr>
      <w:r w:rsidRPr="00BA22F7">
        <w:t xml:space="preserve">For UN </w:t>
      </w:r>
      <w:r w:rsidR="00FE09FB">
        <w:t>Nos</w:t>
      </w:r>
      <w:r w:rsidR="00FE09FB" w:rsidRPr="00BA22F7">
        <w:t xml:space="preserve"> </w:t>
      </w:r>
      <w:r w:rsidRPr="00BA22F7">
        <w:t>0005, 0007, 0012, 0014, 0033, 0037, 0136, 0167, 0180, 0238,</w:t>
      </w:r>
      <w:r w:rsidR="00FE09FB">
        <w:t xml:space="preserve"> </w:t>
      </w:r>
      <w:r w:rsidRPr="00BA22F7">
        <w:t>0240, 0242, 0279, 0291, 0294, 0295, 0324, 0326, 0327, 0330, 0338, 0339, 0348, 0369, 0371, 0413, 0414, 0417, 0426, 0427, 0453, 0457, 0458, 0459 and 0460, add “LP101” in column (8) under “P130”.</w:t>
      </w:r>
    </w:p>
    <w:p w14:paraId="65421681" w14:textId="77777777" w:rsidR="00444941" w:rsidRPr="00BA22F7" w:rsidRDefault="00444941" w:rsidP="00444941">
      <w:pPr>
        <w:pStyle w:val="SingleTxtG"/>
        <w:rPr>
          <w:i/>
          <w:iCs/>
        </w:rPr>
      </w:pPr>
      <w:r w:rsidRPr="00BA22F7">
        <w:rPr>
          <w:i/>
          <w:iCs/>
        </w:rPr>
        <w:t>(Reference document: ST/SG/AC.10/C.3/2018/113)</w:t>
      </w:r>
    </w:p>
    <w:p w14:paraId="33663518" w14:textId="0D526F12" w:rsidR="00444941" w:rsidRPr="00BA22F7" w:rsidRDefault="00444941" w:rsidP="0003494A">
      <w:pPr>
        <w:pStyle w:val="SingleTxtG"/>
        <w:tabs>
          <w:tab w:val="left" w:pos="2268"/>
        </w:tabs>
        <w:ind w:left="2268" w:hanging="1134"/>
      </w:pPr>
      <w:r w:rsidRPr="00BA22F7">
        <w:t>UN 2037</w:t>
      </w:r>
      <w:r w:rsidRPr="00BA22F7">
        <w:tab/>
        <w:t>In column (6) insert “327”. In column (8) insert “LP200”. In column (9) insert “PP96” against “P003”.</w:t>
      </w:r>
    </w:p>
    <w:p w14:paraId="730FB893" w14:textId="77777777" w:rsidR="00444941" w:rsidRPr="00BA22F7" w:rsidRDefault="00444941" w:rsidP="00444941">
      <w:pPr>
        <w:pStyle w:val="SingleTxtG"/>
        <w:rPr>
          <w:i/>
          <w:iCs/>
        </w:rPr>
      </w:pPr>
      <w:r w:rsidRPr="00BA22F7">
        <w:rPr>
          <w:i/>
          <w:iCs/>
        </w:rPr>
        <w:tab/>
        <w:t>(Reference document: ST/SG/AC.10/C.3/2018/106, consequential amendment)</w:t>
      </w:r>
    </w:p>
    <w:p w14:paraId="3D28DDF5" w14:textId="77777777" w:rsidR="00444941" w:rsidRPr="00BA22F7" w:rsidRDefault="00444941" w:rsidP="00444941">
      <w:pPr>
        <w:pStyle w:val="SingleTxtG"/>
      </w:pPr>
      <w:r w:rsidRPr="00BA22F7">
        <w:t>UN 3500</w:t>
      </w:r>
      <w:r w:rsidRPr="00BA22F7">
        <w:tab/>
        <w:t>In column (9) insert “PP97” against “P206”.</w:t>
      </w:r>
    </w:p>
    <w:p w14:paraId="63D7D1E6" w14:textId="77777777" w:rsidR="00444941" w:rsidRPr="00BA22F7" w:rsidRDefault="00444941" w:rsidP="00444941">
      <w:pPr>
        <w:pStyle w:val="SingleTxtG"/>
        <w:rPr>
          <w:i/>
          <w:iCs/>
        </w:rPr>
      </w:pPr>
      <w:r w:rsidRPr="00BA22F7">
        <w:rPr>
          <w:i/>
          <w:iCs/>
        </w:rPr>
        <w:tab/>
        <w:t>(Reference document: informal document INF.46, consequential amendment)</w:t>
      </w:r>
    </w:p>
    <w:p w14:paraId="699C52D9" w14:textId="77777777" w:rsidR="00444941" w:rsidRPr="00BA22F7" w:rsidRDefault="00444941" w:rsidP="00444941">
      <w:pPr>
        <w:pStyle w:val="H1G"/>
      </w:pPr>
      <w:r w:rsidRPr="00BA22F7">
        <w:tab/>
      </w:r>
      <w:r w:rsidRPr="00BA22F7">
        <w:tab/>
        <w:t>Chapter 3.3</w:t>
      </w:r>
    </w:p>
    <w:p w14:paraId="2D23370F" w14:textId="4B6C11F5" w:rsidR="00444941" w:rsidRPr="00BA22F7" w:rsidRDefault="00FE09FB" w:rsidP="0082102A">
      <w:pPr>
        <w:pStyle w:val="SingleTxtG"/>
        <w:ind w:left="2268" w:hanging="1134"/>
      </w:pPr>
      <w:r>
        <w:t>SP</w:t>
      </w:r>
      <w:r w:rsidR="00444941" w:rsidRPr="00BA22F7">
        <w:t xml:space="preserve"> 172</w:t>
      </w:r>
      <w:r>
        <w:t xml:space="preserve"> (d)</w:t>
      </w:r>
      <w:r w:rsidR="00444941" w:rsidRPr="00BA22F7">
        <w:tab/>
      </w:r>
      <w:r>
        <w:t>R</w:t>
      </w:r>
      <w:r w:rsidR="00444941" w:rsidRPr="00BA22F7">
        <w:t>eplace “subsidiary class or division” by “class or division of the subsidiary hazard”.</w:t>
      </w:r>
    </w:p>
    <w:p w14:paraId="3B040754" w14:textId="65C5E0BF" w:rsidR="00444941" w:rsidRPr="00BA22F7" w:rsidRDefault="00444941" w:rsidP="00444941">
      <w:pPr>
        <w:pStyle w:val="SingleTxtG"/>
        <w:rPr>
          <w:i/>
          <w:iCs/>
        </w:rPr>
      </w:pPr>
      <w:r w:rsidRPr="00BA22F7">
        <w:tab/>
      </w:r>
      <w:r w:rsidRPr="00BA22F7">
        <w:rPr>
          <w:i/>
          <w:iCs/>
        </w:rPr>
        <w:t xml:space="preserve">(Reference document: </w:t>
      </w:r>
      <w:bookmarkStart w:id="3" w:name="_Hlk533064722"/>
      <w:r w:rsidR="0092051A" w:rsidRPr="00BA22F7">
        <w:rPr>
          <w:i/>
          <w:iCs/>
        </w:rPr>
        <w:t>ST/SG/AC.10/C.3/2018/</w:t>
      </w:r>
      <w:r w:rsidR="0092051A">
        <w:rPr>
          <w:i/>
          <w:iCs/>
        </w:rPr>
        <w:t xml:space="preserve">73 </w:t>
      </w:r>
      <w:bookmarkEnd w:id="3"/>
      <w:r w:rsidR="0092051A">
        <w:rPr>
          <w:i/>
          <w:iCs/>
        </w:rPr>
        <w:t xml:space="preserve">as amended by </w:t>
      </w:r>
      <w:r w:rsidRPr="00BA22F7">
        <w:rPr>
          <w:i/>
          <w:iCs/>
        </w:rPr>
        <w:t>informal document INF.40)</w:t>
      </w:r>
    </w:p>
    <w:p w14:paraId="2499E2EE" w14:textId="662895CC" w:rsidR="00444941" w:rsidRPr="00BA22F7" w:rsidRDefault="00FE09FB" w:rsidP="00444941">
      <w:pPr>
        <w:pStyle w:val="SingleTxtG"/>
      </w:pPr>
      <w:r>
        <w:t>SP</w:t>
      </w:r>
      <w:r w:rsidR="00444941" w:rsidRPr="00BA22F7">
        <w:t xml:space="preserve"> 274</w:t>
      </w:r>
      <w:r w:rsidR="00444941" w:rsidRPr="00BA22F7">
        <w:tab/>
        <w:t>At the end, add the following new paragraphs:</w:t>
      </w:r>
    </w:p>
    <w:p w14:paraId="3EA38DE4" w14:textId="77777777" w:rsidR="00444941" w:rsidRPr="00BA22F7" w:rsidRDefault="00444941" w:rsidP="0003494A">
      <w:pPr>
        <w:pStyle w:val="SingleTxtG"/>
        <w:ind w:left="2268"/>
      </w:pPr>
      <w:r w:rsidRPr="00BA22F7">
        <w:t>“For UN 3077 and UN 3082 only, the technical name may be a name shown in capital letters in column 2 of the Dangerous Goods List, provided that this name does not include “N.O.S.” and that special provision 274 is not assigned.  The name which most appropriately describes the substance or mixture shall be used, e.g.:</w:t>
      </w:r>
    </w:p>
    <w:p w14:paraId="23873DF8" w14:textId="77777777" w:rsidR="00444941" w:rsidRPr="00BA22F7" w:rsidRDefault="00444941" w:rsidP="0003494A">
      <w:pPr>
        <w:pStyle w:val="SingleTxtG"/>
        <w:ind w:left="2268"/>
      </w:pPr>
      <w:r w:rsidRPr="00BA22F7">
        <w:t>UN 3082, ENVIRONMENTALLY HAZARDOUS SUBSTANCE, LIQUID, N.O.S., (PAINT)</w:t>
      </w:r>
    </w:p>
    <w:p w14:paraId="16611A47" w14:textId="77777777" w:rsidR="00444941" w:rsidRPr="00BA22F7" w:rsidRDefault="00444941" w:rsidP="0003494A">
      <w:pPr>
        <w:pStyle w:val="SingleTxtG"/>
        <w:ind w:left="2268"/>
      </w:pPr>
      <w:r w:rsidRPr="00BA22F7">
        <w:t>UN 3082, ENVIRONMENTALLY HAZARDOUS SUBSTANCE, LIQUID, N.O.S., (PERFUMERY PRODUCTS)”</w:t>
      </w:r>
    </w:p>
    <w:p w14:paraId="2639DEB3" w14:textId="1A37F6C9" w:rsidR="00444941" w:rsidRPr="00BA22F7" w:rsidRDefault="00444941" w:rsidP="00444941">
      <w:pPr>
        <w:pStyle w:val="SingleTxtG"/>
        <w:rPr>
          <w:i/>
          <w:iCs/>
        </w:rPr>
      </w:pPr>
      <w:r w:rsidRPr="00BA22F7">
        <w:tab/>
      </w:r>
      <w:r w:rsidRPr="00BA22F7">
        <w:rPr>
          <w:i/>
          <w:iCs/>
        </w:rPr>
        <w:t xml:space="preserve">(Reference document: </w:t>
      </w:r>
      <w:bookmarkStart w:id="4" w:name="_Hlk533064774"/>
      <w:r w:rsidR="0092051A" w:rsidRPr="00BA22F7">
        <w:rPr>
          <w:i/>
          <w:iCs/>
        </w:rPr>
        <w:t>ST/SG/AC.10/C.3/2018/</w:t>
      </w:r>
      <w:r w:rsidR="0092051A">
        <w:rPr>
          <w:i/>
          <w:iCs/>
        </w:rPr>
        <w:t xml:space="preserve">95 </w:t>
      </w:r>
      <w:bookmarkEnd w:id="4"/>
      <w:r w:rsidR="0092051A">
        <w:rPr>
          <w:i/>
          <w:iCs/>
        </w:rPr>
        <w:t xml:space="preserve">as amended by </w:t>
      </w:r>
      <w:r w:rsidRPr="00BA22F7">
        <w:rPr>
          <w:i/>
          <w:iCs/>
        </w:rPr>
        <w:t>informal document INF.49)</w:t>
      </w:r>
    </w:p>
    <w:p w14:paraId="67876C2B" w14:textId="3C305C1B" w:rsidR="00FE09FB" w:rsidRDefault="00FE09FB" w:rsidP="0003494A">
      <w:pPr>
        <w:pStyle w:val="SingleTxtG"/>
        <w:ind w:left="2268" w:hanging="1134"/>
      </w:pPr>
      <w:r>
        <w:t>SP</w:t>
      </w:r>
      <w:r w:rsidR="00444941" w:rsidRPr="00BA22F7">
        <w:t xml:space="preserve"> 327</w:t>
      </w:r>
      <w:r w:rsidR="00444941" w:rsidRPr="00BA22F7">
        <w:tab/>
        <w:t xml:space="preserve">In the first sentence, replace “Waste aerosols consigned” by “Waste aerosols and waste gas cartridges consigned” and “transported under this entry for” by “transported under UN 1950 or UN 2037, as appropriate, for”. </w:t>
      </w:r>
    </w:p>
    <w:p w14:paraId="2BFE2A3B" w14:textId="264A3A59" w:rsidR="00FE09FB" w:rsidRDefault="00444941" w:rsidP="0003494A">
      <w:pPr>
        <w:pStyle w:val="SingleTxtG"/>
        <w:ind w:left="2268"/>
      </w:pPr>
      <w:r w:rsidRPr="00BA22F7">
        <w:t xml:space="preserve">After the third sentence </w:t>
      </w:r>
      <w:r w:rsidR="0092051A">
        <w:t>insert</w:t>
      </w:r>
      <w:r w:rsidR="0092051A" w:rsidRPr="00BA22F7">
        <w:t xml:space="preserve"> </w:t>
      </w:r>
      <w:r w:rsidRPr="00BA22F7">
        <w:t xml:space="preserve">the following new sentence: “Waste gas cartridges, other than those leaking or severely deformed, shall be packed in accordance with packing instruction P003 and special </w:t>
      </w:r>
      <w:r w:rsidR="000D331E">
        <w:t xml:space="preserve">packing </w:t>
      </w:r>
      <w:r w:rsidRPr="00BA22F7">
        <w:t xml:space="preserve">provisions PP17 and PP96, or packing instruction LP200 and special packing provision L2.”. </w:t>
      </w:r>
    </w:p>
    <w:p w14:paraId="2E51474E" w14:textId="77777777" w:rsidR="00FE09FB" w:rsidRDefault="00444941" w:rsidP="0003494A">
      <w:pPr>
        <w:pStyle w:val="SingleTxtG"/>
        <w:ind w:left="2268"/>
      </w:pPr>
      <w:r w:rsidRPr="00BA22F7">
        <w:t xml:space="preserve">In the next sentence, replace “aerosols shall be transported in salvage </w:t>
      </w:r>
      <w:proofErr w:type="spellStart"/>
      <w:r w:rsidRPr="00BA22F7">
        <w:t>packagings</w:t>
      </w:r>
      <w:proofErr w:type="spellEnd"/>
      <w:r w:rsidRPr="00BA22F7">
        <w:t xml:space="preserve">” by “aerosols and gas cartridges shall be transported in salvage pressure receptacles, or salvage </w:t>
      </w:r>
      <w:proofErr w:type="spellStart"/>
      <w:r w:rsidRPr="00BA22F7">
        <w:t>packagings</w:t>
      </w:r>
      <w:proofErr w:type="spellEnd"/>
      <w:r w:rsidRPr="00BA22F7">
        <w:t xml:space="preserve">”. </w:t>
      </w:r>
    </w:p>
    <w:p w14:paraId="6B8B00FF" w14:textId="77777777" w:rsidR="00FE09FB" w:rsidRDefault="00444941" w:rsidP="0003494A">
      <w:pPr>
        <w:pStyle w:val="SingleTxtG"/>
        <w:ind w:left="2268"/>
      </w:pPr>
      <w:r w:rsidRPr="00BA22F7">
        <w:t xml:space="preserve">In the last sentence, replace “Waste aerosols shall not” by “Waste aerosols and waste gas cartridges shall not”. </w:t>
      </w:r>
    </w:p>
    <w:p w14:paraId="38F0D1C8" w14:textId="08AD2733" w:rsidR="00444941" w:rsidRPr="00BA22F7" w:rsidRDefault="00444941" w:rsidP="0003494A">
      <w:pPr>
        <w:pStyle w:val="SingleTxtG"/>
        <w:ind w:left="2268"/>
      </w:pPr>
      <w:r w:rsidRPr="00BA22F7">
        <w:lastRenderedPageBreak/>
        <w:t>Add the following new paragraph at the end:</w:t>
      </w:r>
      <w:r w:rsidR="00FE09FB">
        <w:t xml:space="preserve"> </w:t>
      </w:r>
      <w:r w:rsidRPr="00BA22F7">
        <w:t>“Waste gas cartridges that were filled with gases of Division 2.2 and have been pierced are not subject to these regulations.”</w:t>
      </w:r>
    </w:p>
    <w:p w14:paraId="09ACABF1" w14:textId="77777777" w:rsidR="00444941" w:rsidRPr="00BA22F7" w:rsidRDefault="00444941" w:rsidP="00444941">
      <w:pPr>
        <w:pStyle w:val="SingleTxtG"/>
        <w:rPr>
          <w:i/>
          <w:iCs/>
        </w:rPr>
      </w:pPr>
      <w:r w:rsidRPr="00BA22F7">
        <w:rPr>
          <w:i/>
          <w:iCs/>
        </w:rPr>
        <w:tab/>
        <w:t>(Reference document: ST/SG/AC.10/C.3/2018/106, as amended)</w:t>
      </w:r>
    </w:p>
    <w:p w14:paraId="404CFE90" w14:textId="54351D8A" w:rsidR="00444941" w:rsidRPr="00BA22F7" w:rsidRDefault="00FE09FB" w:rsidP="0003494A">
      <w:pPr>
        <w:pStyle w:val="SingleTxtG"/>
        <w:ind w:left="2268" w:hanging="1134"/>
      </w:pPr>
      <w:r>
        <w:t>SP</w:t>
      </w:r>
      <w:r w:rsidR="00444941" w:rsidRPr="00BA22F7">
        <w:t xml:space="preserve"> 370</w:t>
      </w:r>
      <w:r w:rsidR="00444941" w:rsidRPr="00BA22F7">
        <w:tab/>
        <w:t>Amend the first sentence to read</w:t>
      </w:r>
      <w:r w:rsidR="0092051A">
        <w:t xml:space="preserve"> as follows:</w:t>
      </w:r>
      <w:r w:rsidR="00444941" w:rsidRPr="00BA22F7">
        <w:t xml:space="preserve"> “This entry only applies to ammonium nitrate that meets one of the following criteria:”</w:t>
      </w:r>
      <w:r w:rsidR="0048491E">
        <w:t xml:space="preserve"> and a</w:t>
      </w:r>
      <w:r w:rsidR="00444941" w:rsidRPr="00BA22F7">
        <w:t xml:space="preserve">t the end of the first </w:t>
      </w:r>
      <w:r w:rsidR="0092051A">
        <w:t>indent</w:t>
      </w:r>
      <w:r w:rsidR="00444941" w:rsidRPr="00BA22F7">
        <w:t>, replace “and” by “or”.</w:t>
      </w:r>
    </w:p>
    <w:p w14:paraId="69076C28" w14:textId="297C5724" w:rsidR="00444941" w:rsidRPr="00BA22F7" w:rsidRDefault="0092051A" w:rsidP="0003494A">
      <w:pPr>
        <w:pStyle w:val="SingleTxtG"/>
        <w:ind w:left="1701" w:firstLine="567"/>
      </w:pPr>
      <w:r>
        <w:t>A</w:t>
      </w:r>
      <w:r w:rsidR="00444941" w:rsidRPr="00BA22F7">
        <w:t>dd the following new paragraph</w:t>
      </w:r>
      <w:r>
        <w:t xml:space="preserve"> at the end</w:t>
      </w:r>
      <w:r w:rsidR="00B64093">
        <w:t>, after the indents</w:t>
      </w:r>
      <w:r w:rsidR="00444941" w:rsidRPr="00BA22F7">
        <w:t>:</w:t>
      </w:r>
    </w:p>
    <w:p w14:paraId="5CCD2B12" w14:textId="2227DA12" w:rsidR="00444941" w:rsidRPr="00BA22F7" w:rsidRDefault="00444941" w:rsidP="0003494A">
      <w:pPr>
        <w:pStyle w:val="SingleTxtG"/>
        <w:ind w:left="2268"/>
      </w:pPr>
      <w:r w:rsidRPr="00BA22F7">
        <w:t>“This entry shall not be used for ammonium nitrate for which a proper shipping name already exists in the Dangerous Goods List of Chapter 3.2 including ammonium nitrate mixed with fuel oil (ANFO) or any of the commercial grades of ammonium nitrate.”</w:t>
      </w:r>
    </w:p>
    <w:p w14:paraId="45FA4AFF" w14:textId="0D633AAC" w:rsidR="00444941" w:rsidRPr="00BA22F7" w:rsidRDefault="00444941" w:rsidP="00444941">
      <w:pPr>
        <w:pStyle w:val="SingleTxtG"/>
        <w:rPr>
          <w:i/>
          <w:iCs/>
        </w:rPr>
      </w:pPr>
      <w:r w:rsidRPr="00BA22F7">
        <w:rPr>
          <w:i/>
          <w:iCs/>
        </w:rPr>
        <w:t xml:space="preserve">(Reference document: </w:t>
      </w:r>
      <w:bookmarkStart w:id="5" w:name="_Hlk533065452"/>
      <w:r w:rsidR="0092051A" w:rsidRPr="00BA22F7">
        <w:rPr>
          <w:i/>
          <w:iCs/>
        </w:rPr>
        <w:t>ST/SG/AC.10/C.3/2018/</w:t>
      </w:r>
      <w:r w:rsidR="0092051A">
        <w:rPr>
          <w:i/>
          <w:iCs/>
        </w:rPr>
        <w:t xml:space="preserve">68 </w:t>
      </w:r>
      <w:bookmarkEnd w:id="5"/>
      <w:r w:rsidR="0092051A">
        <w:rPr>
          <w:i/>
          <w:iCs/>
        </w:rPr>
        <w:t xml:space="preserve">as amended by </w:t>
      </w:r>
      <w:r w:rsidRPr="00BA22F7">
        <w:rPr>
          <w:i/>
          <w:iCs/>
        </w:rPr>
        <w:t>informal document INF.50, Annex 2, amendment 1)</w:t>
      </w:r>
    </w:p>
    <w:p w14:paraId="2E1C0356" w14:textId="77777777" w:rsidR="00444941" w:rsidRPr="00BA22F7" w:rsidRDefault="00444941" w:rsidP="00444941">
      <w:pPr>
        <w:pStyle w:val="H1G"/>
      </w:pPr>
      <w:r w:rsidRPr="00BA22F7">
        <w:tab/>
      </w:r>
      <w:r w:rsidRPr="00BA22F7">
        <w:tab/>
        <w:t>Chapter 4.1</w:t>
      </w:r>
    </w:p>
    <w:p w14:paraId="03B8C6E6" w14:textId="28B4C3E6" w:rsidR="00444941" w:rsidRPr="00BA22F7" w:rsidRDefault="00444941" w:rsidP="0003494A">
      <w:pPr>
        <w:pStyle w:val="SingleTxtG"/>
        <w:tabs>
          <w:tab w:val="left" w:pos="2552"/>
        </w:tabs>
      </w:pPr>
      <w:r w:rsidRPr="00BA22F7">
        <w:t>4.1.4.1, P003</w:t>
      </w:r>
      <w:r w:rsidRPr="00BA22F7">
        <w:tab/>
        <w:t>Add the following new special packing provision:</w:t>
      </w:r>
    </w:p>
    <w:p w14:paraId="62B3120F" w14:textId="39CC27B8" w:rsidR="00444941" w:rsidRPr="00BA22F7" w:rsidRDefault="00444941" w:rsidP="0003494A">
      <w:pPr>
        <w:pStyle w:val="SingleTxtG"/>
        <w:tabs>
          <w:tab w:val="left" w:pos="3261"/>
        </w:tabs>
        <w:ind w:left="2552"/>
      </w:pPr>
      <w:r w:rsidRPr="00BA22F7">
        <w:t>“</w:t>
      </w:r>
      <w:r w:rsidRPr="00BA22F7">
        <w:rPr>
          <w:b/>
          <w:bCs/>
        </w:rPr>
        <w:t>PP96</w:t>
      </w:r>
      <w:r w:rsidRPr="00BA22F7">
        <w:tab/>
        <w:t xml:space="preserve">For UN 2037 waste gas cartridges carried in accordance with special provision 327, the </w:t>
      </w:r>
      <w:proofErr w:type="spellStart"/>
      <w:r w:rsidRPr="00BA22F7">
        <w:t>packagings</w:t>
      </w:r>
      <w:proofErr w:type="spellEnd"/>
      <w:r w:rsidRPr="00BA22F7">
        <w:t xml:space="preserve"> shall be adequately ventilated to prevent the creation of dangerous atmospheres and the build-up of pressure.”</w:t>
      </w:r>
    </w:p>
    <w:p w14:paraId="0AC8C59C" w14:textId="77777777" w:rsidR="00444941" w:rsidRPr="00BA22F7" w:rsidRDefault="00444941" w:rsidP="00444941">
      <w:pPr>
        <w:pStyle w:val="SingleTxtG"/>
        <w:rPr>
          <w:i/>
          <w:iCs/>
        </w:rPr>
      </w:pPr>
      <w:r w:rsidRPr="00BA22F7">
        <w:rPr>
          <w:i/>
          <w:iCs/>
        </w:rPr>
        <w:tab/>
        <w:t>(Reference document: ST/SG/AC.10/C.3/2018/106)</w:t>
      </w:r>
    </w:p>
    <w:p w14:paraId="5351A453" w14:textId="60491BBF" w:rsidR="00444941" w:rsidRPr="00BA22F7" w:rsidRDefault="00444941" w:rsidP="00444941">
      <w:pPr>
        <w:pStyle w:val="SingleTxtG"/>
      </w:pPr>
      <w:r w:rsidRPr="00BA22F7">
        <w:t>4.1.4.1, P200</w:t>
      </w:r>
      <w:r w:rsidR="00FE09FB">
        <w:t xml:space="preserve"> </w:t>
      </w:r>
      <w:r w:rsidRPr="00BA22F7">
        <w:t>(3)(c)</w:t>
      </w:r>
      <w:r w:rsidR="00FE09FB">
        <w:tab/>
        <w:t>In the</w:t>
      </w:r>
      <w:r w:rsidRPr="00BA22F7">
        <w:t xml:space="preserve"> first sentence, delete “(filling factor)”.</w:t>
      </w:r>
    </w:p>
    <w:p w14:paraId="7E19D5E5" w14:textId="77777777" w:rsidR="00444941" w:rsidRPr="00BA22F7" w:rsidRDefault="00444941" w:rsidP="00444941">
      <w:pPr>
        <w:pStyle w:val="SingleTxtG"/>
        <w:rPr>
          <w:i/>
          <w:iCs/>
        </w:rPr>
      </w:pPr>
      <w:r w:rsidRPr="00BA22F7">
        <w:rPr>
          <w:i/>
          <w:iCs/>
        </w:rPr>
        <w:t>(Reference document: ST/SG/AC.10/C.3/2018/73)</w:t>
      </w:r>
    </w:p>
    <w:p w14:paraId="789E3B5B" w14:textId="565348CB" w:rsidR="00EE18B7" w:rsidRDefault="00444941" w:rsidP="0003494A">
      <w:pPr>
        <w:pStyle w:val="SingleTxtG"/>
        <w:ind w:left="2552" w:hanging="1418"/>
      </w:pPr>
      <w:r w:rsidRPr="00BA22F7">
        <w:t>4.1.4.1, P200</w:t>
      </w:r>
      <w:r w:rsidR="00FE09FB">
        <w:tab/>
      </w:r>
      <w:proofErr w:type="gramStart"/>
      <w:r w:rsidR="00FE09FB">
        <w:t>In</w:t>
      </w:r>
      <w:proofErr w:type="gramEnd"/>
      <w:r w:rsidR="00FE09FB">
        <w:t xml:space="preserve"> table </w:t>
      </w:r>
      <w:r w:rsidRPr="00BA22F7">
        <w:t>2, replace the values of column “LC</w:t>
      </w:r>
      <w:r w:rsidRPr="00BA22F7">
        <w:rPr>
          <w:vertAlign w:val="subscript"/>
        </w:rPr>
        <w:t>50</w:t>
      </w:r>
      <w:r w:rsidRPr="00BA22F7">
        <w:t xml:space="preserve"> in ml/m</w:t>
      </w:r>
      <w:r w:rsidRPr="00BA22F7">
        <w:rPr>
          <w:vertAlign w:val="superscript"/>
        </w:rPr>
        <w:t>3</w:t>
      </w:r>
      <w:r w:rsidRPr="00BA22F7">
        <w:t xml:space="preserve">” </w:t>
      </w:r>
      <w:r w:rsidR="00EE18B7">
        <w:t>as follows</w:t>
      </w:r>
      <w:r w:rsidRPr="00BA22F7">
        <w:t xml:space="preserve">: </w:t>
      </w:r>
    </w:p>
    <w:p w14:paraId="4EA997A6" w14:textId="541C7441" w:rsidR="00EE18B7" w:rsidRDefault="00444941" w:rsidP="0003494A">
      <w:pPr>
        <w:pStyle w:val="Bullet1G"/>
        <w:tabs>
          <w:tab w:val="clear" w:pos="1701"/>
          <w:tab w:val="num" w:pos="2835"/>
        </w:tabs>
        <w:ind w:firstLine="851"/>
      </w:pPr>
      <w:r w:rsidRPr="00BA22F7">
        <w:t>UN 1859 replace “450” by “922”</w:t>
      </w:r>
      <w:r w:rsidR="00EE18B7">
        <w:t>.</w:t>
      </w:r>
    </w:p>
    <w:p w14:paraId="5223CA98" w14:textId="174C0001" w:rsidR="00EE18B7" w:rsidRDefault="00444941" w:rsidP="0003494A">
      <w:pPr>
        <w:pStyle w:val="Bullet1G"/>
        <w:tabs>
          <w:tab w:val="clear" w:pos="1701"/>
          <w:tab w:val="num" w:pos="2835"/>
        </w:tabs>
        <w:ind w:firstLine="851"/>
      </w:pPr>
      <w:r w:rsidRPr="00BA22F7">
        <w:t>UN 2188 replace “20” by “178”</w:t>
      </w:r>
      <w:r w:rsidR="00EE18B7">
        <w:t>.</w:t>
      </w:r>
    </w:p>
    <w:p w14:paraId="35AE3118" w14:textId="59A8D38B" w:rsidR="00EE18B7" w:rsidRDefault="00444941" w:rsidP="0003494A">
      <w:pPr>
        <w:pStyle w:val="Bullet1G"/>
        <w:tabs>
          <w:tab w:val="clear" w:pos="1701"/>
          <w:tab w:val="num" w:pos="2835"/>
        </w:tabs>
        <w:ind w:firstLine="851"/>
      </w:pPr>
      <w:r w:rsidRPr="00BA22F7">
        <w:t>UN 2202 replace “2” by “51”</w:t>
      </w:r>
      <w:r w:rsidR="00EE18B7">
        <w:t>.</w:t>
      </w:r>
    </w:p>
    <w:p w14:paraId="044B58BB" w14:textId="3CC869A4" w:rsidR="00EE18B7" w:rsidRDefault="00444941" w:rsidP="0003494A">
      <w:pPr>
        <w:pStyle w:val="Bullet1G"/>
        <w:tabs>
          <w:tab w:val="clear" w:pos="1701"/>
          <w:tab w:val="num" w:pos="2835"/>
        </w:tabs>
        <w:ind w:firstLine="851"/>
      </w:pPr>
      <w:r w:rsidRPr="00BA22F7">
        <w:t>UN 2534 replace “600” by “2810”</w:t>
      </w:r>
      <w:r w:rsidR="00EE18B7">
        <w:t>.</w:t>
      </w:r>
    </w:p>
    <w:p w14:paraId="402FB8EA" w14:textId="6F8992DD" w:rsidR="00444941" w:rsidRPr="00BA22F7" w:rsidRDefault="00444941" w:rsidP="0003494A">
      <w:pPr>
        <w:pStyle w:val="Bullet1G"/>
        <w:tabs>
          <w:tab w:val="clear" w:pos="1701"/>
          <w:tab w:val="num" w:pos="2835"/>
        </w:tabs>
        <w:ind w:firstLine="851"/>
      </w:pPr>
      <w:r w:rsidRPr="00BA22F7">
        <w:t>UN 2676 replace “20” by “178”.</w:t>
      </w:r>
    </w:p>
    <w:p w14:paraId="01D5B344" w14:textId="77777777" w:rsidR="00444941" w:rsidRPr="00BA22F7" w:rsidRDefault="00444941" w:rsidP="00444941">
      <w:pPr>
        <w:pStyle w:val="SingleTxtG"/>
        <w:rPr>
          <w:i/>
          <w:iCs/>
        </w:rPr>
      </w:pPr>
      <w:r w:rsidRPr="00BA22F7">
        <w:rPr>
          <w:i/>
          <w:iCs/>
        </w:rPr>
        <w:tab/>
        <w:t>(Reference document: ST/SG/AC.10/C.3/2018/66, as amended)</w:t>
      </w:r>
    </w:p>
    <w:p w14:paraId="2DB00304" w14:textId="646CFD3A" w:rsidR="00EF105A" w:rsidRDefault="00444941" w:rsidP="0003494A">
      <w:pPr>
        <w:pStyle w:val="SingleTxtG"/>
        <w:tabs>
          <w:tab w:val="left" w:pos="2552"/>
        </w:tabs>
        <w:ind w:left="2552" w:hanging="1418"/>
      </w:pPr>
      <w:r w:rsidRPr="00BA22F7">
        <w:t>4.1.4.1, P206</w:t>
      </w:r>
      <w:r w:rsidRPr="00BA22F7">
        <w:tab/>
      </w:r>
      <w:proofErr w:type="gramStart"/>
      <w:r w:rsidRPr="00BA22F7">
        <w:t>In</w:t>
      </w:r>
      <w:proofErr w:type="gramEnd"/>
      <w:r w:rsidRPr="00BA22F7">
        <w:t xml:space="preserve"> the title of the last row of the packing instruction, replace “Special packing provision” by “Special packing provisions”. </w:t>
      </w:r>
    </w:p>
    <w:p w14:paraId="7E4AEB66" w14:textId="74BA04A1" w:rsidR="00444941" w:rsidRPr="00BA22F7" w:rsidRDefault="00EF105A" w:rsidP="0003494A">
      <w:pPr>
        <w:pStyle w:val="SingleTxtG"/>
        <w:tabs>
          <w:tab w:val="left" w:pos="2552"/>
        </w:tabs>
        <w:ind w:left="2552" w:hanging="1418"/>
      </w:pPr>
      <w:r>
        <w:tab/>
      </w:r>
      <w:r w:rsidR="00444941" w:rsidRPr="00BA22F7">
        <w:t>Add the following new special packing provision:</w:t>
      </w:r>
    </w:p>
    <w:p w14:paraId="1B35B500" w14:textId="0903E37F" w:rsidR="00444941" w:rsidRPr="00BA22F7" w:rsidRDefault="00444941" w:rsidP="0003494A">
      <w:pPr>
        <w:pStyle w:val="SingleTxtG"/>
        <w:tabs>
          <w:tab w:val="left" w:pos="3402"/>
        </w:tabs>
        <w:ind w:left="2552"/>
      </w:pPr>
      <w:r w:rsidRPr="00BA22F7">
        <w:t>“</w:t>
      </w:r>
      <w:r w:rsidRPr="00BA22F7">
        <w:rPr>
          <w:b/>
          <w:bCs/>
        </w:rPr>
        <w:t>PP97</w:t>
      </w:r>
      <w:r w:rsidRPr="00BA22F7">
        <w:rPr>
          <w:b/>
          <w:bCs/>
        </w:rPr>
        <w:tab/>
      </w:r>
      <w:r w:rsidRPr="00BA22F7">
        <w:tab/>
      </w:r>
      <w:proofErr w:type="gramStart"/>
      <w:r w:rsidRPr="00BA22F7">
        <w:t>For</w:t>
      </w:r>
      <w:proofErr w:type="gramEnd"/>
      <w:r w:rsidRPr="00BA22F7">
        <w:t xml:space="preserve"> fire extinguishing agents assigned to UN</w:t>
      </w:r>
      <w:r w:rsidR="00EE18B7">
        <w:t> </w:t>
      </w:r>
      <w:r w:rsidRPr="00BA22F7">
        <w:t xml:space="preserve">3500 the maximum test period for periodic inspection shall be 10 years. They may be transported in tubes of a maximum water capacity of 450 </w:t>
      </w:r>
      <w:r w:rsidRPr="0003494A">
        <w:rPr>
          <w:i/>
          <w:iCs/>
        </w:rPr>
        <w:t>l</w:t>
      </w:r>
      <w:r w:rsidRPr="00BA22F7">
        <w:t xml:space="preserve"> conforming to the applicable requirements of Chapter 6.2.”</w:t>
      </w:r>
    </w:p>
    <w:p w14:paraId="766D7EAA" w14:textId="7A538322" w:rsidR="00444941" w:rsidRPr="00BA22F7" w:rsidRDefault="00444941" w:rsidP="00444941">
      <w:pPr>
        <w:pStyle w:val="SingleTxtG"/>
        <w:rPr>
          <w:i/>
          <w:iCs/>
        </w:rPr>
      </w:pPr>
      <w:r w:rsidRPr="00BA22F7">
        <w:tab/>
      </w:r>
      <w:r w:rsidRPr="00BA22F7">
        <w:rPr>
          <w:i/>
          <w:iCs/>
        </w:rPr>
        <w:t>(Reference document</w:t>
      </w:r>
      <w:bookmarkStart w:id="6" w:name="_Hlk533066066"/>
      <w:r w:rsidRPr="00BA22F7">
        <w:rPr>
          <w:i/>
          <w:iCs/>
        </w:rPr>
        <w:t xml:space="preserve">: </w:t>
      </w:r>
      <w:r w:rsidR="0092051A" w:rsidRPr="00BA22F7">
        <w:rPr>
          <w:i/>
          <w:iCs/>
        </w:rPr>
        <w:t>ST/SG/AC.10/C.3/2018/</w:t>
      </w:r>
      <w:r w:rsidR="0092051A">
        <w:rPr>
          <w:i/>
          <w:iCs/>
        </w:rPr>
        <w:t xml:space="preserve">77 </w:t>
      </w:r>
      <w:bookmarkEnd w:id="6"/>
      <w:r w:rsidR="0092051A">
        <w:rPr>
          <w:i/>
          <w:iCs/>
        </w:rPr>
        <w:t xml:space="preserve">as amended by </w:t>
      </w:r>
      <w:r w:rsidRPr="00BA22F7">
        <w:rPr>
          <w:i/>
          <w:iCs/>
        </w:rPr>
        <w:t>informal document INF.46, proposal 1)</w:t>
      </w:r>
    </w:p>
    <w:p w14:paraId="61A12C67" w14:textId="183A25C7" w:rsidR="00444941" w:rsidRPr="00BA22F7" w:rsidRDefault="00444941" w:rsidP="0003494A">
      <w:pPr>
        <w:pStyle w:val="SingleTxtG"/>
        <w:keepNext/>
        <w:keepLines/>
        <w:tabs>
          <w:tab w:val="left" w:pos="2552"/>
        </w:tabs>
        <w:ind w:left="2552" w:hanging="1418"/>
      </w:pPr>
      <w:r w:rsidRPr="00BA22F7">
        <w:lastRenderedPageBreak/>
        <w:t>4.1.4.1, P207</w:t>
      </w:r>
      <w:r w:rsidRPr="00BA22F7">
        <w:tab/>
      </w:r>
      <w:proofErr w:type="gramStart"/>
      <w:r w:rsidRPr="00BA22F7">
        <w:t>In</w:t>
      </w:r>
      <w:proofErr w:type="gramEnd"/>
      <w:r w:rsidRPr="00BA22F7">
        <w:t xml:space="preserve"> </w:t>
      </w:r>
      <w:r w:rsidR="0092051A">
        <w:t xml:space="preserve">special </w:t>
      </w:r>
      <w:r w:rsidRPr="00BA22F7">
        <w:t>packing provision PP87, replace “flammable atmosphere” by “dangerous atmospheres”.</w:t>
      </w:r>
    </w:p>
    <w:p w14:paraId="7F3153F0" w14:textId="77777777" w:rsidR="00444941" w:rsidRPr="00BA22F7" w:rsidRDefault="00444941" w:rsidP="00444941">
      <w:pPr>
        <w:pStyle w:val="SingleTxtG"/>
        <w:rPr>
          <w:i/>
          <w:iCs/>
        </w:rPr>
      </w:pPr>
      <w:r w:rsidRPr="00BA22F7">
        <w:rPr>
          <w:i/>
          <w:iCs/>
        </w:rPr>
        <w:tab/>
        <w:t>(Reference document: ST/SG/AC.10/C.3/2018/106)</w:t>
      </w:r>
    </w:p>
    <w:p w14:paraId="226E2D4D" w14:textId="4C01616E" w:rsidR="00444941" w:rsidRPr="00BA22F7" w:rsidRDefault="00444941" w:rsidP="0003494A">
      <w:pPr>
        <w:pStyle w:val="SingleTxtG"/>
        <w:tabs>
          <w:tab w:val="left" w:pos="2552"/>
        </w:tabs>
        <w:ind w:left="2552" w:hanging="1418"/>
      </w:pPr>
      <w:r w:rsidRPr="00BA22F7">
        <w:t>4.1.4.1, P301</w:t>
      </w:r>
      <w:r w:rsidR="00EE18B7">
        <w:tab/>
      </w:r>
      <w:proofErr w:type="gramStart"/>
      <w:r w:rsidRPr="00BA22F7">
        <w:t>In</w:t>
      </w:r>
      <w:proofErr w:type="gramEnd"/>
      <w:r w:rsidRPr="00BA22F7">
        <w:t xml:space="preserve"> </w:t>
      </w:r>
      <w:r w:rsidR="00EE18B7">
        <w:t xml:space="preserve">the last sentence of </w:t>
      </w:r>
      <w:r w:rsidRPr="00BA22F7">
        <w:t>(1)</w:t>
      </w:r>
      <w:r w:rsidR="00EE18B7">
        <w:t xml:space="preserve"> and (2) </w:t>
      </w:r>
      <w:r w:rsidRPr="00BA22F7">
        <w:t>replace “unit” by “primary containment”.</w:t>
      </w:r>
    </w:p>
    <w:p w14:paraId="77CCBA69" w14:textId="77777777" w:rsidR="00444941" w:rsidRPr="00BA22F7" w:rsidRDefault="00444941" w:rsidP="00444941">
      <w:pPr>
        <w:pStyle w:val="SingleTxtG"/>
        <w:rPr>
          <w:i/>
          <w:iCs/>
        </w:rPr>
      </w:pPr>
      <w:r w:rsidRPr="00BA22F7">
        <w:rPr>
          <w:i/>
          <w:iCs/>
        </w:rPr>
        <w:t>(Reference document: ST/SG/AC.10/C.3/2018/73)</w:t>
      </w:r>
    </w:p>
    <w:p w14:paraId="62B1FAC3" w14:textId="6C038DC7" w:rsidR="0092051A" w:rsidRDefault="00444941" w:rsidP="00444941">
      <w:pPr>
        <w:pStyle w:val="SingleTxtG"/>
      </w:pPr>
      <w:r w:rsidRPr="00BA22F7">
        <w:t>4.1.4.1, P400</w:t>
      </w:r>
      <w:r w:rsidRPr="00BA22F7">
        <w:tab/>
      </w:r>
      <w:r w:rsidR="00EE18B7">
        <w:tab/>
      </w:r>
      <w:proofErr w:type="gramStart"/>
      <w:r w:rsidRPr="00BA22F7">
        <w:t>In</w:t>
      </w:r>
      <w:proofErr w:type="gramEnd"/>
      <w:r w:rsidRPr="00BA22F7">
        <w:t xml:space="preserve"> (2)</w:t>
      </w:r>
      <w:r w:rsidR="0092051A">
        <w:t xml:space="preserve"> and (3):</w:t>
      </w:r>
    </w:p>
    <w:p w14:paraId="09CEFDF6" w14:textId="7389723B" w:rsidR="00EE18B7" w:rsidRDefault="00444941" w:rsidP="0003494A">
      <w:pPr>
        <w:pStyle w:val="Bullet1G"/>
        <w:tabs>
          <w:tab w:val="clear" w:pos="1701"/>
        </w:tabs>
        <w:ind w:left="3119" w:hanging="284"/>
      </w:pPr>
      <w:r w:rsidRPr="00BA22F7">
        <w:t>first sentence</w:t>
      </w:r>
      <w:r w:rsidR="0092051A">
        <w:t>:</w:t>
      </w:r>
      <w:r w:rsidRPr="00BA22F7">
        <w:t xml:space="preserve"> delete “threaded”. </w:t>
      </w:r>
    </w:p>
    <w:p w14:paraId="04184D60" w14:textId="699DAF60" w:rsidR="00444941" w:rsidRPr="00BA22F7" w:rsidRDefault="00EE18B7" w:rsidP="0003494A">
      <w:pPr>
        <w:pStyle w:val="Bullet1G"/>
        <w:tabs>
          <w:tab w:val="clear" w:pos="1701"/>
        </w:tabs>
        <w:ind w:left="3119" w:hanging="284"/>
      </w:pPr>
      <w:r>
        <w:t>A</w:t>
      </w:r>
      <w:r w:rsidR="00444941" w:rsidRPr="00BA22F7">
        <w:t xml:space="preserve">fter the first sentence </w:t>
      </w:r>
      <w:r>
        <w:t xml:space="preserve">insert </w:t>
      </w:r>
      <w:r w:rsidR="00444941" w:rsidRPr="00BA22F7">
        <w:t>the following</w:t>
      </w:r>
      <w:r>
        <w:t xml:space="preserve"> new sentence:</w:t>
      </w:r>
      <w:r w:rsidR="00444941" w:rsidRPr="00BA22F7">
        <w:t xml:space="preserve"> “Inner </w:t>
      </w:r>
      <w:proofErr w:type="spellStart"/>
      <w:r w:rsidR="00444941" w:rsidRPr="00BA22F7">
        <w:t>packagings</w:t>
      </w:r>
      <w:proofErr w:type="spellEnd"/>
      <w:r w:rsidR="00444941" w:rsidRPr="00BA22F7">
        <w:t xml:space="preserve"> shall have threaded closures or closures physically held in place by any means capable of preventing back-off or loosening of the closure by impact or vibration during transport.”.</w:t>
      </w:r>
    </w:p>
    <w:p w14:paraId="58E40C7C" w14:textId="140C1C99" w:rsidR="00444941" w:rsidRPr="00BA22F7" w:rsidRDefault="0092051A" w:rsidP="0003494A">
      <w:pPr>
        <w:pStyle w:val="SingleTxtG"/>
        <w:ind w:left="0"/>
        <w:rPr>
          <w:i/>
          <w:iCs/>
        </w:rPr>
      </w:pPr>
      <w:r>
        <w:tab/>
      </w:r>
      <w:r w:rsidR="00EE18B7">
        <w:tab/>
      </w:r>
      <w:r w:rsidR="00444941" w:rsidRPr="00BA22F7">
        <w:rPr>
          <w:i/>
          <w:iCs/>
        </w:rPr>
        <w:t>(Reference document: ST/SG/AC.10/C.3/2018/76)</w:t>
      </w:r>
    </w:p>
    <w:p w14:paraId="050A22BF" w14:textId="5636860A" w:rsidR="00EE18B7" w:rsidRDefault="00444941" w:rsidP="0003494A">
      <w:pPr>
        <w:pStyle w:val="SingleTxtG"/>
        <w:ind w:left="2835" w:hanging="1701"/>
      </w:pPr>
      <w:r w:rsidRPr="00BA22F7">
        <w:t>4.1.4.1, P404</w:t>
      </w:r>
      <w:r w:rsidRPr="00BA22F7">
        <w:tab/>
      </w:r>
      <w:r w:rsidR="00EE18B7">
        <w:tab/>
      </w:r>
      <w:proofErr w:type="gramStart"/>
      <w:r w:rsidRPr="00BA22F7">
        <w:t>In</w:t>
      </w:r>
      <w:proofErr w:type="gramEnd"/>
      <w:r w:rsidRPr="00BA22F7">
        <w:t xml:space="preserve"> the introductory sentence, replace “3391, 3393 and 3461” by “3391 and 3393”. </w:t>
      </w:r>
    </w:p>
    <w:p w14:paraId="2D50046E" w14:textId="77777777" w:rsidR="00EE18B7" w:rsidRDefault="00444941" w:rsidP="0003494A">
      <w:pPr>
        <w:pStyle w:val="SingleTxtG"/>
        <w:ind w:left="2835"/>
      </w:pPr>
      <w:r w:rsidRPr="00BA22F7">
        <w:t xml:space="preserve">In (1), under “Inner </w:t>
      </w:r>
      <w:proofErr w:type="spellStart"/>
      <w:r w:rsidRPr="00BA22F7">
        <w:t>packagings</w:t>
      </w:r>
      <w:proofErr w:type="spellEnd"/>
      <w:r w:rsidRPr="00BA22F7">
        <w:t>”</w:t>
      </w:r>
      <w:r w:rsidR="00EE18B7">
        <w:t>:</w:t>
      </w:r>
    </w:p>
    <w:p w14:paraId="22DC236E" w14:textId="497F9DA9" w:rsidR="00EE18B7" w:rsidRDefault="0082102A" w:rsidP="0003494A">
      <w:pPr>
        <w:pStyle w:val="Bullet1G"/>
        <w:tabs>
          <w:tab w:val="clear" w:pos="1701"/>
          <w:tab w:val="num" w:pos="3119"/>
        </w:tabs>
        <w:ind w:left="3119" w:hanging="284"/>
      </w:pPr>
      <w:r>
        <w:t>F</w:t>
      </w:r>
      <w:r w:rsidR="00880955">
        <w:t>irst paragraph</w:t>
      </w:r>
      <w:r w:rsidR="00EE18B7">
        <w:t>:</w:t>
      </w:r>
      <w:r w:rsidR="00444941" w:rsidRPr="00BA22F7">
        <w:t xml:space="preserve"> delete “and have threaded closures”. </w:t>
      </w:r>
    </w:p>
    <w:p w14:paraId="0518D26B" w14:textId="1D65C440" w:rsidR="00EE18B7" w:rsidRDefault="00880955" w:rsidP="0003494A">
      <w:pPr>
        <w:pStyle w:val="Bullet1G"/>
        <w:tabs>
          <w:tab w:val="clear" w:pos="1701"/>
          <w:tab w:val="num" w:pos="3119"/>
        </w:tabs>
        <w:ind w:left="3119" w:hanging="284"/>
      </w:pPr>
      <w:r>
        <w:t>Second paragraph</w:t>
      </w:r>
      <w:r w:rsidR="00EF105A">
        <w:t>:</w:t>
      </w:r>
      <w:r w:rsidR="00444941" w:rsidRPr="00BA22F7">
        <w:t xml:space="preserve"> delete “threaded”. </w:t>
      </w:r>
    </w:p>
    <w:p w14:paraId="5FF5F999" w14:textId="36F1D38D" w:rsidR="00EF105A" w:rsidRDefault="00EE18B7" w:rsidP="0003494A">
      <w:pPr>
        <w:pStyle w:val="Bullet1G"/>
        <w:tabs>
          <w:tab w:val="clear" w:pos="1701"/>
          <w:tab w:val="num" w:pos="3119"/>
        </w:tabs>
        <w:ind w:left="3119" w:hanging="284"/>
      </w:pPr>
      <w:r>
        <w:t>A</w:t>
      </w:r>
      <w:r w:rsidR="00444941" w:rsidRPr="00BA22F7">
        <w:t xml:space="preserve">dd the following new </w:t>
      </w:r>
      <w:r w:rsidR="00880955">
        <w:t xml:space="preserve">third </w:t>
      </w:r>
      <w:r w:rsidR="00444941" w:rsidRPr="00BA22F7">
        <w:t xml:space="preserve">paragraph </w:t>
      </w:r>
      <w:r w:rsidR="00880955">
        <w:t xml:space="preserve">before the last sentence (“Outer </w:t>
      </w:r>
      <w:proofErr w:type="spellStart"/>
      <w:r w:rsidR="00880955">
        <w:t>packagings</w:t>
      </w:r>
      <w:proofErr w:type="spellEnd"/>
      <w:r w:rsidR="00880955">
        <w:t>…125 kg”)</w:t>
      </w:r>
      <w:r w:rsidR="00EF105A">
        <w:t xml:space="preserve">: </w:t>
      </w:r>
    </w:p>
    <w:p w14:paraId="42DDF918" w14:textId="764D88BC" w:rsidR="00EE18B7" w:rsidRDefault="00444941" w:rsidP="0003494A">
      <w:pPr>
        <w:pStyle w:val="Bullet1G"/>
        <w:numPr>
          <w:ilvl w:val="0"/>
          <w:numId w:val="0"/>
        </w:numPr>
        <w:ind w:left="3119"/>
      </w:pPr>
      <w:r w:rsidRPr="00BA22F7">
        <w:t xml:space="preserve">“Inner </w:t>
      </w:r>
      <w:proofErr w:type="spellStart"/>
      <w:r w:rsidRPr="00BA22F7">
        <w:t>packagings</w:t>
      </w:r>
      <w:proofErr w:type="spellEnd"/>
      <w:r w:rsidRPr="00BA22F7">
        <w:t xml:space="preserve"> shall have threaded closures or closures physically held in place by any means capable of preventing back-off or loosening of the closure by impact or vibration during transport.”. </w:t>
      </w:r>
    </w:p>
    <w:p w14:paraId="3FBFC4F8" w14:textId="2A66CC65" w:rsidR="00444941" w:rsidRPr="00BA22F7" w:rsidRDefault="00444941" w:rsidP="0003494A">
      <w:pPr>
        <w:pStyle w:val="Bullet1G"/>
        <w:numPr>
          <w:ilvl w:val="0"/>
          <w:numId w:val="0"/>
        </w:numPr>
        <w:ind w:left="2835"/>
      </w:pPr>
      <w:r w:rsidRPr="0092051A">
        <w:t>In (2)</w:t>
      </w:r>
      <w:r w:rsidR="0092051A" w:rsidRPr="0003494A">
        <w:t xml:space="preserve"> insert </w:t>
      </w:r>
      <w:r w:rsidRPr="0092051A">
        <w:t xml:space="preserve">“, 1B2” between </w:t>
      </w:r>
      <w:bookmarkStart w:id="7" w:name="_Hlk532910672"/>
      <w:r w:rsidRPr="0092051A">
        <w:t>“, 1B1” and “, 1N1”.</w:t>
      </w:r>
      <w:bookmarkEnd w:id="7"/>
    </w:p>
    <w:p w14:paraId="3AF4225B" w14:textId="77777777" w:rsidR="00444941" w:rsidRPr="00BA22F7" w:rsidRDefault="00444941" w:rsidP="00444941">
      <w:pPr>
        <w:pStyle w:val="SingleTxtG"/>
        <w:rPr>
          <w:i/>
          <w:iCs/>
        </w:rPr>
      </w:pPr>
      <w:r w:rsidRPr="00BA22F7">
        <w:rPr>
          <w:i/>
          <w:iCs/>
        </w:rPr>
        <w:t>(Reference document: ST/SG/AC.10/C.3/2018/76)</w:t>
      </w:r>
    </w:p>
    <w:p w14:paraId="40EE95DC" w14:textId="44BC0161" w:rsidR="00FD7310" w:rsidRDefault="00444941" w:rsidP="0003494A">
      <w:pPr>
        <w:pStyle w:val="SingleTxtG"/>
        <w:ind w:left="2835" w:hanging="1701"/>
      </w:pPr>
      <w:r w:rsidRPr="00BA22F7">
        <w:t>4.1.4.3, LP200</w:t>
      </w:r>
      <w:r w:rsidRPr="00BA22F7">
        <w:tab/>
      </w:r>
      <w:r w:rsidRPr="00BA22F7">
        <w:tab/>
      </w:r>
      <w:proofErr w:type="gramStart"/>
      <w:r w:rsidRPr="00BA22F7">
        <w:t>In</w:t>
      </w:r>
      <w:proofErr w:type="gramEnd"/>
      <w:r w:rsidRPr="00BA22F7">
        <w:t xml:space="preserve"> the introductory sentence, replace “UN No. 1950” by “UN 1950 and UN 2037”. </w:t>
      </w:r>
    </w:p>
    <w:p w14:paraId="122054E7" w14:textId="061A6772" w:rsidR="00FD7310" w:rsidRDefault="00444941" w:rsidP="0003494A">
      <w:pPr>
        <w:pStyle w:val="SingleTxtG"/>
        <w:ind w:left="2835"/>
      </w:pPr>
      <w:r w:rsidRPr="00BA22F7">
        <w:t xml:space="preserve">In the next paragraph, </w:t>
      </w:r>
      <w:r w:rsidR="002C772E">
        <w:t xml:space="preserve">replace </w:t>
      </w:r>
      <w:r w:rsidRPr="00BA22F7">
        <w:t>“</w:t>
      </w:r>
      <w:r w:rsidR="002C772E">
        <w:t xml:space="preserve">are authorized </w:t>
      </w:r>
      <w:r w:rsidRPr="00BA22F7">
        <w:t xml:space="preserve">for aerosols” </w:t>
      </w:r>
      <w:r w:rsidR="002C772E">
        <w:t>by</w:t>
      </w:r>
      <w:r w:rsidR="002C772E" w:rsidRPr="00BA22F7">
        <w:t xml:space="preserve"> </w:t>
      </w:r>
      <w:r w:rsidRPr="00BA22F7">
        <w:t>“</w:t>
      </w:r>
      <w:r w:rsidR="002C772E">
        <w:t xml:space="preserve">are authorized </w:t>
      </w:r>
      <w:r w:rsidR="002C772E" w:rsidRPr="00BA22F7">
        <w:t xml:space="preserve">for aerosols </w:t>
      </w:r>
      <w:r w:rsidRPr="00BA22F7">
        <w:t xml:space="preserve">and gas cartridges”. </w:t>
      </w:r>
    </w:p>
    <w:p w14:paraId="2DB5D578" w14:textId="77777777" w:rsidR="00FD7310" w:rsidRDefault="00444941" w:rsidP="0003494A">
      <w:pPr>
        <w:pStyle w:val="SingleTxtG"/>
        <w:ind w:left="2835"/>
      </w:pPr>
      <w:r w:rsidRPr="00BA22F7">
        <w:t xml:space="preserve">In the first sentence of special packing provision L2, after “dangerous movement” delete “of the aerosols”. </w:t>
      </w:r>
    </w:p>
    <w:p w14:paraId="42D6C2BE" w14:textId="33CB2A72" w:rsidR="00444941" w:rsidRPr="00BA22F7" w:rsidRDefault="00444941" w:rsidP="0003494A">
      <w:pPr>
        <w:pStyle w:val="SingleTxtG"/>
        <w:ind w:left="2835"/>
      </w:pPr>
      <w:r w:rsidRPr="00BA22F7">
        <w:t>Amend the last sentence to read</w:t>
      </w:r>
      <w:r w:rsidR="00FD7310">
        <w:t>:</w:t>
      </w:r>
      <w:r w:rsidRPr="00BA22F7">
        <w:t xml:space="preserve"> “For waste aerosols and waste gas cartridges carried in accordance with special provision 327, the large </w:t>
      </w:r>
      <w:proofErr w:type="spellStart"/>
      <w:r w:rsidRPr="00BA22F7">
        <w:t>packagings</w:t>
      </w:r>
      <w:proofErr w:type="spellEnd"/>
      <w:r w:rsidRPr="00BA22F7">
        <w:t xml:space="preserve"> shall be adequately ventilated to prevent the creation of dangerous atmospheres and the build-up of pressure.”.</w:t>
      </w:r>
    </w:p>
    <w:p w14:paraId="43F9CA04" w14:textId="77777777" w:rsidR="00444941" w:rsidRPr="00BA22F7" w:rsidRDefault="00444941" w:rsidP="00444941">
      <w:pPr>
        <w:pStyle w:val="SingleTxtG"/>
        <w:rPr>
          <w:i/>
          <w:iCs/>
        </w:rPr>
      </w:pPr>
      <w:r w:rsidRPr="00BA22F7">
        <w:rPr>
          <w:i/>
          <w:iCs/>
        </w:rPr>
        <w:tab/>
        <w:t>(Reference document: ST/SG/AC.10/C.3/2018/106)</w:t>
      </w:r>
    </w:p>
    <w:p w14:paraId="6CA4D78C" w14:textId="44BBFDCD" w:rsidR="00444941" w:rsidRPr="00BA22F7" w:rsidRDefault="00444941" w:rsidP="0003494A">
      <w:pPr>
        <w:pStyle w:val="SingleTxtG"/>
        <w:tabs>
          <w:tab w:val="left" w:pos="2835"/>
        </w:tabs>
        <w:ind w:left="2835" w:hanging="1701"/>
      </w:pPr>
      <w:r w:rsidRPr="00BA22F7">
        <w:t>4.1.6.1.8</w:t>
      </w:r>
      <w:r w:rsidRPr="00BA22F7">
        <w:tab/>
        <w:t xml:space="preserve">After the paragraph “For pressure receptacles </w:t>
      </w:r>
      <w:r w:rsidR="00FD7310">
        <w:t xml:space="preserve">… </w:t>
      </w:r>
      <w:r w:rsidRPr="00BA22F7">
        <w:t>annex A of ISO 10297:2014 shall be met.”, insert the following new paragraph:</w:t>
      </w:r>
      <w:r w:rsidR="00FD7310">
        <w:t xml:space="preserve"> </w:t>
      </w:r>
      <w:r w:rsidRPr="00BA22F7">
        <w:t>“For pressure receptacles with self-closing valves with inherent protection, the requirements of annex A of ISO 17879:2017 shall be met.”</w:t>
      </w:r>
    </w:p>
    <w:p w14:paraId="0AEDFC37" w14:textId="77777777" w:rsidR="00444941" w:rsidRPr="00BA22F7" w:rsidRDefault="00444941" w:rsidP="00444941">
      <w:pPr>
        <w:pStyle w:val="SingleTxtG"/>
        <w:rPr>
          <w:i/>
          <w:iCs/>
        </w:rPr>
      </w:pPr>
      <w:r w:rsidRPr="00BA22F7">
        <w:tab/>
      </w:r>
      <w:r w:rsidRPr="00BA22F7">
        <w:rPr>
          <w:i/>
          <w:iCs/>
        </w:rPr>
        <w:t>(Reference document: informal document INF.39)</w:t>
      </w:r>
    </w:p>
    <w:p w14:paraId="66F18240" w14:textId="77777777" w:rsidR="00444941" w:rsidRPr="00BA22F7" w:rsidRDefault="00444941" w:rsidP="00444941">
      <w:pPr>
        <w:pStyle w:val="H1G"/>
      </w:pPr>
      <w:r w:rsidRPr="00BA22F7">
        <w:lastRenderedPageBreak/>
        <w:tab/>
      </w:r>
      <w:r w:rsidRPr="00BA22F7">
        <w:tab/>
        <w:t>Chapter 5.2</w:t>
      </w:r>
    </w:p>
    <w:p w14:paraId="5A1EBAE6" w14:textId="366CF358" w:rsidR="00444941" w:rsidRPr="002C772E" w:rsidRDefault="00444941" w:rsidP="0003494A">
      <w:pPr>
        <w:pStyle w:val="SingleTxtG"/>
        <w:ind w:left="2268" w:hanging="1134"/>
      </w:pPr>
      <w:r w:rsidRPr="002C772E">
        <w:t>5.2.1.1</w:t>
      </w:r>
      <w:r w:rsidRPr="002C772E">
        <w:tab/>
      </w:r>
      <w:r w:rsidR="002C772E" w:rsidRPr="0003494A">
        <w:t xml:space="preserve">Amend the end of </w:t>
      </w:r>
      <w:r w:rsidRPr="002C772E">
        <w:t>the second sentence</w:t>
      </w:r>
      <w:r w:rsidR="002C772E" w:rsidRPr="0003494A">
        <w:t xml:space="preserve"> to read as follows: “…</w:t>
      </w:r>
      <w:r w:rsidR="002C772E" w:rsidRPr="002C772E">
        <w:t>for cylinders of 60 litres water capacity or less when they shall be at least 6 mm in height and</w:t>
      </w:r>
      <w:r w:rsidR="002C772E">
        <w:t xml:space="preserve"> </w:t>
      </w:r>
      <w:r w:rsidR="002C772E" w:rsidRPr="002C772E">
        <w:t>except for packages of 5 litres capacity or less or of 5 kg maximum net mass when they shall be of an appropriate size”</w:t>
      </w:r>
      <w:r w:rsidR="002C772E" w:rsidRPr="0003494A">
        <w:t>.</w:t>
      </w:r>
    </w:p>
    <w:p w14:paraId="67F4E7BD" w14:textId="0CC04306" w:rsidR="00444941" w:rsidRPr="00BA22F7" w:rsidRDefault="00444941" w:rsidP="0003494A">
      <w:pPr>
        <w:pStyle w:val="SingleTxtG"/>
        <w:ind w:left="2268" w:hanging="1134"/>
        <w:rPr>
          <w:i/>
          <w:iCs/>
        </w:rPr>
      </w:pPr>
      <w:r w:rsidRPr="002C772E">
        <w:rPr>
          <w:i/>
          <w:iCs/>
        </w:rPr>
        <w:t>(Reference document: informal document INF.38)</w:t>
      </w:r>
    </w:p>
    <w:p w14:paraId="4C25DB16" w14:textId="4E31C1E8" w:rsidR="002C772E" w:rsidRDefault="00444941" w:rsidP="00444941">
      <w:pPr>
        <w:pStyle w:val="SingleTxtG"/>
      </w:pPr>
      <w:r w:rsidRPr="00BA22F7">
        <w:t>5.2.1.9.2</w:t>
      </w:r>
      <w:r w:rsidRPr="00BA22F7">
        <w:tab/>
      </w:r>
      <w:r w:rsidR="002C772E">
        <w:t xml:space="preserve">In Figure 5.2.5, replace </w:t>
      </w:r>
      <w:r w:rsidR="002C772E" w:rsidRPr="00BA22F7">
        <w:t>“120 mm” by “100 mm” and “110 mm” by “100 mm”.</w:t>
      </w:r>
    </w:p>
    <w:p w14:paraId="1725C056" w14:textId="58F0B1DB" w:rsidR="00444941" w:rsidRDefault="0014327E" w:rsidP="0003494A">
      <w:pPr>
        <w:pStyle w:val="SingleTxtG"/>
        <w:ind w:left="1701" w:firstLine="567"/>
      </w:pPr>
      <w:r>
        <w:t>In</w:t>
      </w:r>
      <w:r w:rsidRPr="00BA22F7">
        <w:t xml:space="preserve"> </w:t>
      </w:r>
      <w:r w:rsidR="00444941" w:rsidRPr="00BA22F7">
        <w:t>the last paragraph:</w:t>
      </w:r>
    </w:p>
    <w:p w14:paraId="490C74BD" w14:textId="539E9DBC" w:rsidR="0014327E" w:rsidRDefault="0014327E" w:rsidP="0003494A">
      <w:pPr>
        <w:pStyle w:val="Bullet1G"/>
        <w:tabs>
          <w:tab w:val="clear" w:pos="1701"/>
          <w:tab w:val="left" w:pos="2552"/>
        </w:tabs>
        <w:ind w:left="2552" w:hanging="284"/>
      </w:pPr>
      <w:r>
        <w:t>First sentence: replace “</w:t>
      </w:r>
      <w:r w:rsidR="00753618">
        <w:t>a rectangle” by “a rectangle or a square”.</w:t>
      </w:r>
    </w:p>
    <w:p w14:paraId="0716173B" w14:textId="630B4BDA" w:rsidR="00753618" w:rsidRDefault="00753618" w:rsidP="0003494A">
      <w:pPr>
        <w:pStyle w:val="Bullet1G"/>
        <w:tabs>
          <w:tab w:val="clear" w:pos="1701"/>
          <w:tab w:val="left" w:pos="2552"/>
        </w:tabs>
        <w:ind w:left="2552" w:hanging="284"/>
      </w:pPr>
      <w:r>
        <w:t>Second sentence: replace “120 wide x 110 m high” by “</w:t>
      </w:r>
      <w:r w:rsidRPr="00BA22F7">
        <w:t xml:space="preserve">100 mm wide </w:t>
      </w:r>
      <w:r>
        <w:sym w:font="Symbol" w:char="F0B4"/>
      </w:r>
      <w:r w:rsidRPr="00BA22F7">
        <w:t xml:space="preserve"> 100 mm high</w:t>
      </w:r>
      <w:r>
        <w:t>”</w:t>
      </w:r>
    </w:p>
    <w:p w14:paraId="4369D531" w14:textId="055B4C04" w:rsidR="00753618" w:rsidRPr="00BA22F7" w:rsidRDefault="00753618" w:rsidP="0003494A">
      <w:pPr>
        <w:pStyle w:val="Bullet1G"/>
        <w:tabs>
          <w:tab w:val="clear" w:pos="1701"/>
          <w:tab w:val="left" w:pos="2552"/>
        </w:tabs>
        <w:ind w:left="2552" w:hanging="284"/>
      </w:pPr>
      <w:r>
        <w:t>Fourth sentence: delete “/line thickness” and replace “105 mm wide x 74 mm high” by “100 mm wide x 70 mm high”</w:t>
      </w:r>
    </w:p>
    <w:p w14:paraId="0CE1CE16" w14:textId="570C6D0C" w:rsidR="00444941" w:rsidRPr="00BA22F7" w:rsidRDefault="00753618" w:rsidP="00444941">
      <w:pPr>
        <w:pStyle w:val="SingleTxtG"/>
        <w:rPr>
          <w:i/>
          <w:iCs/>
        </w:rPr>
      </w:pPr>
      <w:r w:rsidRPr="00BA22F7" w:rsidDel="00753618">
        <w:t xml:space="preserve"> </w:t>
      </w:r>
      <w:r w:rsidR="00444941" w:rsidRPr="00BA22F7">
        <w:rPr>
          <w:i/>
          <w:iCs/>
        </w:rPr>
        <w:t xml:space="preserve">(Reference document: </w:t>
      </w:r>
      <w:r w:rsidR="002C772E" w:rsidRPr="00BA22F7">
        <w:rPr>
          <w:i/>
          <w:iCs/>
        </w:rPr>
        <w:t>ST/SG/AC.10/C.3/2018/</w:t>
      </w:r>
      <w:r w:rsidR="002C772E">
        <w:rPr>
          <w:i/>
          <w:iCs/>
        </w:rPr>
        <w:t xml:space="preserve">115 as amended by </w:t>
      </w:r>
      <w:r w:rsidR="00444941" w:rsidRPr="00BA22F7">
        <w:rPr>
          <w:i/>
          <w:iCs/>
        </w:rPr>
        <w:t>informal document INF.55)</w:t>
      </w:r>
    </w:p>
    <w:p w14:paraId="4DABD611" w14:textId="77777777" w:rsidR="00444941" w:rsidRPr="00BA22F7" w:rsidRDefault="00444941" w:rsidP="00444941">
      <w:pPr>
        <w:pStyle w:val="H1G"/>
      </w:pPr>
      <w:r w:rsidRPr="00BA22F7">
        <w:tab/>
      </w:r>
      <w:r w:rsidRPr="00BA22F7">
        <w:tab/>
        <w:t>Chapter 5.4</w:t>
      </w:r>
    </w:p>
    <w:p w14:paraId="54402D3B" w14:textId="12C046D8" w:rsidR="00444941" w:rsidRPr="00BA22F7" w:rsidRDefault="00444941" w:rsidP="00444941">
      <w:pPr>
        <w:pStyle w:val="SingleTxtG"/>
      </w:pPr>
      <w:r w:rsidRPr="00BA22F7">
        <w:t>5.4.1.5.1</w:t>
      </w:r>
      <w:r w:rsidRPr="00BA22F7">
        <w:tab/>
      </w:r>
      <w:r w:rsidR="00FD7310">
        <w:t>The</w:t>
      </w:r>
      <w:r w:rsidR="00FD7310" w:rsidRPr="00BA22F7">
        <w:t xml:space="preserve"> </w:t>
      </w:r>
      <w:r w:rsidRPr="00BA22F7">
        <w:t>amendment does not apply to the English version.</w:t>
      </w:r>
    </w:p>
    <w:p w14:paraId="3D140F38" w14:textId="77777777" w:rsidR="00444941" w:rsidRPr="00BA22F7" w:rsidRDefault="00444941" w:rsidP="00444941">
      <w:pPr>
        <w:pStyle w:val="SingleTxtG"/>
        <w:rPr>
          <w:i/>
          <w:iCs/>
        </w:rPr>
      </w:pPr>
      <w:r w:rsidRPr="00BA22F7">
        <w:rPr>
          <w:i/>
          <w:iCs/>
        </w:rPr>
        <w:t>(Reference document: ST/SG/AC.10/C.3/2018/69)</w:t>
      </w:r>
    </w:p>
    <w:p w14:paraId="4598A891" w14:textId="77777777" w:rsidR="00444941" w:rsidRPr="00BA22F7" w:rsidRDefault="00444941" w:rsidP="00AF03C0">
      <w:pPr>
        <w:pStyle w:val="H1G"/>
      </w:pPr>
      <w:r w:rsidRPr="00BA22F7">
        <w:tab/>
      </w:r>
      <w:r w:rsidRPr="00BA22F7">
        <w:tab/>
        <w:t>Chapter 5.5</w:t>
      </w:r>
    </w:p>
    <w:p w14:paraId="0C87989F" w14:textId="756A8C01" w:rsidR="00444941" w:rsidRPr="00BA22F7" w:rsidRDefault="00444941" w:rsidP="0003494A">
      <w:pPr>
        <w:pStyle w:val="SingleTxtG"/>
        <w:tabs>
          <w:tab w:val="left" w:pos="2268"/>
        </w:tabs>
      </w:pPr>
      <w:r w:rsidRPr="00BA22F7">
        <w:t>5.5.4</w:t>
      </w:r>
      <w:r w:rsidRPr="00BA22F7">
        <w:tab/>
        <w:t xml:space="preserve">Add a new </w:t>
      </w:r>
      <w:r w:rsidR="00FD7310">
        <w:t xml:space="preserve">section </w:t>
      </w:r>
      <w:r w:rsidRPr="00BA22F7">
        <w:t xml:space="preserve">5.5.4 </w:t>
      </w:r>
      <w:r w:rsidR="00FD7310">
        <w:t xml:space="preserve">to read </w:t>
      </w:r>
      <w:r w:rsidRPr="00BA22F7">
        <w:t>as follows:</w:t>
      </w:r>
    </w:p>
    <w:p w14:paraId="48F6CC5A" w14:textId="138A03C4" w:rsidR="00444941" w:rsidRPr="00BA22F7" w:rsidRDefault="00444941" w:rsidP="00444941">
      <w:pPr>
        <w:pStyle w:val="SingleTxtG"/>
      </w:pPr>
      <w:r w:rsidRPr="00BA22F7">
        <w:t>“</w:t>
      </w:r>
      <w:r w:rsidRPr="00BA22F7">
        <w:rPr>
          <w:b/>
          <w:bCs/>
        </w:rPr>
        <w:t>5.5.4</w:t>
      </w:r>
      <w:r w:rsidRPr="00BA22F7">
        <w:rPr>
          <w:b/>
          <w:bCs/>
        </w:rPr>
        <w:tab/>
      </w:r>
      <w:r w:rsidRPr="00BA22F7">
        <w:rPr>
          <w:b/>
          <w:bCs/>
        </w:rPr>
        <w:tab/>
        <w:t>Dangerous goods in equipment in use or intended for use during transport</w:t>
      </w:r>
    </w:p>
    <w:p w14:paraId="3F0A6233" w14:textId="30BF445B" w:rsidR="00444941" w:rsidRPr="00BA22F7" w:rsidRDefault="00FD7310" w:rsidP="00444941">
      <w:pPr>
        <w:pStyle w:val="SingleTxtG"/>
      </w:pPr>
      <w:r>
        <w:t>5.5.4.1</w:t>
      </w:r>
      <w:r>
        <w:tab/>
      </w:r>
      <w:r>
        <w:tab/>
      </w:r>
      <w:r w:rsidR="00444941" w:rsidRPr="00BA22F7">
        <w:t>Dangerous goods (e.g. lithium batteries, fuel cell cartridges) contained in equipment such as data loggers and cargo tracking devices, attached to or placed in packages, overpacks, containers or load compartments are not subject to any provisions of these Regulations other than the following:</w:t>
      </w:r>
    </w:p>
    <w:p w14:paraId="0C661FA3" w14:textId="77777777" w:rsidR="00444941" w:rsidRPr="00BA22F7" w:rsidRDefault="00444941" w:rsidP="0003494A">
      <w:pPr>
        <w:pStyle w:val="SingleTxtG"/>
        <w:ind w:left="2835" w:hanging="567"/>
      </w:pPr>
      <w:r w:rsidRPr="00BA22F7">
        <w:t>(a)</w:t>
      </w:r>
      <w:r w:rsidRPr="00BA22F7">
        <w:tab/>
        <w:t xml:space="preserve">the equipment shall be in use or intended for use during transport; </w:t>
      </w:r>
    </w:p>
    <w:p w14:paraId="44D87347" w14:textId="77777777" w:rsidR="00444941" w:rsidRPr="00BA22F7" w:rsidRDefault="00444941" w:rsidP="0003494A">
      <w:pPr>
        <w:pStyle w:val="SingleTxtG"/>
        <w:ind w:left="2835" w:hanging="567"/>
      </w:pPr>
      <w:r w:rsidRPr="00BA22F7">
        <w:t>(b)</w:t>
      </w:r>
      <w:r w:rsidRPr="00BA22F7">
        <w:tab/>
        <w:t>the contained dangerous goods (e.g. lithium batteries, fuel cell cartridges) shall meet the applicable construction and test requirements specified in these Regulations; and</w:t>
      </w:r>
    </w:p>
    <w:p w14:paraId="3ECB3413" w14:textId="77777777" w:rsidR="00444941" w:rsidRPr="00BA22F7" w:rsidRDefault="00444941" w:rsidP="0003494A">
      <w:pPr>
        <w:pStyle w:val="SingleTxtG"/>
        <w:ind w:left="2835" w:hanging="567"/>
      </w:pPr>
      <w:r w:rsidRPr="00BA22F7">
        <w:t>(c)</w:t>
      </w:r>
      <w:r w:rsidRPr="00BA22F7">
        <w:tab/>
        <w:t xml:space="preserve">the equipment shall </w:t>
      </w:r>
      <w:proofErr w:type="gramStart"/>
      <w:r w:rsidRPr="00BA22F7">
        <w:t>be capable of withstanding</w:t>
      </w:r>
      <w:proofErr w:type="gramEnd"/>
      <w:r w:rsidRPr="00BA22F7">
        <w:t xml:space="preserve"> the shocks and loadings normally encountered during transport.</w:t>
      </w:r>
    </w:p>
    <w:p w14:paraId="1499891B" w14:textId="7FF3C058" w:rsidR="00444941" w:rsidRPr="00BA22F7" w:rsidRDefault="00FD7310" w:rsidP="00444941">
      <w:pPr>
        <w:pStyle w:val="SingleTxtG"/>
      </w:pPr>
      <w:r>
        <w:t>5.5.4.2</w:t>
      </w:r>
      <w:r>
        <w:tab/>
      </w:r>
      <w:r>
        <w:tab/>
      </w:r>
      <w:r w:rsidR="00444941" w:rsidRPr="00BA22F7">
        <w:t xml:space="preserve">When such equipment containing dangerous goods is transported as a consignment, the relevant entry of the Dangerous Goods List in Chapter 3.2 shall be </w:t>
      </w:r>
      <w:proofErr w:type="gramStart"/>
      <w:r w:rsidR="00444941" w:rsidRPr="00BA22F7">
        <w:t>used</w:t>
      </w:r>
      <w:proofErr w:type="gramEnd"/>
      <w:r w:rsidR="00444941" w:rsidRPr="00BA22F7">
        <w:t xml:space="preserve"> and all applicable provisions of these Regulations shall apply.”</w:t>
      </w:r>
    </w:p>
    <w:p w14:paraId="612DA03B" w14:textId="77777777" w:rsidR="00444941" w:rsidRPr="00BA22F7" w:rsidRDefault="00444941" w:rsidP="00444941">
      <w:pPr>
        <w:pStyle w:val="SingleTxtG"/>
        <w:rPr>
          <w:i/>
          <w:iCs/>
        </w:rPr>
      </w:pPr>
      <w:r w:rsidRPr="00BA22F7">
        <w:rPr>
          <w:i/>
          <w:iCs/>
        </w:rPr>
        <w:t>(Reference document: informal document INF.52, proposal 2, as amended)</w:t>
      </w:r>
    </w:p>
    <w:p w14:paraId="2E68E5F4" w14:textId="77777777" w:rsidR="00444941" w:rsidRPr="00BA22F7" w:rsidRDefault="00444941" w:rsidP="00DC601F">
      <w:pPr>
        <w:pStyle w:val="H1G"/>
      </w:pPr>
      <w:r w:rsidRPr="00BA22F7">
        <w:lastRenderedPageBreak/>
        <w:tab/>
      </w:r>
      <w:r w:rsidRPr="00BA22F7">
        <w:tab/>
        <w:t>Chapter 6.1</w:t>
      </w:r>
    </w:p>
    <w:p w14:paraId="72E1BB22" w14:textId="166EFD92" w:rsidR="00845137" w:rsidRDefault="00444941" w:rsidP="00DC601F">
      <w:pPr>
        <w:pStyle w:val="SingleTxtG"/>
        <w:keepNext/>
        <w:keepLines/>
        <w:ind w:left="2552" w:hanging="1418"/>
      </w:pPr>
      <w:r w:rsidRPr="00BA22F7">
        <w:t>6.1.3.1</w:t>
      </w:r>
      <w:r w:rsidRPr="00BA22F7">
        <w:tab/>
      </w:r>
      <w:r w:rsidR="002C772E">
        <w:t xml:space="preserve">Amend </w:t>
      </w:r>
      <w:r w:rsidRPr="00BA22F7">
        <w:t xml:space="preserve">the third sentence </w:t>
      </w:r>
      <w:r w:rsidR="002C772E">
        <w:t xml:space="preserve">to read as follows: </w:t>
      </w:r>
    </w:p>
    <w:p w14:paraId="54869600" w14:textId="21B9E061" w:rsidR="002C772E" w:rsidRDefault="002C772E" w:rsidP="0003494A">
      <w:pPr>
        <w:pStyle w:val="SingleTxtG"/>
        <w:ind w:left="2552"/>
      </w:pPr>
      <w:r>
        <w:t xml:space="preserve">“Letters, numerals and symbols shall be at least 12 mm high, except for </w:t>
      </w:r>
      <w:proofErr w:type="spellStart"/>
      <w:r>
        <w:t>packagings</w:t>
      </w:r>
      <w:proofErr w:type="spellEnd"/>
      <w:r>
        <w:t xml:space="preserve"> of 30 litres capacity or less or of 30 kg maximum net mass, when they shall be at least 6 mm in height and except for </w:t>
      </w:r>
      <w:proofErr w:type="spellStart"/>
      <w:r>
        <w:t>packagings</w:t>
      </w:r>
      <w:proofErr w:type="spellEnd"/>
      <w:r>
        <w:t xml:space="preserve"> of 5 litres capacity or less or of 5 kg maximum net mass when they shall be of an appropriate size.”.</w:t>
      </w:r>
    </w:p>
    <w:p w14:paraId="0DC5B4A9" w14:textId="77777777" w:rsidR="00444941" w:rsidRPr="00BA22F7" w:rsidRDefault="00444941" w:rsidP="00444941">
      <w:pPr>
        <w:pStyle w:val="SingleTxtG"/>
        <w:rPr>
          <w:i/>
          <w:iCs/>
        </w:rPr>
      </w:pPr>
      <w:r w:rsidRPr="00BA22F7">
        <w:tab/>
      </w:r>
      <w:r w:rsidRPr="00BA22F7">
        <w:rPr>
          <w:i/>
          <w:iCs/>
        </w:rPr>
        <w:t>(Reference document: informal document INF.38)</w:t>
      </w:r>
    </w:p>
    <w:p w14:paraId="74B079EE" w14:textId="77777777" w:rsidR="00444941" w:rsidRPr="00BA22F7" w:rsidRDefault="00444941" w:rsidP="00444941">
      <w:pPr>
        <w:pStyle w:val="H1G"/>
      </w:pPr>
      <w:r w:rsidRPr="00BA22F7">
        <w:tab/>
      </w:r>
      <w:r w:rsidRPr="00BA22F7">
        <w:tab/>
        <w:t>Chapter 6.2</w:t>
      </w:r>
    </w:p>
    <w:p w14:paraId="314284B1" w14:textId="77777777" w:rsidR="00444941" w:rsidRPr="00BA22F7" w:rsidRDefault="00444941" w:rsidP="00444941">
      <w:pPr>
        <w:pStyle w:val="SingleTxtG"/>
      </w:pPr>
      <w:r w:rsidRPr="00BA22F7">
        <w:t>6.2.2.3</w:t>
      </w:r>
      <w:r w:rsidRPr="00BA22F7">
        <w:tab/>
      </w:r>
      <w:r w:rsidRPr="00BA22F7">
        <w:tab/>
        <w:t>In the first table, insert the following new row:</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444941" w:rsidRPr="00BA22F7" w14:paraId="4BA95E70" w14:textId="77777777" w:rsidTr="000D331E">
        <w:trPr>
          <w:trHeight w:val="463"/>
        </w:trPr>
        <w:tc>
          <w:tcPr>
            <w:tcW w:w="1663" w:type="dxa"/>
            <w:shd w:val="clear" w:color="auto" w:fill="auto"/>
          </w:tcPr>
          <w:p w14:paraId="5FE93D0F" w14:textId="77777777" w:rsidR="00444941" w:rsidRPr="00BA22F7" w:rsidRDefault="00444941" w:rsidP="000D331E">
            <w:r w:rsidRPr="00BA22F7">
              <w:t>ISO 17879:2017</w:t>
            </w:r>
          </w:p>
        </w:tc>
        <w:tc>
          <w:tcPr>
            <w:tcW w:w="4540" w:type="dxa"/>
            <w:shd w:val="clear" w:color="auto" w:fill="auto"/>
          </w:tcPr>
          <w:p w14:paraId="11D86296" w14:textId="77777777" w:rsidR="00444941" w:rsidRPr="00BA22F7" w:rsidRDefault="00444941" w:rsidP="000D331E">
            <w:r w:rsidRPr="00BA22F7">
              <w:t>Gas cylinders – Self-closing cylinder valves – Specification and type testing</w:t>
            </w:r>
          </w:p>
          <w:p w14:paraId="354ACAD1" w14:textId="77777777" w:rsidR="00444941" w:rsidRPr="00BA22F7" w:rsidRDefault="00444941" w:rsidP="000D331E">
            <w:pPr>
              <w:rPr>
                <w:i/>
              </w:rPr>
            </w:pPr>
            <w:r w:rsidRPr="00BA22F7">
              <w:rPr>
                <w:b/>
                <w:i/>
              </w:rPr>
              <w:t>NOTE:</w:t>
            </w:r>
            <w:r w:rsidRPr="00BA22F7">
              <w:rPr>
                <w:i/>
              </w:rPr>
              <w:t xml:space="preserve"> This standard shall not be applied to self-closing valves in acetylene cylinders. </w:t>
            </w:r>
          </w:p>
        </w:tc>
        <w:tc>
          <w:tcPr>
            <w:tcW w:w="1359" w:type="dxa"/>
            <w:shd w:val="clear" w:color="auto" w:fill="auto"/>
          </w:tcPr>
          <w:p w14:paraId="115381DB" w14:textId="77777777" w:rsidR="00444941" w:rsidRPr="00BA22F7" w:rsidRDefault="00444941" w:rsidP="000D331E">
            <w:r w:rsidRPr="00BA22F7">
              <w:t>Until further notice</w:t>
            </w:r>
          </w:p>
        </w:tc>
      </w:tr>
    </w:tbl>
    <w:p w14:paraId="3B98CB26" w14:textId="77777777" w:rsidR="00444941" w:rsidRPr="00BA22F7" w:rsidRDefault="00444941" w:rsidP="00444941">
      <w:pPr>
        <w:pStyle w:val="SingleTxtG"/>
        <w:rPr>
          <w:i/>
          <w:iCs/>
        </w:rPr>
      </w:pPr>
      <w:r w:rsidRPr="00BA22F7">
        <w:tab/>
      </w:r>
      <w:r w:rsidRPr="00BA22F7">
        <w:rPr>
          <w:i/>
          <w:iCs/>
        </w:rPr>
        <w:t>(Reference document: informal document INF.39, as amended)</w:t>
      </w:r>
    </w:p>
    <w:p w14:paraId="6FB65030" w14:textId="77777777" w:rsidR="00444941" w:rsidRPr="00BA22F7" w:rsidRDefault="00444941" w:rsidP="00444941">
      <w:pPr>
        <w:pStyle w:val="H1G"/>
      </w:pPr>
      <w:r w:rsidRPr="00BA22F7">
        <w:tab/>
      </w:r>
      <w:r w:rsidRPr="00BA22F7">
        <w:tab/>
        <w:t>Chapter 6.3</w:t>
      </w:r>
    </w:p>
    <w:p w14:paraId="13BC927C" w14:textId="6E47C34D" w:rsidR="00ED391F" w:rsidRDefault="00444941" w:rsidP="0003494A">
      <w:pPr>
        <w:pStyle w:val="SingleTxtG"/>
        <w:tabs>
          <w:tab w:val="left" w:pos="2552"/>
        </w:tabs>
        <w:ind w:left="2552" w:hanging="1418"/>
      </w:pPr>
      <w:r w:rsidRPr="00BA22F7">
        <w:t>6.3.4.1</w:t>
      </w:r>
      <w:r w:rsidRPr="00BA22F7">
        <w:tab/>
      </w:r>
      <w:r w:rsidR="00ED391F">
        <w:t xml:space="preserve">Amend </w:t>
      </w:r>
      <w:r w:rsidRPr="00BA22F7">
        <w:t xml:space="preserve">the third sentence </w:t>
      </w:r>
      <w:r w:rsidR="00ED391F">
        <w:t>to read as follows:</w:t>
      </w:r>
    </w:p>
    <w:p w14:paraId="31297C4A" w14:textId="6FFE874C" w:rsidR="00ED391F" w:rsidRPr="00845137" w:rsidRDefault="00845137" w:rsidP="0003494A">
      <w:pPr>
        <w:pStyle w:val="SingleTxtG"/>
        <w:tabs>
          <w:tab w:val="left" w:pos="2552"/>
        </w:tabs>
        <w:ind w:left="2552" w:hanging="1418"/>
        <w:rPr>
          <w:sz w:val="18"/>
          <w:szCs w:val="18"/>
        </w:rPr>
      </w:pPr>
      <w:r>
        <w:rPr>
          <w:sz w:val="22"/>
          <w:szCs w:val="22"/>
        </w:rPr>
        <w:tab/>
      </w:r>
      <w:r w:rsidRPr="00845137">
        <w:t xml:space="preserve">“Letters, numerals and symbols shall be at least 12 mm high, except for </w:t>
      </w:r>
      <w:proofErr w:type="spellStart"/>
      <w:r w:rsidRPr="00845137">
        <w:t>packagings</w:t>
      </w:r>
      <w:proofErr w:type="spellEnd"/>
      <w:r w:rsidRPr="00845137">
        <w:t xml:space="preserve"> of 30 litres capacity or less or of 30 kg maximum net mass, when they shall be at least 6 mm in height and except for </w:t>
      </w:r>
      <w:proofErr w:type="spellStart"/>
      <w:r w:rsidRPr="00845137">
        <w:t>packagings</w:t>
      </w:r>
      <w:proofErr w:type="spellEnd"/>
      <w:r w:rsidRPr="00845137">
        <w:t xml:space="preserve"> of 5 litres capacity or less or of 5 kg maximum net mass when they shall be of an appropriate size.”</w:t>
      </w:r>
    </w:p>
    <w:p w14:paraId="6B869555" w14:textId="77777777" w:rsidR="00444941" w:rsidRPr="00BA22F7" w:rsidRDefault="00444941" w:rsidP="00444941">
      <w:pPr>
        <w:pStyle w:val="SingleTxtG"/>
        <w:rPr>
          <w:i/>
          <w:iCs/>
        </w:rPr>
      </w:pPr>
      <w:r w:rsidRPr="00BA22F7">
        <w:tab/>
      </w:r>
      <w:r w:rsidRPr="00BA22F7">
        <w:rPr>
          <w:i/>
          <w:iCs/>
        </w:rPr>
        <w:t>(Reference document: informal document INF.38)</w:t>
      </w:r>
    </w:p>
    <w:p w14:paraId="251BC7D4" w14:textId="77777777" w:rsidR="00444941" w:rsidRPr="00BA22F7" w:rsidRDefault="00444941" w:rsidP="00444941">
      <w:pPr>
        <w:pStyle w:val="H1G"/>
      </w:pPr>
      <w:r w:rsidRPr="00BA22F7">
        <w:tab/>
      </w:r>
      <w:r w:rsidRPr="00BA22F7">
        <w:tab/>
        <w:t>Chapter 6.5</w:t>
      </w:r>
    </w:p>
    <w:p w14:paraId="21A4E6B5" w14:textId="12BED6F3" w:rsidR="002C772E" w:rsidRDefault="00444941" w:rsidP="0003494A">
      <w:pPr>
        <w:pStyle w:val="SingleTxtG"/>
        <w:tabs>
          <w:tab w:val="left" w:pos="2552"/>
        </w:tabs>
        <w:ind w:left="2552" w:hanging="1418"/>
      </w:pPr>
      <w:r w:rsidRPr="00BA22F7">
        <w:t>6.5.2.2.4</w:t>
      </w:r>
      <w:r w:rsidRPr="00BA22F7">
        <w:tab/>
      </w:r>
      <w:r w:rsidR="002C772E">
        <w:t xml:space="preserve">Amend the end of the </w:t>
      </w:r>
      <w:r w:rsidRPr="00BA22F7">
        <w:t>first paragraph to read</w:t>
      </w:r>
      <w:r w:rsidR="002C772E">
        <w:t xml:space="preserve"> as follows</w:t>
      </w:r>
      <w:r w:rsidRPr="00BA22F7">
        <w:t xml:space="preserve">: </w:t>
      </w:r>
    </w:p>
    <w:p w14:paraId="36AB5294" w14:textId="210DFF96" w:rsidR="00444941" w:rsidRPr="00BA22F7" w:rsidRDefault="002C772E" w:rsidP="0003494A">
      <w:pPr>
        <w:pStyle w:val="SingleTxtG"/>
        <w:tabs>
          <w:tab w:val="left" w:pos="2552"/>
        </w:tabs>
        <w:ind w:left="2552" w:hanging="1418"/>
      </w:pPr>
      <w:r>
        <w:tab/>
      </w:r>
      <w:r w:rsidR="00444941" w:rsidRPr="00BA22F7">
        <w:t xml:space="preserve">“It shall be durable, legible and placed in a location </w:t>
      </w:r>
      <w:proofErr w:type="gramStart"/>
      <w:r w:rsidR="00444941" w:rsidRPr="00BA22F7">
        <w:t>so as to</w:t>
      </w:r>
      <w:proofErr w:type="gramEnd"/>
      <w:r w:rsidR="00444941" w:rsidRPr="00BA22F7">
        <w:t xml:space="preserve"> be readily accessible for inspection after assembling the inner receptacle in the outer casing.</w:t>
      </w:r>
      <w:r w:rsidRPr="00BA22F7" w:rsidDel="002C772E">
        <w:t xml:space="preserve"> </w:t>
      </w:r>
      <w:r w:rsidR="00444941" w:rsidRPr="00BA22F7">
        <w:t xml:space="preserve">When the mark on the inner receptacle is not readily accessible for inspection due to the design of the outer casing, a duplicate of the required mark on the inner receptacle shall be placed on the outer casing preceded by the wording “Inner </w:t>
      </w:r>
      <w:r w:rsidR="00FD7310">
        <w:t>r</w:t>
      </w:r>
      <w:r w:rsidR="00444941" w:rsidRPr="00BA22F7">
        <w:t xml:space="preserve">eceptacle”. This duplicate shall be durable, legible and placed in a location </w:t>
      </w:r>
      <w:proofErr w:type="gramStart"/>
      <w:r w:rsidR="00444941" w:rsidRPr="00BA22F7">
        <w:t>so as to</w:t>
      </w:r>
      <w:proofErr w:type="gramEnd"/>
      <w:r w:rsidR="00444941" w:rsidRPr="00BA22F7">
        <w:t xml:space="preserve"> be readily accessible for inspection.”.</w:t>
      </w:r>
    </w:p>
    <w:p w14:paraId="658BC191" w14:textId="13488010" w:rsidR="00444941" w:rsidRPr="00BA22F7" w:rsidRDefault="00444941" w:rsidP="00444941">
      <w:pPr>
        <w:pStyle w:val="SingleTxtG"/>
        <w:rPr>
          <w:i/>
          <w:iCs/>
        </w:rPr>
      </w:pPr>
      <w:r w:rsidRPr="00BA22F7">
        <w:tab/>
      </w:r>
      <w:r w:rsidRPr="00BA22F7">
        <w:rPr>
          <w:i/>
          <w:iCs/>
        </w:rPr>
        <w:t xml:space="preserve">(Reference document: </w:t>
      </w:r>
      <w:bookmarkStart w:id="8" w:name="_Hlk533070447"/>
      <w:r w:rsidR="002C772E" w:rsidRPr="00BA22F7">
        <w:rPr>
          <w:i/>
          <w:iCs/>
        </w:rPr>
        <w:t>ST/SG/AC.10/C.3/2018/</w:t>
      </w:r>
      <w:r w:rsidR="002C772E">
        <w:rPr>
          <w:i/>
          <w:iCs/>
        </w:rPr>
        <w:t xml:space="preserve">107 </w:t>
      </w:r>
      <w:bookmarkEnd w:id="8"/>
      <w:r w:rsidR="002C772E">
        <w:rPr>
          <w:i/>
          <w:iCs/>
        </w:rPr>
        <w:t xml:space="preserve">as amended by </w:t>
      </w:r>
      <w:r w:rsidRPr="00BA22F7">
        <w:rPr>
          <w:i/>
          <w:iCs/>
        </w:rPr>
        <w:t>informal document INF.48)</w:t>
      </w:r>
    </w:p>
    <w:p w14:paraId="3D8DD4A8" w14:textId="77777777" w:rsidR="00444941" w:rsidRPr="00BA22F7" w:rsidRDefault="00444941" w:rsidP="0003494A">
      <w:pPr>
        <w:pStyle w:val="SingleTxtG"/>
        <w:ind w:left="2552" w:hanging="1418"/>
      </w:pPr>
      <w:r w:rsidRPr="00BA22F7">
        <w:t>6.5.5.1.6</w:t>
      </w:r>
      <w:r w:rsidRPr="00BA22F7">
        <w:tab/>
        <w:t>Insert a new introductory sentence as follows:</w:t>
      </w:r>
    </w:p>
    <w:p w14:paraId="052409FA" w14:textId="28C5668F" w:rsidR="00444941" w:rsidRPr="00BA22F7" w:rsidRDefault="00444941" w:rsidP="0003494A">
      <w:pPr>
        <w:pStyle w:val="SingleTxtG"/>
        <w:ind w:left="2552"/>
      </w:pPr>
      <w:r w:rsidRPr="00BA22F7">
        <w:t xml:space="preserve">“Metal IBCs with a capacity </w:t>
      </w:r>
      <w:r w:rsidR="002C772E">
        <w:t xml:space="preserve">of </w:t>
      </w:r>
      <w:r w:rsidRPr="00BA22F7">
        <w:t xml:space="preserve">more than 1500 </w:t>
      </w:r>
      <w:r w:rsidR="00FD7310" w:rsidRPr="0003494A">
        <w:rPr>
          <w:i/>
          <w:iCs/>
        </w:rPr>
        <w:t>l</w:t>
      </w:r>
      <w:r w:rsidR="00FD7310" w:rsidRPr="00BA22F7">
        <w:t xml:space="preserve"> </w:t>
      </w:r>
      <w:r w:rsidRPr="00BA22F7">
        <w:t>shall comply with the following minimum wall thickness requirement:”</w:t>
      </w:r>
    </w:p>
    <w:p w14:paraId="473BC247" w14:textId="3ECF372F" w:rsidR="00444941" w:rsidRPr="00BA22F7" w:rsidRDefault="002C772E" w:rsidP="0003494A">
      <w:pPr>
        <w:pStyle w:val="SingleTxtG"/>
        <w:keepNext/>
        <w:keepLines/>
        <w:tabs>
          <w:tab w:val="left" w:pos="2552"/>
        </w:tabs>
      </w:pPr>
      <w:r>
        <w:lastRenderedPageBreak/>
        <w:tab/>
      </w:r>
      <w:r w:rsidR="00444941" w:rsidRPr="00BA22F7">
        <w:t xml:space="preserve">Amend the table </w:t>
      </w:r>
      <w:r>
        <w:t xml:space="preserve">under (a) </w:t>
      </w:r>
      <w:r w:rsidR="00444941" w:rsidRPr="00BA22F7">
        <w:t>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444941" w:rsidRPr="00BA22F7" w14:paraId="36F6CF54" w14:textId="77777777" w:rsidTr="000D331E">
        <w:trPr>
          <w:tblHeader/>
          <w:jc w:val="center"/>
        </w:trPr>
        <w:tc>
          <w:tcPr>
            <w:tcW w:w="7328" w:type="dxa"/>
            <w:gridSpan w:val="4"/>
            <w:vAlign w:val="center"/>
            <w:hideMark/>
          </w:tcPr>
          <w:p w14:paraId="5A98E785" w14:textId="77777777" w:rsidR="00444941" w:rsidRPr="00BA22F7" w:rsidRDefault="00444941" w:rsidP="000D331E">
            <w:pPr>
              <w:ind w:left="21"/>
              <w:jc w:val="center"/>
              <w:rPr>
                <w:b/>
                <w:bCs/>
                <w:lang w:eastAsia="de-DE"/>
              </w:rPr>
            </w:pPr>
            <w:r w:rsidRPr="00BA22F7">
              <w:rPr>
                <w:b/>
                <w:bCs/>
                <w:lang w:eastAsia="de-DE"/>
              </w:rPr>
              <w:t>Wall thickness (</w:t>
            </w:r>
            <w:r w:rsidRPr="00BA22F7">
              <w:rPr>
                <w:b/>
                <w:bCs/>
                <w:iCs/>
                <w:lang w:eastAsia="de-DE"/>
              </w:rPr>
              <w:t>T</w:t>
            </w:r>
            <w:r w:rsidRPr="00BA22F7">
              <w:rPr>
                <w:b/>
                <w:bCs/>
                <w:lang w:eastAsia="de-DE"/>
              </w:rPr>
              <w:t>) in mm</w:t>
            </w:r>
          </w:p>
        </w:tc>
      </w:tr>
      <w:tr w:rsidR="00444941" w:rsidRPr="00BA22F7" w14:paraId="0703C7A0" w14:textId="77777777" w:rsidTr="000D331E">
        <w:trPr>
          <w:tblHeader/>
          <w:jc w:val="center"/>
        </w:trPr>
        <w:tc>
          <w:tcPr>
            <w:tcW w:w="3505" w:type="dxa"/>
            <w:gridSpan w:val="2"/>
            <w:vAlign w:val="center"/>
            <w:hideMark/>
          </w:tcPr>
          <w:p w14:paraId="357CA694" w14:textId="77777777" w:rsidR="00444941" w:rsidRPr="00BA22F7" w:rsidRDefault="00444941" w:rsidP="000D331E">
            <w:pPr>
              <w:ind w:left="21"/>
              <w:jc w:val="center"/>
              <w:rPr>
                <w:b/>
                <w:bCs/>
                <w:lang w:eastAsia="de-DE"/>
              </w:rPr>
            </w:pPr>
            <w:r w:rsidRPr="00BA22F7">
              <w:rPr>
                <w:b/>
                <w:bCs/>
                <w:lang w:eastAsia="de-DE"/>
              </w:rPr>
              <w:t>Types 11A, 11B, 11N</w:t>
            </w:r>
          </w:p>
        </w:tc>
        <w:tc>
          <w:tcPr>
            <w:tcW w:w="3823" w:type="dxa"/>
            <w:gridSpan w:val="2"/>
            <w:vAlign w:val="center"/>
            <w:hideMark/>
          </w:tcPr>
          <w:p w14:paraId="0A0F462C" w14:textId="77777777" w:rsidR="00444941" w:rsidRPr="00BA22F7" w:rsidRDefault="00444941" w:rsidP="000D331E">
            <w:pPr>
              <w:jc w:val="center"/>
              <w:rPr>
                <w:b/>
                <w:bCs/>
                <w:lang w:eastAsia="de-DE"/>
              </w:rPr>
            </w:pPr>
            <w:r w:rsidRPr="00BA22F7">
              <w:rPr>
                <w:b/>
                <w:bCs/>
                <w:lang w:eastAsia="de-DE"/>
              </w:rPr>
              <w:t>Types 21A, 21B, 21N, 31A, 31B, 31N</w:t>
            </w:r>
          </w:p>
        </w:tc>
      </w:tr>
      <w:tr w:rsidR="00444941" w:rsidRPr="00BA22F7" w14:paraId="0FB4B491" w14:textId="77777777" w:rsidTr="000D331E">
        <w:trPr>
          <w:tblHeader/>
          <w:jc w:val="center"/>
        </w:trPr>
        <w:tc>
          <w:tcPr>
            <w:tcW w:w="1807" w:type="dxa"/>
            <w:vAlign w:val="center"/>
            <w:hideMark/>
          </w:tcPr>
          <w:p w14:paraId="370DFD19" w14:textId="77777777" w:rsidR="00444941" w:rsidRPr="00BA22F7" w:rsidRDefault="00444941" w:rsidP="000D331E">
            <w:pPr>
              <w:ind w:left="163"/>
              <w:jc w:val="center"/>
              <w:rPr>
                <w:b/>
                <w:bCs/>
                <w:lang w:eastAsia="de-DE"/>
              </w:rPr>
            </w:pPr>
            <w:r w:rsidRPr="00BA22F7">
              <w:rPr>
                <w:b/>
                <w:bCs/>
                <w:lang w:eastAsia="de-DE"/>
              </w:rPr>
              <w:t>Unprotected</w:t>
            </w:r>
          </w:p>
        </w:tc>
        <w:tc>
          <w:tcPr>
            <w:tcW w:w="1698" w:type="dxa"/>
            <w:vAlign w:val="center"/>
            <w:hideMark/>
          </w:tcPr>
          <w:p w14:paraId="2EB375DC" w14:textId="77777777" w:rsidR="00444941" w:rsidRPr="00BA22F7" w:rsidRDefault="00444941" w:rsidP="000D331E">
            <w:pPr>
              <w:jc w:val="center"/>
              <w:rPr>
                <w:b/>
                <w:bCs/>
                <w:lang w:eastAsia="de-DE"/>
              </w:rPr>
            </w:pPr>
            <w:r w:rsidRPr="00BA22F7">
              <w:rPr>
                <w:b/>
                <w:bCs/>
                <w:lang w:eastAsia="de-DE"/>
              </w:rPr>
              <w:t>Protected</w:t>
            </w:r>
          </w:p>
        </w:tc>
        <w:tc>
          <w:tcPr>
            <w:tcW w:w="1773" w:type="dxa"/>
            <w:vAlign w:val="center"/>
            <w:hideMark/>
          </w:tcPr>
          <w:p w14:paraId="35BD413B" w14:textId="77777777" w:rsidR="00444941" w:rsidRPr="00BA22F7" w:rsidRDefault="00444941" w:rsidP="000D331E">
            <w:pPr>
              <w:ind w:left="23"/>
              <w:jc w:val="center"/>
              <w:rPr>
                <w:b/>
                <w:bCs/>
                <w:lang w:eastAsia="de-DE"/>
              </w:rPr>
            </w:pPr>
            <w:r w:rsidRPr="00BA22F7">
              <w:rPr>
                <w:b/>
                <w:bCs/>
                <w:lang w:eastAsia="de-DE"/>
              </w:rPr>
              <w:t>Unprotected</w:t>
            </w:r>
          </w:p>
        </w:tc>
        <w:tc>
          <w:tcPr>
            <w:tcW w:w="2050" w:type="dxa"/>
            <w:vAlign w:val="center"/>
            <w:hideMark/>
          </w:tcPr>
          <w:p w14:paraId="387C32C6" w14:textId="77777777" w:rsidR="00444941" w:rsidRPr="00BA22F7" w:rsidRDefault="00444941" w:rsidP="000D331E">
            <w:pPr>
              <w:ind w:left="40"/>
              <w:jc w:val="center"/>
              <w:rPr>
                <w:b/>
                <w:bCs/>
                <w:lang w:eastAsia="de-DE"/>
              </w:rPr>
            </w:pPr>
            <w:r w:rsidRPr="00BA22F7">
              <w:rPr>
                <w:b/>
                <w:bCs/>
                <w:lang w:eastAsia="de-DE"/>
              </w:rPr>
              <w:t>Protected</w:t>
            </w:r>
          </w:p>
        </w:tc>
      </w:tr>
      <w:tr w:rsidR="00444941" w:rsidRPr="00BA22F7" w14:paraId="2F2E1466" w14:textId="77777777" w:rsidTr="00BA22F7">
        <w:trPr>
          <w:trHeight w:val="455"/>
          <w:jc w:val="center"/>
        </w:trPr>
        <w:tc>
          <w:tcPr>
            <w:tcW w:w="1807" w:type="dxa"/>
            <w:tcBorders>
              <w:top w:val="single" w:sz="4" w:space="0" w:color="auto"/>
              <w:bottom w:val="single" w:sz="4" w:space="0" w:color="auto"/>
            </w:tcBorders>
            <w:vAlign w:val="center"/>
            <w:hideMark/>
          </w:tcPr>
          <w:p w14:paraId="227FE1F7" w14:textId="77777777" w:rsidR="00444941" w:rsidRPr="00BA22F7" w:rsidRDefault="00444941" w:rsidP="000D331E">
            <w:pPr>
              <w:ind w:left="22"/>
              <w:jc w:val="center"/>
              <w:rPr>
                <w:lang w:eastAsia="de-DE"/>
              </w:rPr>
            </w:pPr>
            <w:r w:rsidRPr="00BA22F7">
              <w:rPr>
                <w:lang w:eastAsia="de-DE"/>
              </w:rPr>
              <w:t>T = C/2000 + 1.5</w:t>
            </w:r>
          </w:p>
        </w:tc>
        <w:tc>
          <w:tcPr>
            <w:tcW w:w="1698" w:type="dxa"/>
            <w:tcBorders>
              <w:top w:val="single" w:sz="4" w:space="0" w:color="auto"/>
              <w:bottom w:val="single" w:sz="4" w:space="0" w:color="auto"/>
            </w:tcBorders>
            <w:vAlign w:val="center"/>
            <w:hideMark/>
          </w:tcPr>
          <w:p w14:paraId="1F0C788E" w14:textId="77777777" w:rsidR="00444941" w:rsidRPr="00BA22F7" w:rsidRDefault="00444941" w:rsidP="000D331E">
            <w:pPr>
              <w:ind w:left="22"/>
              <w:jc w:val="center"/>
              <w:rPr>
                <w:lang w:eastAsia="de-DE"/>
              </w:rPr>
            </w:pPr>
            <w:r w:rsidRPr="00BA22F7">
              <w:rPr>
                <w:lang w:eastAsia="de-DE"/>
              </w:rPr>
              <w:t>T = C/2000 + 1.0</w:t>
            </w:r>
          </w:p>
        </w:tc>
        <w:tc>
          <w:tcPr>
            <w:tcW w:w="1773" w:type="dxa"/>
            <w:tcBorders>
              <w:top w:val="single" w:sz="4" w:space="0" w:color="auto"/>
              <w:bottom w:val="single" w:sz="4" w:space="0" w:color="auto"/>
            </w:tcBorders>
            <w:vAlign w:val="center"/>
            <w:hideMark/>
          </w:tcPr>
          <w:p w14:paraId="3C799F6D" w14:textId="77777777" w:rsidR="00444941" w:rsidRPr="00BA22F7" w:rsidRDefault="00444941" w:rsidP="000D331E">
            <w:pPr>
              <w:ind w:left="22"/>
              <w:jc w:val="center"/>
              <w:rPr>
                <w:lang w:eastAsia="de-DE"/>
              </w:rPr>
            </w:pPr>
            <w:r w:rsidRPr="00BA22F7">
              <w:rPr>
                <w:lang w:eastAsia="de-DE"/>
              </w:rPr>
              <w:t>T = C/1000 + 1.0</w:t>
            </w:r>
          </w:p>
        </w:tc>
        <w:tc>
          <w:tcPr>
            <w:tcW w:w="2050" w:type="dxa"/>
            <w:tcBorders>
              <w:top w:val="single" w:sz="4" w:space="0" w:color="auto"/>
              <w:bottom w:val="single" w:sz="4" w:space="0" w:color="auto"/>
            </w:tcBorders>
            <w:vAlign w:val="center"/>
            <w:hideMark/>
          </w:tcPr>
          <w:p w14:paraId="20E5E926" w14:textId="77777777" w:rsidR="00444941" w:rsidRPr="00BA22F7" w:rsidRDefault="00444941" w:rsidP="000D331E">
            <w:pPr>
              <w:ind w:left="22"/>
              <w:jc w:val="center"/>
              <w:rPr>
                <w:lang w:eastAsia="de-DE"/>
              </w:rPr>
            </w:pPr>
            <w:r w:rsidRPr="00BA22F7">
              <w:rPr>
                <w:lang w:eastAsia="de-DE"/>
              </w:rPr>
              <w:t>T = C/2000 + 1.5</w:t>
            </w:r>
          </w:p>
        </w:tc>
      </w:tr>
    </w:tbl>
    <w:p w14:paraId="15D14C5F" w14:textId="6D310489" w:rsidR="00444941" w:rsidRPr="00BA22F7" w:rsidRDefault="00444941" w:rsidP="00444941">
      <w:pPr>
        <w:pStyle w:val="SingleTxtG"/>
        <w:rPr>
          <w:i/>
          <w:iCs/>
        </w:rPr>
      </w:pPr>
      <w:r w:rsidRPr="00BA22F7">
        <w:tab/>
      </w:r>
      <w:r w:rsidRPr="00BA22F7">
        <w:rPr>
          <w:i/>
          <w:iCs/>
        </w:rPr>
        <w:t xml:space="preserve">(Reference document: </w:t>
      </w:r>
      <w:bookmarkStart w:id="9" w:name="_Hlk533070489"/>
      <w:r w:rsidR="002C772E" w:rsidRPr="00BA22F7">
        <w:rPr>
          <w:i/>
          <w:iCs/>
        </w:rPr>
        <w:t>ST/SG/AC.10/C.3/2018/</w:t>
      </w:r>
      <w:r w:rsidR="002C772E">
        <w:rPr>
          <w:i/>
          <w:iCs/>
        </w:rPr>
        <w:t xml:space="preserve">96 </w:t>
      </w:r>
      <w:bookmarkEnd w:id="9"/>
      <w:r w:rsidR="002C772E">
        <w:rPr>
          <w:i/>
          <w:iCs/>
        </w:rPr>
        <w:t xml:space="preserve">as amended by </w:t>
      </w:r>
      <w:r w:rsidRPr="00BA22F7">
        <w:rPr>
          <w:i/>
          <w:iCs/>
        </w:rPr>
        <w:t>informal document INF.47)</w:t>
      </w:r>
    </w:p>
    <w:p w14:paraId="196B9EA6" w14:textId="77777777" w:rsidR="00444941" w:rsidRPr="00BA22F7" w:rsidRDefault="00444941" w:rsidP="00444941">
      <w:pPr>
        <w:pStyle w:val="H1G"/>
      </w:pPr>
      <w:r w:rsidRPr="00BA22F7">
        <w:tab/>
      </w:r>
      <w:r w:rsidRPr="00BA22F7">
        <w:tab/>
        <w:t>Chapter 6.7</w:t>
      </w:r>
    </w:p>
    <w:p w14:paraId="50B1FA61" w14:textId="3802C631" w:rsidR="00444941" w:rsidRPr="00BA22F7" w:rsidRDefault="00444941" w:rsidP="0003494A">
      <w:pPr>
        <w:pStyle w:val="SingleTxtG"/>
        <w:tabs>
          <w:tab w:val="left" w:pos="2552"/>
        </w:tabs>
        <w:ind w:left="2552" w:hanging="1418"/>
      </w:pPr>
      <w:r w:rsidRPr="00BA22F7">
        <w:t>6.7.2.2.16</w:t>
      </w:r>
      <w:r w:rsidRPr="00BA22F7">
        <w:tab/>
        <w:t>Add “of the Dangerous Goods List” after “Column 11” and delete it after “described in 4.2.5.3”.</w:t>
      </w:r>
    </w:p>
    <w:p w14:paraId="56DF3E4B" w14:textId="363BCFCD" w:rsidR="00444941" w:rsidRPr="00BA22F7" w:rsidRDefault="00444941" w:rsidP="00444941">
      <w:pPr>
        <w:pStyle w:val="SingleTxtG"/>
        <w:rPr>
          <w:i/>
          <w:iCs/>
        </w:rPr>
      </w:pPr>
      <w:r w:rsidRPr="00BA22F7">
        <w:rPr>
          <w:i/>
          <w:iCs/>
        </w:rPr>
        <w:tab/>
        <w:t>(Reference document: ST/SG/AC.10/C.3/2018/100, proposal 4)</w:t>
      </w:r>
    </w:p>
    <w:p w14:paraId="4D65A208" w14:textId="2F9FCC6F" w:rsidR="00444941" w:rsidRPr="00BA22F7" w:rsidRDefault="00444941" w:rsidP="0003494A">
      <w:pPr>
        <w:pStyle w:val="SingleTxtG"/>
        <w:ind w:left="2552" w:hanging="1418"/>
      </w:pPr>
      <w:r w:rsidRPr="00BA22F7">
        <w:t xml:space="preserve">6.7.2.4.8 </w:t>
      </w:r>
      <w:r w:rsidRPr="00BA22F7">
        <w:tab/>
      </w:r>
      <w:r w:rsidR="00FD7310">
        <w:t xml:space="preserve">The </w:t>
      </w:r>
      <w:r w:rsidRPr="00BA22F7">
        <w:t>amendment does not apply to the English version.</w:t>
      </w:r>
    </w:p>
    <w:p w14:paraId="4F05DE21" w14:textId="77777777" w:rsidR="00444941" w:rsidRPr="00BA22F7" w:rsidRDefault="00444941" w:rsidP="00444941">
      <w:pPr>
        <w:pStyle w:val="SingleTxtG"/>
        <w:rPr>
          <w:i/>
          <w:iCs/>
        </w:rPr>
      </w:pPr>
      <w:r w:rsidRPr="00BA22F7">
        <w:rPr>
          <w:i/>
          <w:iCs/>
        </w:rPr>
        <w:tab/>
        <w:t>(Reference document: ST/SG/AC.10/C.3/2018/100, consequential amendment)</w:t>
      </w:r>
    </w:p>
    <w:p w14:paraId="2F276DEF" w14:textId="77777777" w:rsidR="00444941" w:rsidRPr="00BA22F7" w:rsidRDefault="00444941" w:rsidP="0003494A">
      <w:pPr>
        <w:pStyle w:val="SingleTxtG"/>
        <w:tabs>
          <w:tab w:val="left" w:pos="2552"/>
        </w:tabs>
      </w:pPr>
      <w:r w:rsidRPr="00BA22F7">
        <w:t>6.7.2.19.6</w:t>
      </w:r>
      <w:r w:rsidRPr="00BA22F7">
        <w:tab/>
        <w:t>Add the following new paragraph:</w:t>
      </w:r>
    </w:p>
    <w:p w14:paraId="16B12A6A" w14:textId="674CB04F" w:rsidR="00444941" w:rsidRPr="00BA22F7" w:rsidRDefault="00444941" w:rsidP="0003494A">
      <w:pPr>
        <w:pStyle w:val="SingleTxtG"/>
        <w:tabs>
          <w:tab w:val="left" w:pos="2552"/>
        </w:tabs>
        <w:ind w:left="2552"/>
      </w:pPr>
      <w:r w:rsidRPr="00BA22F7">
        <w:t>“6.7.2.19.6.1</w:t>
      </w:r>
      <w:r w:rsidRPr="00BA22F7">
        <w:tab/>
        <w:t>Except as provided for in 6.7.2.19.6</w:t>
      </w:r>
      <w:r w:rsidR="002C772E">
        <w:t>,</w:t>
      </w:r>
      <w:r w:rsidRPr="00BA22F7">
        <w:t xml:space="preserve"> portable tanks which have missed the timeframe for their scheduled 5 year or </w:t>
      </w:r>
      <w:proofErr w:type="gramStart"/>
      <w:r w:rsidRPr="00BA22F7">
        <w:t>2.5 year</w:t>
      </w:r>
      <w:proofErr w:type="gramEnd"/>
      <w:r w:rsidRPr="00BA22F7">
        <w:t xml:space="preserve"> periodic inspection and test may only be filled and offered for transport if a new 5 year periodic inspection and test is performed according to 6.7.2.19.4”</w:t>
      </w:r>
      <w:r w:rsidR="00845137">
        <w:t>.</w:t>
      </w:r>
    </w:p>
    <w:p w14:paraId="25B4EE04" w14:textId="77777777" w:rsidR="00444941" w:rsidRPr="00BA22F7" w:rsidRDefault="00444941" w:rsidP="00444941">
      <w:pPr>
        <w:pStyle w:val="SingleTxtG"/>
        <w:rPr>
          <w:i/>
          <w:iCs/>
        </w:rPr>
      </w:pPr>
      <w:r w:rsidRPr="00BA22F7">
        <w:rPr>
          <w:i/>
          <w:iCs/>
        </w:rPr>
        <w:tab/>
        <w:t>(Reference document: ST/SG/AC.10/C.3/2018/112, as amended)</w:t>
      </w:r>
    </w:p>
    <w:p w14:paraId="291BCA33" w14:textId="77777777" w:rsidR="00444941" w:rsidRPr="00BA22F7" w:rsidRDefault="00444941" w:rsidP="0003494A">
      <w:pPr>
        <w:pStyle w:val="SingleTxtG"/>
        <w:tabs>
          <w:tab w:val="left" w:pos="2552"/>
        </w:tabs>
        <w:ind w:left="2552" w:hanging="1418"/>
      </w:pPr>
      <w:r w:rsidRPr="00BA22F7">
        <w:t>6.7.3.4.1</w:t>
      </w:r>
      <w:r w:rsidRPr="00BA22F7">
        <w:tab/>
        <w:t>After (b), add the following new paragraph:</w:t>
      </w:r>
    </w:p>
    <w:p w14:paraId="2A28C997" w14:textId="138745D8" w:rsidR="00444941" w:rsidRPr="00BA22F7" w:rsidRDefault="00FD7310" w:rsidP="0003494A">
      <w:pPr>
        <w:pStyle w:val="SingleTxtG"/>
        <w:tabs>
          <w:tab w:val="left" w:pos="2552"/>
        </w:tabs>
        <w:ind w:left="2552" w:hanging="1418"/>
      </w:pPr>
      <w:r>
        <w:tab/>
      </w:r>
      <w:r w:rsidR="00444941" w:rsidRPr="00BA22F7">
        <w:t xml:space="preserve">“In addition, any relevant portable tank special provision indicated in Column 11 of the Dangerous Goods List and described in 4.2.5.3 shall be </w:t>
      </w:r>
      <w:proofErr w:type="gramStart"/>
      <w:r w:rsidR="00444941" w:rsidRPr="00BA22F7">
        <w:t>taken into account</w:t>
      </w:r>
      <w:proofErr w:type="gramEnd"/>
      <w:r w:rsidR="00444941" w:rsidRPr="00BA22F7">
        <w:t>.”</w:t>
      </w:r>
      <w:r w:rsidR="00845137">
        <w:t>.</w:t>
      </w:r>
    </w:p>
    <w:p w14:paraId="79CA6F22" w14:textId="20728A74" w:rsidR="00444941" w:rsidRPr="00BA22F7" w:rsidRDefault="00444941" w:rsidP="0003494A">
      <w:pPr>
        <w:pStyle w:val="SingleTxtG"/>
        <w:tabs>
          <w:tab w:val="left" w:pos="2552"/>
        </w:tabs>
        <w:ind w:left="2552" w:hanging="1418"/>
        <w:rPr>
          <w:i/>
          <w:iCs/>
        </w:rPr>
      </w:pPr>
      <w:r w:rsidRPr="00BA22F7">
        <w:rPr>
          <w:i/>
          <w:iCs/>
        </w:rPr>
        <w:tab/>
        <w:t>(Reference document: ST/SG/AC.10/C.3/2018/100, proposal 2)</w:t>
      </w:r>
    </w:p>
    <w:p w14:paraId="66165DEA" w14:textId="65364C98" w:rsidR="00444941" w:rsidRPr="00BA22F7" w:rsidRDefault="00444941" w:rsidP="0003494A">
      <w:pPr>
        <w:pStyle w:val="SingleTxtG"/>
        <w:tabs>
          <w:tab w:val="left" w:pos="2552"/>
        </w:tabs>
        <w:ind w:left="2552" w:hanging="1418"/>
      </w:pPr>
      <w:r w:rsidRPr="00BA22F7">
        <w:t>6.7.3.4.5</w:t>
      </w:r>
      <w:r w:rsidRPr="00BA22F7">
        <w:tab/>
      </w:r>
      <w:r w:rsidR="00FD7310">
        <w:t>The</w:t>
      </w:r>
      <w:r w:rsidR="00FD7310" w:rsidRPr="00BA22F7">
        <w:t xml:space="preserve"> </w:t>
      </w:r>
      <w:r w:rsidRPr="00BA22F7">
        <w:t>amendment does not apply to the English version.</w:t>
      </w:r>
    </w:p>
    <w:p w14:paraId="031DCFE0" w14:textId="77777777" w:rsidR="00444941" w:rsidRPr="00BA22F7" w:rsidRDefault="00444941" w:rsidP="0003494A">
      <w:pPr>
        <w:pStyle w:val="SingleTxtG"/>
        <w:tabs>
          <w:tab w:val="left" w:pos="2552"/>
        </w:tabs>
        <w:ind w:left="2552" w:hanging="1418"/>
        <w:rPr>
          <w:i/>
          <w:iCs/>
        </w:rPr>
      </w:pPr>
      <w:r w:rsidRPr="00BA22F7">
        <w:rPr>
          <w:i/>
          <w:iCs/>
        </w:rPr>
        <w:tab/>
        <w:t>(Reference document: ST/SG/AC.10/C.3/2018/100, consequential amendment)</w:t>
      </w:r>
    </w:p>
    <w:p w14:paraId="29BC6D23" w14:textId="6F2555DB" w:rsidR="00444941" w:rsidRPr="00BA22F7" w:rsidRDefault="00444941" w:rsidP="0003494A">
      <w:pPr>
        <w:pStyle w:val="SingleTxtG"/>
        <w:tabs>
          <w:tab w:val="left" w:pos="2552"/>
        </w:tabs>
        <w:ind w:left="2552" w:hanging="1418"/>
      </w:pPr>
      <w:r w:rsidRPr="00BA22F7">
        <w:t xml:space="preserve">6.7.3.5.5 </w:t>
      </w:r>
      <w:r w:rsidRPr="00BA22F7">
        <w:tab/>
      </w:r>
      <w:r w:rsidR="00FD7310">
        <w:t>The</w:t>
      </w:r>
      <w:r w:rsidR="00FD7310" w:rsidRPr="00BA22F7">
        <w:t xml:space="preserve"> </w:t>
      </w:r>
      <w:r w:rsidRPr="00BA22F7">
        <w:t>amendment does not apply to the English version.</w:t>
      </w:r>
    </w:p>
    <w:p w14:paraId="3CB3AA5D" w14:textId="77777777" w:rsidR="00444941" w:rsidRPr="00BA22F7" w:rsidRDefault="00444941" w:rsidP="0003494A">
      <w:pPr>
        <w:pStyle w:val="SingleTxtG"/>
        <w:tabs>
          <w:tab w:val="left" w:pos="2552"/>
        </w:tabs>
        <w:ind w:left="2552" w:hanging="1418"/>
        <w:rPr>
          <w:i/>
          <w:iCs/>
        </w:rPr>
      </w:pPr>
      <w:r w:rsidRPr="00BA22F7">
        <w:rPr>
          <w:i/>
          <w:iCs/>
        </w:rPr>
        <w:tab/>
        <w:t>(Reference document: informal document INF.15, proposal 2)</w:t>
      </w:r>
    </w:p>
    <w:p w14:paraId="539B89AD" w14:textId="77777777" w:rsidR="00444941" w:rsidRPr="00BA22F7" w:rsidRDefault="00444941" w:rsidP="0003494A">
      <w:pPr>
        <w:pStyle w:val="SingleTxtG"/>
        <w:tabs>
          <w:tab w:val="left" w:pos="2552"/>
        </w:tabs>
        <w:ind w:left="2552" w:hanging="1418"/>
      </w:pPr>
      <w:r w:rsidRPr="00BA22F7">
        <w:t>6.7.3.15.6</w:t>
      </w:r>
      <w:r w:rsidRPr="00BA22F7">
        <w:tab/>
        <w:t>Add the following new paragraph:</w:t>
      </w:r>
    </w:p>
    <w:p w14:paraId="10FD8E2A" w14:textId="3D6034A9" w:rsidR="00444941" w:rsidRPr="00BA22F7" w:rsidRDefault="00FD7310" w:rsidP="0003494A">
      <w:pPr>
        <w:pStyle w:val="SingleTxtG"/>
        <w:tabs>
          <w:tab w:val="left" w:pos="2552"/>
        </w:tabs>
        <w:ind w:left="2552" w:hanging="1418"/>
      </w:pPr>
      <w:r>
        <w:tab/>
      </w:r>
      <w:r w:rsidR="00444941" w:rsidRPr="00BA22F7">
        <w:t>“6.7.3.15.6.1</w:t>
      </w:r>
      <w:r w:rsidR="00444941" w:rsidRPr="00BA22F7">
        <w:tab/>
        <w:t>Except as provided for in 6.7.3.15.6</w:t>
      </w:r>
      <w:r w:rsidR="00D92C3F">
        <w:t>,</w:t>
      </w:r>
      <w:r w:rsidR="00444941" w:rsidRPr="00BA22F7">
        <w:t xml:space="preserve"> portable tanks which have missed the timeframe for their scheduled 5 year or </w:t>
      </w:r>
      <w:proofErr w:type="gramStart"/>
      <w:r w:rsidR="00444941" w:rsidRPr="00BA22F7">
        <w:t>2.5 year</w:t>
      </w:r>
      <w:proofErr w:type="gramEnd"/>
      <w:r w:rsidR="00444941" w:rsidRPr="00BA22F7">
        <w:t xml:space="preserve"> periodic inspection and test may only be filled and offered for transport if a new 5 year periodic inspection and test is performed according to 6.7.3.15.4”</w:t>
      </w:r>
      <w:r w:rsidR="00845137">
        <w:t>.</w:t>
      </w:r>
    </w:p>
    <w:p w14:paraId="6A438C57" w14:textId="77777777" w:rsidR="00444941" w:rsidRPr="00BA22F7" w:rsidRDefault="00444941" w:rsidP="00444941">
      <w:pPr>
        <w:pStyle w:val="SingleTxtG"/>
        <w:rPr>
          <w:i/>
          <w:iCs/>
        </w:rPr>
      </w:pPr>
      <w:r w:rsidRPr="00BA22F7">
        <w:rPr>
          <w:i/>
          <w:iCs/>
        </w:rPr>
        <w:tab/>
        <w:t>(Reference document: ST/SG/AC.10/C.3/2018/112, consequential amendment)</w:t>
      </w:r>
    </w:p>
    <w:p w14:paraId="3C6BD074" w14:textId="065BAF51" w:rsidR="00444941" w:rsidRPr="00BA22F7" w:rsidRDefault="00444941" w:rsidP="0003494A">
      <w:pPr>
        <w:pStyle w:val="SingleTxtG"/>
        <w:tabs>
          <w:tab w:val="left" w:pos="2552"/>
        </w:tabs>
      </w:pPr>
      <w:r w:rsidRPr="00BA22F7">
        <w:t>6.7.4.4.7</w:t>
      </w:r>
      <w:r w:rsidRPr="00BA22F7">
        <w:tab/>
      </w:r>
      <w:r w:rsidR="00FD7310">
        <w:t>The</w:t>
      </w:r>
      <w:r w:rsidR="00FD7310" w:rsidRPr="00BA22F7">
        <w:t xml:space="preserve"> </w:t>
      </w:r>
      <w:r w:rsidRPr="00BA22F7">
        <w:t>amendment does not apply to the English version.</w:t>
      </w:r>
    </w:p>
    <w:p w14:paraId="0F28CCBB" w14:textId="77777777" w:rsidR="00444941" w:rsidRPr="00BA22F7" w:rsidRDefault="00444941" w:rsidP="00444941">
      <w:pPr>
        <w:pStyle w:val="SingleTxtG"/>
        <w:rPr>
          <w:i/>
          <w:iCs/>
        </w:rPr>
      </w:pPr>
      <w:r w:rsidRPr="00BA22F7">
        <w:rPr>
          <w:i/>
          <w:iCs/>
        </w:rPr>
        <w:tab/>
        <w:t>(Reference document: ST/SG/AC.10/C.3/2018/100, consequential amendment)</w:t>
      </w:r>
    </w:p>
    <w:p w14:paraId="2B42EC90" w14:textId="77777777" w:rsidR="00444941" w:rsidRPr="00BA22F7" w:rsidRDefault="00444941" w:rsidP="0003494A">
      <w:pPr>
        <w:pStyle w:val="SingleTxtG"/>
        <w:keepNext/>
        <w:keepLines/>
        <w:ind w:left="2552" w:hanging="1418"/>
      </w:pPr>
      <w:r w:rsidRPr="00BA22F7">
        <w:lastRenderedPageBreak/>
        <w:t>6.7.4.14.6</w:t>
      </w:r>
      <w:r w:rsidRPr="00BA22F7">
        <w:tab/>
        <w:t>Add the following new paragraph:</w:t>
      </w:r>
    </w:p>
    <w:p w14:paraId="417A26DB" w14:textId="489B7670" w:rsidR="00444941" w:rsidRPr="00BA22F7" w:rsidRDefault="00444941" w:rsidP="0003494A">
      <w:pPr>
        <w:pStyle w:val="SingleTxtG"/>
        <w:ind w:left="2552"/>
      </w:pPr>
      <w:r w:rsidRPr="00BA22F7">
        <w:t>“6.7.4.14.6.1</w:t>
      </w:r>
      <w:r w:rsidRPr="00BA22F7">
        <w:tab/>
        <w:t>Except as provided for in 6.7.4.14.6</w:t>
      </w:r>
      <w:r w:rsidR="00D92C3F">
        <w:t>,</w:t>
      </w:r>
      <w:r w:rsidRPr="00BA22F7">
        <w:t xml:space="preserve"> portable tanks which have missed the timeframe for their scheduled 5 year or </w:t>
      </w:r>
      <w:proofErr w:type="gramStart"/>
      <w:r w:rsidRPr="00BA22F7">
        <w:t>2.5 year</w:t>
      </w:r>
      <w:proofErr w:type="gramEnd"/>
      <w:r w:rsidRPr="00BA22F7">
        <w:t xml:space="preserve"> periodic inspection and test may only be filled and offered for transport if a new 5 year periodic inspection and test is performed according to 6.7.4.14.4”</w:t>
      </w:r>
      <w:r w:rsidR="00845137">
        <w:t>.</w:t>
      </w:r>
    </w:p>
    <w:p w14:paraId="06317189" w14:textId="77777777" w:rsidR="00444941" w:rsidRPr="00BA22F7" w:rsidRDefault="00444941" w:rsidP="00444941">
      <w:pPr>
        <w:pStyle w:val="SingleTxtG"/>
        <w:rPr>
          <w:i/>
          <w:iCs/>
        </w:rPr>
      </w:pPr>
      <w:r w:rsidRPr="00BA22F7">
        <w:rPr>
          <w:i/>
          <w:iCs/>
        </w:rPr>
        <w:tab/>
        <w:t>(Reference document: ST/SG/AC.10/C.3/2018/112, consequential amendment)</w:t>
      </w:r>
    </w:p>
    <w:p w14:paraId="31DD3D4F" w14:textId="06617A8A" w:rsidR="00444941" w:rsidRPr="00BA22F7" w:rsidRDefault="00444941" w:rsidP="00444941">
      <w:pPr>
        <w:pStyle w:val="H1G"/>
      </w:pPr>
      <w:r w:rsidRPr="00BA22F7">
        <w:tab/>
      </w:r>
      <w:r w:rsidRPr="00BA22F7">
        <w:tab/>
        <w:t>Document ST/SG/AC.10/C.3/2018/65</w:t>
      </w:r>
      <w:r w:rsidR="00AF03C0">
        <w:t>,</w:t>
      </w:r>
      <w:r w:rsidRPr="00BA22F7">
        <w:t xml:space="preserve"> Part I</w:t>
      </w:r>
      <w:r w:rsidR="00A96F90">
        <w:t>,</w:t>
      </w:r>
      <w:r w:rsidR="00AF03C0">
        <w:t xml:space="preserve"> </w:t>
      </w:r>
      <w:r w:rsidRPr="00BA22F7">
        <w:t xml:space="preserve">adopted with the following </w:t>
      </w:r>
      <w:r w:rsidR="00C91F9E">
        <w:t>modifications</w:t>
      </w:r>
      <w:r w:rsidRPr="00BA22F7">
        <w:t>:</w:t>
      </w:r>
    </w:p>
    <w:p w14:paraId="0F85BD72" w14:textId="77777777" w:rsidR="00444941" w:rsidRPr="00BA22F7" w:rsidRDefault="00444941" w:rsidP="00444941">
      <w:pPr>
        <w:pStyle w:val="SingleTxtG"/>
      </w:pPr>
      <w:r w:rsidRPr="00BA22F7">
        <w:t>Remove all square brackets.</w:t>
      </w:r>
    </w:p>
    <w:p w14:paraId="18C1654E" w14:textId="558E84D6" w:rsidR="00444941" w:rsidRPr="00BA22F7" w:rsidRDefault="008814C2" w:rsidP="0003494A">
      <w:pPr>
        <w:pStyle w:val="H23G"/>
      </w:pPr>
      <w:r>
        <w:tab/>
      </w:r>
      <w:r>
        <w:tab/>
      </w:r>
      <w:r w:rsidR="00444941" w:rsidRPr="00BA22F7">
        <w:t>Chapter 1.1</w:t>
      </w:r>
    </w:p>
    <w:p w14:paraId="4E581F3A" w14:textId="64A6B7E1" w:rsidR="00444941" w:rsidRPr="00BA22F7" w:rsidRDefault="00444941" w:rsidP="00444941">
      <w:pPr>
        <w:pStyle w:val="SingleTxtG"/>
      </w:pPr>
      <w:r w:rsidRPr="00BA22F7">
        <w:t>1.1.1.2</w:t>
      </w:r>
      <w:r w:rsidRPr="00BA22F7">
        <w:tab/>
      </w:r>
      <w:r w:rsidRPr="00BA22F7">
        <w:tab/>
        <w:t>Delete the amendment.</w:t>
      </w:r>
    </w:p>
    <w:p w14:paraId="25B2CF43" w14:textId="77777777" w:rsidR="00444941" w:rsidRPr="00BA22F7" w:rsidRDefault="00444941" w:rsidP="00444941">
      <w:pPr>
        <w:pStyle w:val="SingleTxtG"/>
        <w:rPr>
          <w:i/>
          <w:iCs/>
        </w:rPr>
      </w:pPr>
      <w:r w:rsidRPr="00BA22F7">
        <w:rPr>
          <w:i/>
          <w:iCs/>
        </w:rPr>
        <w:t>(Reference document: informal document INF.52, consequential amendment)</w:t>
      </w:r>
    </w:p>
    <w:p w14:paraId="57C5F2FD" w14:textId="1C1F8F37" w:rsidR="00444941" w:rsidRPr="0003494A" w:rsidRDefault="008814C2" w:rsidP="0003494A">
      <w:pPr>
        <w:pStyle w:val="H23G"/>
      </w:pPr>
      <w:r>
        <w:tab/>
      </w:r>
      <w:r>
        <w:tab/>
      </w:r>
      <w:r w:rsidR="00444941" w:rsidRPr="0003494A">
        <w:t>Chapter 3.2, Dangerous goods list</w:t>
      </w:r>
    </w:p>
    <w:p w14:paraId="6007AFD8" w14:textId="435CA389" w:rsidR="00444941" w:rsidRDefault="00444941" w:rsidP="00444941">
      <w:pPr>
        <w:pStyle w:val="SingleTxtG"/>
      </w:pPr>
      <w:r w:rsidRPr="00BA22F7">
        <w:t>Remove the new entry for UN 1390.</w:t>
      </w:r>
    </w:p>
    <w:p w14:paraId="53FAA93E" w14:textId="5266CA77" w:rsidR="00D92C3F" w:rsidRPr="00BA22F7" w:rsidRDefault="00D92C3F" w:rsidP="00444941">
      <w:pPr>
        <w:pStyle w:val="SingleTxtG"/>
      </w:pPr>
      <w:r w:rsidRPr="00BA22F7">
        <w:rPr>
          <w:i/>
          <w:iCs/>
        </w:rPr>
        <w:t>(Reference document: ST/SG/AC.10/C.3/2018/</w:t>
      </w:r>
      <w:r>
        <w:rPr>
          <w:i/>
          <w:iCs/>
        </w:rPr>
        <w:t xml:space="preserve">86) </w:t>
      </w:r>
    </w:p>
    <w:p w14:paraId="21F1ECCE" w14:textId="2429FC84" w:rsidR="00444941" w:rsidRPr="00BA22F7" w:rsidRDefault="008814C2" w:rsidP="0003494A">
      <w:pPr>
        <w:pStyle w:val="H23G"/>
      </w:pPr>
      <w:r>
        <w:tab/>
      </w:r>
      <w:r>
        <w:tab/>
      </w:r>
      <w:r w:rsidR="00444941" w:rsidRPr="00BA22F7">
        <w:t>Chapter 3.3</w:t>
      </w:r>
    </w:p>
    <w:p w14:paraId="59164D90" w14:textId="0A635221" w:rsidR="00444941" w:rsidRDefault="008814C2" w:rsidP="0003494A">
      <w:pPr>
        <w:pStyle w:val="SingleTxtG"/>
        <w:tabs>
          <w:tab w:val="left" w:pos="2552"/>
        </w:tabs>
        <w:ind w:left="2552" w:hanging="1418"/>
      </w:pPr>
      <w:r>
        <w:t>SP</w:t>
      </w:r>
      <w:r w:rsidR="00444941" w:rsidRPr="00BA22F7">
        <w:t xml:space="preserve"> 388</w:t>
      </w:r>
      <w:r w:rsidR="00444941" w:rsidRPr="00BA22F7">
        <w:tab/>
        <w:t>Replace “UN 3536 LITHIUM BATTERIES” by “UN 3536 LITHIUM BATTERIES INSTALLED IN CARGO TRANSPORT UNIT lithium ion batteries or lithium metal batteries”.</w:t>
      </w:r>
    </w:p>
    <w:p w14:paraId="4D5F2439" w14:textId="113F6858" w:rsidR="00D92C3F" w:rsidRPr="0003494A" w:rsidRDefault="00D92C3F" w:rsidP="0003494A">
      <w:pPr>
        <w:pStyle w:val="SingleTxtG"/>
        <w:tabs>
          <w:tab w:val="left" w:pos="2552"/>
        </w:tabs>
        <w:ind w:left="2552" w:hanging="1418"/>
        <w:rPr>
          <w:i/>
          <w:iCs/>
        </w:rPr>
      </w:pPr>
      <w:r w:rsidRPr="0003494A">
        <w:rPr>
          <w:i/>
          <w:iCs/>
        </w:rPr>
        <w:t>(Correction)</w:t>
      </w:r>
    </w:p>
    <w:p w14:paraId="47AA6607" w14:textId="4DF6E3FF" w:rsidR="00444941" w:rsidRPr="0003494A" w:rsidRDefault="008814C2" w:rsidP="0003494A">
      <w:pPr>
        <w:pStyle w:val="H23G"/>
      </w:pPr>
      <w:r>
        <w:tab/>
      </w:r>
      <w:r>
        <w:tab/>
      </w:r>
      <w:r w:rsidR="00444941" w:rsidRPr="0003494A">
        <w:t>Chapter 4.1</w:t>
      </w:r>
    </w:p>
    <w:p w14:paraId="6F18F6C7" w14:textId="3A0668D5" w:rsidR="00444941" w:rsidRPr="00BA22F7" w:rsidRDefault="00444941" w:rsidP="0003494A">
      <w:pPr>
        <w:pStyle w:val="SingleTxtG"/>
        <w:tabs>
          <w:tab w:val="left" w:pos="2552"/>
        </w:tabs>
        <w:ind w:left="2552" w:hanging="1418"/>
      </w:pPr>
      <w:r w:rsidRPr="00BA22F7">
        <w:t>4.1.4.1, P622</w:t>
      </w:r>
      <w:r w:rsidRPr="00BA22F7">
        <w:tab/>
        <w:t>Replace “This instruction applies to UN 3549” by “</w:t>
      </w:r>
      <w:bookmarkStart w:id="10" w:name="_Hlk531165746"/>
      <w:r w:rsidRPr="00BA22F7">
        <w:t xml:space="preserve">This instruction applies to waste of UN 3549 </w:t>
      </w:r>
      <w:bookmarkEnd w:id="10"/>
      <w:r w:rsidRPr="00BA22F7">
        <w:t>transported for disposal”.</w:t>
      </w:r>
    </w:p>
    <w:p w14:paraId="2BC02123" w14:textId="004CBBB2" w:rsidR="00444941" w:rsidRDefault="00444941" w:rsidP="0003494A">
      <w:pPr>
        <w:pStyle w:val="SingleTxtG"/>
        <w:tabs>
          <w:tab w:val="left" w:pos="2552"/>
        </w:tabs>
        <w:ind w:left="2552" w:hanging="1418"/>
      </w:pPr>
      <w:r w:rsidRPr="00BA22F7">
        <w:t>4.1.4.3, LP622</w:t>
      </w:r>
      <w:r w:rsidRPr="00BA22F7">
        <w:tab/>
        <w:t>Replace “This instruction applies to UN 3549” by “This instruction applies to waste of UN 3549 transported for disposal”. In the Additional requirements, paragraph 6, second sentence, replace “may withstand” by “withstands”.</w:t>
      </w:r>
    </w:p>
    <w:p w14:paraId="6FF8BC44" w14:textId="447BFF77" w:rsidR="001D5461" w:rsidRPr="00BC745A" w:rsidRDefault="001D5461" w:rsidP="0003494A">
      <w:pPr>
        <w:pStyle w:val="H23G"/>
        <w:ind w:left="0" w:firstLine="0"/>
        <w:rPr>
          <w:b w:val="0"/>
          <w:bCs/>
        </w:rPr>
      </w:pPr>
      <w:r w:rsidRPr="00BC745A">
        <w:rPr>
          <w:b w:val="0"/>
          <w:bCs/>
          <w:i/>
          <w:iCs/>
        </w:rPr>
        <w:tab/>
      </w:r>
      <w:r w:rsidRPr="00BC745A">
        <w:rPr>
          <w:b w:val="0"/>
          <w:bCs/>
          <w:i/>
          <w:iCs/>
        </w:rPr>
        <w:tab/>
      </w:r>
      <w:bookmarkStart w:id="11" w:name="_Hlk533070985"/>
      <w:r w:rsidR="00D92C3F" w:rsidRPr="00BC745A">
        <w:rPr>
          <w:b w:val="0"/>
          <w:bCs/>
          <w:i/>
          <w:iCs/>
        </w:rPr>
        <w:t xml:space="preserve">(Reference document: ST/SG/AC.10/C.3/108, paragraph 8 (c)) </w:t>
      </w:r>
      <w:bookmarkEnd w:id="11"/>
    </w:p>
    <w:p w14:paraId="04C40479" w14:textId="76BB57FD" w:rsidR="00444941" w:rsidRPr="0003494A" w:rsidRDefault="001D5461" w:rsidP="0003494A">
      <w:pPr>
        <w:pStyle w:val="H23G"/>
      </w:pPr>
      <w:r>
        <w:tab/>
      </w:r>
      <w:r>
        <w:tab/>
      </w:r>
      <w:r w:rsidR="00444941" w:rsidRPr="0003494A">
        <w:t>Chapter 4.2</w:t>
      </w:r>
    </w:p>
    <w:p w14:paraId="6EEC57BE" w14:textId="72C6A383" w:rsidR="00444941" w:rsidRPr="00BA22F7" w:rsidRDefault="00444941" w:rsidP="0003494A">
      <w:pPr>
        <w:pStyle w:val="SingleTxtG"/>
        <w:tabs>
          <w:tab w:val="left" w:pos="1843"/>
          <w:tab w:val="left" w:pos="2552"/>
        </w:tabs>
      </w:pPr>
      <w:r w:rsidRPr="00BA22F7">
        <w:t>4.2.5.3</w:t>
      </w:r>
      <w:proofErr w:type="gramStart"/>
      <w:r w:rsidR="00ED3F76">
        <w:t xml:space="preserve">, </w:t>
      </w:r>
      <w:r w:rsidR="00D92C3F">
        <w:t xml:space="preserve"> </w:t>
      </w:r>
      <w:r w:rsidR="00D92C3F" w:rsidRPr="00ED3F76">
        <w:t>TP</w:t>
      </w:r>
      <w:proofErr w:type="gramEnd"/>
      <w:r w:rsidR="00D92C3F" w:rsidRPr="00ED3F76">
        <w:t>19</w:t>
      </w:r>
      <w:r w:rsidR="00D92C3F">
        <w:t xml:space="preserve"> </w:t>
      </w:r>
      <w:r w:rsidR="00D92C3F">
        <w:tab/>
      </w:r>
      <w:r w:rsidRPr="00BA22F7">
        <w:t>Amend</w:t>
      </w:r>
      <w:r w:rsidR="00D92C3F">
        <w:t xml:space="preserve"> </w:t>
      </w:r>
      <w:r w:rsidRPr="00BA22F7">
        <w:t>to read as follows:</w:t>
      </w:r>
    </w:p>
    <w:p w14:paraId="7BEF004B" w14:textId="4F8A2C2B" w:rsidR="00444941" w:rsidRPr="00BA22F7" w:rsidRDefault="00444941" w:rsidP="0003494A">
      <w:pPr>
        <w:pStyle w:val="SingleTxtG"/>
        <w:ind w:left="2552"/>
      </w:pPr>
      <w:r w:rsidRPr="00BA22F7">
        <w:t>“</w:t>
      </w:r>
      <w:r w:rsidRPr="00BA22F7">
        <w:rPr>
          <w:b/>
          <w:bCs/>
        </w:rPr>
        <w:t>TP19</w:t>
      </w:r>
      <w:r w:rsidRPr="00BA22F7">
        <w:t xml:space="preserve"> </w:t>
      </w:r>
      <w:proofErr w:type="gramStart"/>
      <w:r w:rsidRPr="00BA22F7">
        <w:t>At</w:t>
      </w:r>
      <w:proofErr w:type="gramEnd"/>
      <w:r w:rsidRPr="00BA22F7">
        <w:t xml:space="preserve">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14:paraId="1AEB2938" w14:textId="77777777" w:rsidR="00444941" w:rsidRPr="00BA22F7" w:rsidRDefault="00444941" w:rsidP="00444941">
      <w:pPr>
        <w:pStyle w:val="SingleTxtG"/>
        <w:rPr>
          <w:i/>
          <w:iCs/>
        </w:rPr>
      </w:pPr>
      <w:r w:rsidRPr="00BA22F7">
        <w:rPr>
          <w:i/>
          <w:iCs/>
        </w:rPr>
        <w:tab/>
        <w:t>(Reference document: ST/SG/AC.10/C.3/2018/100, proposal 1)</w:t>
      </w:r>
    </w:p>
    <w:p w14:paraId="4A991971" w14:textId="207443B2" w:rsidR="00444941" w:rsidRPr="0003494A" w:rsidRDefault="008814C2" w:rsidP="0003494A">
      <w:pPr>
        <w:pStyle w:val="H23G"/>
      </w:pPr>
      <w:r>
        <w:lastRenderedPageBreak/>
        <w:tab/>
      </w:r>
      <w:r>
        <w:tab/>
      </w:r>
      <w:r w:rsidR="00444941" w:rsidRPr="0003494A">
        <w:t>Chapter 6.7</w:t>
      </w:r>
    </w:p>
    <w:p w14:paraId="6E71E48E" w14:textId="18BF8598" w:rsidR="00444941" w:rsidRDefault="00444941" w:rsidP="00444941">
      <w:pPr>
        <w:pStyle w:val="SingleTxtG"/>
      </w:pPr>
      <w:r w:rsidRPr="00BA22F7">
        <w:t>6.7.2.12.2.1 and 6.7.3.8.1.1</w:t>
      </w:r>
      <w:r w:rsidRPr="00BA22F7">
        <w:tab/>
        <w:t>The correction does not apply to the English version.</w:t>
      </w:r>
    </w:p>
    <w:p w14:paraId="7BD82447" w14:textId="368169DC" w:rsidR="001D5461" w:rsidRPr="0003494A" w:rsidRDefault="001D5461" w:rsidP="0003494A">
      <w:pPr>
        <w:pStyle w:val="H23G"/>
        <w:rPr>
          <w:i/>
          <w:iCs/>
        </w:rPr>
      </w:pPr>
      <w:r w:rsidRPr="000922C8">
        <w:rPr>
          <w:i/>
          <w:iCs/>
        </w:rPr>
        <w:tab/>
      </w:r>
      <w:r w:rsidRPr="002F1DC6">
        <w:rPr>
          <w:i/>
          <w:iCs/>
        </w:rPr>
        <w:tab/>
      </w:r>
      <w:r w:rsidR="00D92C3F" w:rsidRPr="002F1DC6">
        <w:rPr>
          <w:i/>
          <w:iCs/>
        </w:rPr>
        <w:t>(Reference document: ST/SG/AC.10/C.3/108, paragraph 8 (e))</w:t>
      </w:r>
    </w:p>
    <w:p w14:paraId="225A19FE" w14:textId="545BF6D4" w:rsidR="00444941" w:rsidRPr="0003494A" w:rsidRDefault="001D5461" w:rsidP="0003494A">
      <w:pPr>
        <w:pStyle w:val="H23G"/>
      </w:pPr>
      <w:r>
        <w:tab/>
      </w:r>
      <w:r>
        <w:tab/>
      </w:r>
      <w:r w:rsidR="00444941" w:rsidRPr="0003494A">
        <w:t>Chapter 7.1</w:t>
      </w:r>
    </w:p>
    <w:p w14:paraId="2ADA0E4E" w14:textId="74A20C42" w:rsidR="00D92C3F" w:rsidRDefault="00444941" w:rsidP="0003494A">
      <w:pPr>
        <w:pStyle w:val="SingleTxtG"/>
      </w:pPr>
      <w:r w:rsidRPr="00BA22F7">
        <w:t>7.1.5.4.5</w:t>
      </w:r>
      <w:r w:rsidR="008814C2">
        <w:t xml:space="preserve"> </w:t>
      </w:r>
      <w:r w:rsidR="008814C2" w:rsidRPr="00BA22F7">
        <w:t>(b) to (e)</w:t>
      </w:r>
      <w:r w:rsidRPr="00BA22F7">
        <w:tab/>
      </w:r>
      <w:r w:rsidRPr="00BA22F7">
        <w:tab/>
        <w:t>Delete the amendments.</w:t>
      </w:r>
    </w:p>
    <w:p w14:paraId="3A36C19D" w14:textId="07BD4427" w:rsidR="008814C2" w:rsidRDefault="00D92C3F" w:rsidP="0003494A">
      <w:pPr>
        <w:pStyle w:val="SingleTxtG"/>
        <w:rPr>
          <w:b/>
          <w:sz w:val="28"/>
        </w:rPr>
      </w:pPr>
      <w:r w:rsidRPr="00BA22F7">
        <w:rPr>
          <w:i/>
          <w:iCs/>
        </w:rPr>
        <w:t>(Reference document: ST/SG/AC.10/C.3/</w:t>
      </w:r>
      <w:r>
        <w:rPr>
          <w:i/>
          <w:iCs/>
        </w:rPr>
        <w:t xml:space="preserve">108, paragraph 8 (d)) </w:t>
      </w:r>
      <w:r w:rsidR="008814C2">
        <w:br w:type="page"/>
      </w:r>
    </w:p>
    <w:p w14:paraId="6C34D093" w14:textId="443B83A9" w:rsidR="00444941" w:rsidRPr="00BA22F7" w:rsidRDefault="00444941" w:rsidP="00444941">
      <w:pPr>
        <w:pStyle w:val="HChG"/>
      </w:pPr>
      <w:r w:rsidRPr="00BA22F7">
        <w:lastRenderedPageBreak/>
        <w:t>Annex II</w:t>
      </w:r>
    </w:p>
    <w:p w14:paraId="2C3772F9" w14:textId="02EC4F88" w:rsidR="00444941" w:rsidRPr="00BA22F7" w:rsidRDefault="00444941" w:rsidP="00444941">
      <w:pPr>
        <w:pStyle w:val="HChG"/>
      </w:pPr>
      <w:r w:rsidRPr="00BA22F7">
        <w:tab/>
      </w:r>
      <w:r w:rsidRPr="00BA22F7">
        <w:tab/>
      </w:r>
      <w:r w:rsidRPr="00B761FD">
        <w:t xml:space="preserve">Draft amendments to the </w:t>
      </w:r>
      <w:r w:rsidR="00B761FD">
        <w:t xml:space="preserve">sixth </w:t>
      </w:r>
      <w:r w:rsidRPr="00B761FD">
        <w:t>revised edition of the Recommendations on the Transport of Dangerous Goods, Manual of</w:t>
      </w:r>
      <w:r w:rsidRPr="00BA22F7">
        <w:t xml:space="preserve"> Tests and Criteria (ST/SG/AC.10/11/Rev.6 and Amend.1)</w:t>
      </w:r>
    </w:p>
    <w:p w14:paraId="66427BB8" w14:textId="77777777" w:rsidR="00444941" w:rsidRPr="00BA22F7" w:rsidRDefault="00444941" w:rsidP="00A96F90">
      <w:pPr>
        <w:pStyle w:val="H1G"/>
      </w:pPr>
      <w:r w:rsidRPr="00BA22F7">
        <w:tab/>
      </w:r>
      <w:r w:rsidRPr="00BA22F7">
        <w:tab/>
        <w:t>General table of contents</w:t>
      </w:r>
    </w:p>
    <w:p w14:paraId="1F9123B4" w14:textId="3EB3D332" w:rsidR="00444941" w:rsidRPr="00BA22F7" w:rsidRDefault="008814C2" w:rsidP="00444941">
      <w:pPr>
        <w:pStyle w:val="SingleTxtG"/>
      </w:pPr>
      <w:r>
        <w:t>The</w:t>
      </w:r>
      <w:r w:rsidR="00444941" w:rsidRPr="00BA22F7">
        <w:t xml:space="preserve"> amendment does not apply to the English version.</w:t>
      </w:r>
    </w:p>
    <w:p w14:paraId="1E136C69" w14:textId="77777777" w:rsidR="00444941" w:rsidRPr="00BA22F7" w:rsidRDefault="00444941" w:rsidP="00444941">
      <w:pPr>
        <w:pStyle w:val="SingleTxtG"/>
        <w:rPr>
          <w:i/>
          <w:iCs/>
        </w:rPr>
      </w:pPr>
      <w:r w:rsidRPr="00BA22F7">
        <w:rPr>
          <w:i/>
          <w:iCs/>
        </w:rPr>
        <w:t>(Reference document: informal document INF.52, proposal 4)</w:t>
      </w:r>
    </w:p>
    <w:p w14:paraId="6A32BE93" w14:textId="77777777" w:rsidR="00444941" w:rsidRPr="00BA22F7" w:rsidRDefault="00444941" w:rsidP="00A96F90">
      <w:pPr>
        <w:pStyle w:val="H1G"/>
      </w:pPr>
      <w:r w:rsidRPr="00BA22F7">
        <w:tab/>
      </w:r>
      <w:r w:rsidRPr="00BA22F7">
        <w:tab/>
        <w:t>Section 1</w:t>
      </w:r>
    </w:p>
    <w:p w14:paraId="37C603B7" w14:textId="13BA0740" w:rsidR="00444941" w:rsidRPr="00BA22F7" w:rsidRDefault="008814C2" w:rsidP="00444941">
      <w:pPr>
        <w:pStyle w:val="SingleTxtG"/>
      </w:pPr>
      <w:r>
        <w:t>The</w:t>
      </w:r>
      <w:r w:rsidRPr="00BA22F7">
        <w:t xml:space="preserve"> </w:t>
      </w:r>
      <w:r w:rsidR="00444941" w:rsidRPr="00BA22F7">
        <w:t>amendment does not apply to the English version.</w:t>
      </w:r>
    </w:p>
    <w:p w14:paraId="4289560D" w14:textId="77777777" w:rsidR="00444941" w:rsidRPr="00BA22F7" w:rsidRDefault="00444941" w:rsidP="00444941">
      <w:pPr>
        <w:pStyle w:val="SingleTxtG"/>
        <w:rPr>
          <w:i/>
          <w:iCs/>
        </w:rPr>
      </w:pPr>
      <w:r w:rsidRPr="00BA22F7">
        <w:rPr>
          <w:i/>
          <w:iCs/>
        </w:rPr>
        <w:t>(Reference document: informal document INF.52, proposal 4)</w:t>
      </w:r>
    </w:p>
    <w:p w14:paraId="7A45B0EE" w14:textId="737727A3" w:rsidR="00444941" w:rsidRPr="00BA22F7" w:rsidRDefault="00444941">
      <w:pPr>
        <w:pStyle w:val="H1G"/>
      </w:pPr>
      <w:r w:rsidRPr="00BA22F7">
        <w:tab/>
      </w:r>
      <w:r w:rsidRPr="00BA22F7">
        <w:tab/>
        <w:t>Section 16</w:t>
      </w:r>
    </w:p>
    <w:p w14:paraId="5EA1A381" w14:textId="3D3880BE" w:rsidR="00444941" w:rsidRPr="00BA22F7" w:rsidRDefault="00444941" w:rsidP="0003494A">
      <w:pPr>
        <w:pStyle w:val="SingleTxtG"/>
        <w:ind w:left="2268" w:hanging="1134"/>
      </w:pPr>
      <w:r w:rsidRPr="00BA22F7">
        <w:t>16.5.1.4</w:t>
      </w:r>
      <w:r w:rsidR="008814C2">
        <w:t xml:space="preserve"> (c)</w:t>
      </w:r>
      <w:r w:rsidRPr="00BA22F7">
        <w:tab/>
      </w:r>
      <w:r w:rsidR="008814C2">
        <w:t>R</w:t>
      </w:r>
      <w:r w:rsidRPr="00BA22F7">
        <w:t>eplace “gave a "+" result” by “gave evidence of a mass explosion”.</w:t>
      </w:r>
    </w:p>
    <w:p w14:paraId="7A0A6E3E" w14:textId="01F075BD" w:rsidR="00444941" w:rsidRPr="00BA22F7" w:rsidRDefault="00444941" w:rsidP="00444941">
      <w:pPr>
        <w:pStyle w:val="SingleTxtG"/>
        <w:rPr>
          <w:i/>
          <w:iCs/>
        </w:rPr>
      </w:pPr>
      <w:r w:rsidRPr="00BA22F7">
        <w:rPr>
          <w:i/>
          <w:iCs/>
        </w:rPr>
        <w:t xml:space="preserve">(Reference document: </w:t>
      </w:r>
      <w:r w:rsidR="00300AFF" w:rsidRPr="00BA22F7">
        <w:rPr>
          <w:i/>
          <w:iCs/>
        </w:rPr>
        <w:t>ST/SG/AC.10/C.3/2018/</w:t>
      </w:r>
      <w:r w:rsidR="00300AFF">
        <w:rPr>
          <w:i/>
          <w:iCs/>
        </w:rPr>
        <w:t xml:space="preserve">82 as amended by </w:t>
      </w:r>
      <w:r w:rsidRPr="00BA22F7">
        <w:rPr>
          <w:i/>
          <w:iCs/>
        </w:rPr>
        <w:t>informal document INF.50, Annex 3, amendment 6)</w:t>
      </w:r>
    </w:p>
    <w:p w14:paraId="183E2D4A" w14:textId="77777777" w:rsidR="00444941" w:rsidRPr="00BA22F7" w:rsidRDefault="00444941">
      <w:pPr>
        <w:pStyle w:val="H1G"/>
      </w:pPr>
      <w:r w:rsidRPr="00BA22F7">
        <w:tab/>
      </w:r>
      <w:r w:rsidRPr="00BA22F7">
        <w:tab/>
        <w:t>Part IV</w:t>
      </w:r>
    </w:p>
    <w:p w14:paraId="245C3E56" w14:textId="2E6C9C5D" w:rsidR="00444941" w:rsidRPr="00BA22F7" w:rsidRDefault="008814C2" w:rsidP="00444941">
      <w:pPr>
        <w:pStyle w:val="SingleTxtG"/>
      </w:pPr>
      <w:r>
        <w:t>The</w:t>
      </w:r>
      <w:r w:rsidRPr="00BA22F7">
        <w:t xml:space="preserve"> </w:t>
      </w:r>
      <w:r w:rsidR="00444941" w:rsidRPr="00BA22F7">
        <w:t>amendment does not apply to the English version.</w:t>
      </w:r>
    </w:p>
    <w:p w14:paraId="01D0238A" w14:textId="77777777" w:rsidR="00444941" w:rsidRPr="00BA22F7" w:rsidRDefault="00444941" w:rsidP="00444941">
      <w:pPr>
        <w:pStyle w:val="SingleTxtG"/>
        <w:rPr>
          <w:i/>
          <w:iCs/>
        </w:rPr>
      </w:pPr>
      <w:r w:rsidRPr="00BA22F7">
        <w:rPr>
          <w:i/>
          <w:iCs/>
        </w:rPr>
        <w:t>(Reference document: informal document INF.52, proposal 4)</w:t>
      </w:r>
    </w:p>
    <w:p w14:paraId="34A11307" w14:textId="0D87140D" w:rsidR="00AA15F7" w:rsidRPr="0003494A" w:rsidRDefault="00444941" w:rsidP="0003494A">
      <w:pPr>
        <w:pStyle w:val="H1G"/>
      </w:pPr>
      <w:r w:rsidRPr="00BA22F7">
        <w:tab/>
      </w:r>
      <w:r w:rsidRPr="00BA22F7">
        <w:tab/>
      </w:r>
      <w:r w:rsidR="00114559" w:rsidRPr="0003494A">
        <w:t>D</w:t>
      </w:r>
      <w:r w:rsidR="00114559" w:rsidRPr="00114559">
        <w:t xml:space="preserve">ocument </w:t>
      </w:r>
      <w:r w:rsidRPr="0003494A">
        <w:t>ST/SG/AC.10/C.3/100/Add.1</w:t>
      </w:r>
      <w:r w:rsidR="00114559" w:rsidRPr="0003494A">
        <w:t>, Annex II</w:t>
      </w:r>
      <w:r w:rsidR="000E57E6">
        <w:t>:</w:t>
      </w:r>
      <w:r w:rsidR="00114559">
        <w:t xml:space="preserve"> </w:t>
      </w:r>
      <w:r w:rsidR="00114559" w:rsidRPr="0003494A">
        <w:t xml:space="preserve"> Correction</w:t>
      </w:r>
    </w:p>
    <w:p w14:paraId="6D7624A5" w14:textId="77777777" w:rsidR="00444941" w:rsidRPr="0003494A" w:rsidRDefault="00444941" w:rsidP="00444941">
      <w:pPr>
        <w:pStyle w:val="SingleTxtG"/>
      </w:pPr>
      <w:r w:rsidRPr="0003494A">
        <w:t>In items 5, 6, 13 and 17, delete “dibutyl phthalate or”.</w:t>
      </w:r>
    </w:p>
    <w:p w14:paraId="6868CFCA" w14:textId="2E40DB75" w:rsidR="00444941" w:rsidRPr="00BA22F7" w:rsidRDefault="00444941" w:rsidP="00444941">
      <w:pPr>
        <w:pStyle w:val="SingleTxtG"/>
        <w:rPr>
          <w:i/>
          <w:iCs/>
        </w:rPr>
      </w:pPr>
      <w:r w:rsidRPr="0003494A">
        <w:rPr>
          <w:i/>
          <w:iCs/>
        </w:rPr>
        <w:t>(Reference document: informal document INF.50, Annex 5)</w:t>
      </w:r>
    </w:p>
    <w:p w14:paraId="17F87059" w14:textId="1218DD04" w:rsidR="00444941" w:rsidRPr="00BA22F7" w:rsidRDefault="00444941" w:rsidP="00A96F90">
      <w:pPr>
        <w:pStyle w:val="H1G"/>
      </w:pPr>
      <w:r w:rsidRPr="00BA22F7">
        <w:tab/>
      </w:r>
      <w:r w:rsidRPr="00BA22F7">
        <w:tab/>
      </w:r>
      <w:r w:rsidRPr="00BA22F7">
        <w:rPr>
          <w:szCs w:val="24"/>
        </w:rPr>
        <w:t>Document</w:t>
      </w:r>
      <w:r w:rsidRPr="00BA22F7">
        <w:t xml:space="preserve"> ST/SG/AC.10/C.3/2018/61</w:t>
      </w:r>
      <w:r w:rsidR="00A96F90">
        <w:t>,</w:t>
      </w:r>
      <w:r w:rsidRPr="00BA22F7">
        <w:t xml:space="preserve"> adopted with the following </w:t>
      </w:r>
      <w:r w:rsidR="00C91F9E">
        <w:t>modifications</w:t>
      </w:r>
      <w:r w:rsidRPr="00BA22F7">
        <w:t>:</w:t>
      </w:r>
    </w:p>
    <w:p w14:paraId="30FAB264" w14:textId="77777777" w:rsidR="00444941" w:rsidRPr="00BA22F7" w:rsidRDefault="00444941" w:rsidP="00444941">
      <w:pPr>
        <w:pStyle w:val="SingleTxtG"/>
      </w:pPr>
      <w:r w:rsidRPr="00BA22F7">
        <w:t>Remove all square brackets.</w:t>
      </w:r>
    </w:p>
    <w:p w14:paraId="1C9A78AD" w14:textId="4E1C06BC" w:rsidR="00444941" w:rsidRDefault="008814C2" w:rsidP="0003494A">
      <w:pPr>
        <w:pStyle w:val="H23G"/>
      </w:pPr>
      <w:r>
        <w:tab/>
      </w:r>
      <w:r>
        <w:tab/>
      </w:r>
      <w:r w:rsidR="00444941" w:rsidRPr="00BA22F7">
        <w:t>Section 20</w:t>
      </w:r>
    </w:p>
    <w:p w14:paraId="6D145039" w14:textId="77777777" w:rsidR="00444941" w:rsidRPr="00BA22F7" w:rsidRDefault="00444941" w:rsidP="0003494A">
      <w:pPr>
        <w:pStyle w:val="SingleTxtG"/>
        <w:tabs>
          <w:tab w:val="left" w:pos="2268"/>
        </w:tabs>
        <w:ind w:left="2268" w:hanging="1134"/>
      </w:pPr>
      <w:r w:rsidRPr="00BA22F7">
        <w:t>20.2.6</w:t>
      </w:r>
      <w:r w:rsidRPr="00BA22F7">
        <w:tab/>
      </w:r>
      <w:r w:rsidRPr="00BA22F7">
        <w:tab/>
        <w:t>In the Note replace “the SAPT shall be determined to evaluate if” by “the SAPT shall be evaluated (e.g., calculated or measured) to determine if”.</w:t>
      </w:r>
    </w:p>
    <w:p w14:paraId="3F569092" w14:textId="77777777" w:rsidR="00444941" w:rsidRPr="00BA22F7" w:rsidRDefault="00444941" w:rsidP="00444941">
      <w:pPr>
        <w:pStyle w:val="SingleTxtG"/>
        <w:rPr>
          <w:i/>
          <w:iCs/>
        </w:rPr>
      </w:pPr>
      <w:r w:rsidRPr="00BA22F7">
        <w:rPr>
          <w:i/>
          <w:iCs/>
        </w:rPr>
        <w:t>(Reference document: informal document INF.50, Annex 6)</w:t>
      </w:r>
    </w:p>
    <w:p w14:paraId="76F5003C" w14:textId="00557328" w:rsidR="00444941" w:rsidRPr="00BA22F7" w:rsidRDefault="00444941" w:rsidP="0003494A">
      <w:pPr>
        <w:pStyle w:val="SingleTxtG"/>
        <w:tabs>
          <w:tab w:val="left" w:pos="2268"/>
        </w:tabs>
        <w:ind w:left="2268" w:hanging="1134"/>
      </w:pPr>
      <w:r w:rsidRPr="00BA22F7">
        <w:lastRenderedPageBreak/>
        <w:t>20.4.1.4</w:t>
      </w:r>
      <w:r w:rsidRPr="00BA22F7">
        <w:tab/>
        <w:t>In the second sentence replace</w:t>
      </w:r>
      <w:r w:rsidR="008814C2">
        <w:t>:</w:t>
      </w:r>
      <w:r w:rsidRPr="00BA22F7">
        <w:t xml:space="preserve"> “the SAPT should be determined </w:t>
      </w:r>
      <w:proofErr w:type="gramStart"/>
      <w:r w:rsidRPr="00BA22F7">
        <w:t>in order to</w:t>
      </w:r>
      <w:proofErr w:type="gramEnd"/>
      <w:r w:rsidRPr="00BA22F7">
        <w:t xml:space="preserve"> decide if” by “the SAPT shall be evaluated (e.g., calculated or measured) to determine if”.</w:t>
      </w:r>
    </w:p>
    <w:p w14:paraId="3016FDC7" w14:textId="77777777" w:rsidR="00444941" w:rsidRPr="00BA22F7" w:rsidRDefault="00444941" w:rsidP="00444941">
      <w:pPr>
        <w:pStyle w:val="SingleTxtG"/>
        <w:rPr>
          <w:i/>
          <w:iCs/>
        </w:rPr>
      </w:pPr>
      <w:r w:rsidRPr="00BA22F7">
        <w:rPr>
          <w:i/>
          <w:iCs/>
        </w:rPr>
        <w:t>(Reference document: informal document INF.50, Annex 6)</w:t>
      </w:r>
    </w:p>
    <w:p w14:paraId="7D12780E" w14:textId="75C18BEB" w:rsidR="00444941" w:rsidRPr="00BA22F7" w:rsidRDefault="00444941" w:rsidP="0003494A">
      <w:pPr>
        <w:pStyle w:val="H1G"/>
        <w:keepNext w:val="0"/>
        <w:keepLines w:val="0"/>
      </w:pPr>
      <w:r w:rsidRPr="00BA22F7">
        <w:tab/>
      </w:r>
      <w:r w:rsidRPr="00BA22F7">
        <w:tab/>
      </w:r>
      <w:r w:rsidRPr="00A96F90">
        <w:t>Document</w:t>
      </w:r>
      <w:r w:rsidRPr="00BA22F7">
        <w:t xml:space="preserve"> ST/SG/AC.10/C.3/2018/62</w:t>
      </w:r>
      <w:r w:rsidR="00A96F90">
        <w:t>:</w:t>
      </w:r>
      <w:r w:rsidRPr="00BA22F7">
        <w:t xml:space="preserve"> adopted</w:t>
      </w:r>
    </w:p>
    <w:p w14:paraId="4894BD34" w14:textId="5EE38EF5" w:rsidR="00444941" w:rsidRPr="00BA22F7" w:rsidRDefault="00444941" w:rsidP="00A96F90">
      <w:pPr>
        <w:pStyle w:val="H1G"/>
      </w:pPr>
      <w:r w:rsidRPr="00BA22F7">
        <w:tab/>
      </w:r>
      <w:r w:rsidRPr="00BA22F7">
        <w:tab/>
      </w:r>
      <w:r w:rsidRPr="00A96F90">
        <w:t>Document</w:t>
      </w:r>
      <w:r w:rsidRPr="00BA22F7">
        <w:t xml:space="preserve"> ST/SG/AC.10/C.3/2018/64</w:t>
      </w:r>
      <w:r w:rsidR="00A96F90">
        <w:t>,</w:t>
      </w:r>
      <w:r w:rsidRPr="00BA22F7">
        <w:t xml:space="preserve"> adopted with the following </w:t>
      </w:r>
      <w:r w:rsidR="00C91F9E">
        <w:t>modifications</w:t>
      </w:r>
      <w:r w:rsidRPr="00BA22F7">
        <w:t>:</w:t>
      </w:r>
    </w:p>
    <w:p w14:paraId="0D2B4125" w14:textId="77777777" w:rsidR="00444941" w:rsidRPr="00BA22F7" w:rsidRDefault="00444941" w:rsidP="00444941">
      <w:pPr>
        <w:pStyle w:val="SingleTxtG"/>
      </w:pPr>
      <w:r w:rsidRPr="00BA22F7">
        <w:t>Delete all square brackets</w:t>
      </w:r>
    </w:p>
    <w:p w14:paraId="4F6EE655" w14:textId="17D79316" w:rsidR="00444941" w:rsidRPr="00BA22F7" w:rsidRDefault="008814C2" w:rsidP="0003494A">
      <w:pPr>
        <w:pStyle w:val="H23G"/>
      </w:pPr>
      <w:r>
        <w:tab/>
      </w:r>
      <w:r>
        <w:tab/>
      </w:r>
      <w:r w:rsidR="00444941" w:rsidRPr="00BA22F7">
        <w:t>Appendix 11</w:t>
      </w:r>
    </w:p>
    <w:p w14:paraId="6C872610" w14:textId="154E78B6" w:rsidR="00444941" w:rsidRPr="00BA22F7" w:rsidRDefault="008814C2" w:rsidP="00444941">
      <w:pPr>
        <w:pStyle w:val="SingleTxtG"/>
      </w:pPr>
      <w:r>
        <w:t xml:space="preserve">Paragraph </w:t>
      </w:r>
      <w:r w:rsidR="00444941" w:rsidRPr="00BA22F7">
        <w:t>1</w:t>
      </w:r>
      <w:r w:rsidR="00444941" w:rsidRPr="00BA22F7">
        <w:tab/>
        <w:t>Delete “UN approved”.</w:t>
      </w:r>
    </w:p>
    <w:p w14:paraId="17CC3631" w14:textId="77777777" w:rsidR="00444941" w:rsidRPr="00BA22F7" w:rsidRDefault="00444941" w:rsidP="00444941">
      <w:pPr>
        <w:pStyle w:val="SingleTxtG"/>
        <w:rPr>
          <w:i/>
          <w:iCs/>
        </w:rPr>
      </w:pPr>
      <w:r w:rsidRPr="00BA22F7">
        <w:rPr>
          <w:i/>
          <w:iCs/>
        </w:rPr>
        <w:t>(Reference document: informal document INF.50, Annex 5)</w:t>
      </w:r>
    </w:p>
    <w:p w14:paraId="1047AB61" w14:textId="5AF04929" w:rsidR="00444941" w:rsidRPr="00BA22F7" w:rsidRDefault="00444941" w:rsidP="00A96F90">
      <w:pPr>
        <w:pStyle w:val="H1G"/>
      </w:pPr>
      <w:r w:rsidRPr="00BA22F7">
        <w:tab/>
      </w:r>
      <w:r w:rsidRPr="00BA22F7">
        <w:tab/>
      </w:r>
      <w:r w:rsidRPr="00BA22F7">
        <w:rPr>
          <w:szCs w:val="24"/>
        </w:rPr>
        <w:t>Document</w:t>
      </w:r>
      <w:r w:rsidRPr="00BA22F7">
        <w:t xml:space="preserve"> ST/SG/AC.10/C.3/2018/65</w:t>
      </w:r>
      <w:r w:rsidR="00A96F90">
        <w:t>,</w:t>
      </w:r>
      <w:r w:rsidRPr="00BA22F7">
        <w:t xml:space="preserve"> </w:t>
      </w:r>
      <w:r w:rsidR="00114559">
        <w:t xml:space="preserve">Part II, </w:t>
      </w:r>
      <w:r w:rsidRPr="00BA22F7">
        <w:t xml:space="preserve">adopted with the following </w:t>
      </w:r>
      <w:r w:rsidR="00C91F9E">
        <w:t>modification</w:t>
      </w:r>
      <w:r w:rsidRPr="00BA22F7">
        <w:t>:</w:t>
      </w:r>
    </w:p>
    <w:p w14:paraId="288656D8" w14:textId="17A2939A" w:rsidR="00444941" w:rsidRPr="00BA22F7" w:rsidRDefault="008814C2" w:rsidP="0003494A">
      <w:pPr>
        <w:pStyle w:val="H23G"/>
      </w:pPr>
      <w:r>
        <w:tab/>
      </w:r>
      <w:r>
        <w:tab/>
      </w:r>
      <w:r w:rsidR="00444941" w:rsidRPr="00BA22F7">
        <w:t>Section 1</w:t>
      </w:r>
    </w:p>
    <w:p w14:paraId="3C85A249" w14:textId="1FFEB247" w:rsidR="003F4A6C" w:rsidRDefault="00444941" w:rsidP="0003494A">
      <w:pPr>
        <w:pStyle w:val="SingleTxtG"/>
        <w:tabs>
          <w:tab w:val="left" w:pos="2268"/>
        </w:tabs>
      </w:pPr>
      <w:r w:rsidRPr="00BA22F7">
        <w:t>1.6.1</w:t>
      </w:r>
      <w:r w:rsidRPr="00BA22F7">
        <w:tab/>
      </w:r>
      <w:r w:rsidR="003F4A6C">
        <w:t>Replace “Insert a new row under the current row for Test series 7 (l), as follows” by “</w:t>
      </w:r>
      <w:r w:rsidR="009D35D9">
        <w:t>Add</w:t>
      </w:r>
      <w:r w:rsidR="003F4A6C">
        <w:t xml:space="preserve"> a new row under the current row for Test series 7 (k), as follows”</w:t>
      </w:r>
    </w:p>
    <w:p w14:paraId="59B0C7AA" w14:textId="0631F665" w:rsidR="00444941" w:rsidRPr="00BA22F7" w:rsidRDefault="003F4A6C" w:rsidP="00444941">
      <w:pPr>
        <w:pStyle w:val="SingleTxtG"/>
        <w:rPr>
          <w:i/>
          <w:iCs/>
        </w:rPr>
      </w:pPr>
      <w:r w:rsidRPr="00BA22F7" w:rsidDel="003F4A6C">
        <w:t xml:space="preserve"> </w:t>
      </w:r>
      <w:r w:rsidR="00444941" w:rsidRPr="00BA22F7">
        <w:rPr>
          <w:i/>
          <w:iCs/>
        </w:rPr>
        <w:t>(Reference document: informal document INF.50, Annex 5)</w:t>
      </w:r>
    </w:p>
    <w:p w14:paraId="6DE8A0FE" w14:textId="26B00DE3" w:rsidR="00444941" w:rsidRPr="00BA22F7" w:rsidRDefault="00444941" w:rsidP="00A96F90">
      <w:pPr>
        <w:pStyle w:val="H1G"/>
      </w:pPr>
      <w:r w:rsidRPr="00BA22F7">
        <w:tab/>
      </w:r>
      <w:r w:rsidRPr="00BA22F7">
        <w:tab/>
      </w:r>
      <w:r w:rsidRPr="00A96F90">
        <w:t>Document</w:t>
      </w:r>
      <w:r w:rsidRPr="00BA22F7">
        <w:t xml:space="preserve"> ST/SG/AC.10/C.3/2018/67, </w:t>
      </w:r>
      <w:r w:rsidR="000E57E6">
        <w:t>a</w:t>
      </w:r>
      <w:r w:rsidRPr="00BA22F7">
        <w:t>nnex</w:t>
      </w:r>
      <w:r w:rsidR="000E57E6">
        <w:t>es I and</w:t>
      </w:r>
      <w:r w:rsidRPr="00BA22F7">
        <w:t xml:space="preserve"> II</w:t>
      </w:r>
      <w:r w:rsidR="005272D2">
        <w:t>:</w:t>
      </w:r>
      <w:r w:rsidRPr="00BA22F7">
        <w:t xml:space="preserve"> adopted as amended by informal document INF.50, Annex III, </w:t>
      </w:r>
      <w:r w:rsidR="00081698">
        <w:t>a</w:t>
      </w:r>
      <w:r w:rsidR="00081698" w:rsidRPr="00BA22F7">
        <w:t>mendment</w:t>
      </w:r>
      <w:r w:rsidR="000E57E6">
        <w:t>s 1, 2, 3, 4 and</w:t>
      </w:r>
      <w:r w:rsidR="00081698" w:rsidRPr="00BA22F7">
        <w:t xml:space="preserve"> </w:t>
      </w:r>
      <w:r w:rsidRPr="00BA22F7">
        <w:t>5</w:t>
      </w:r>
    </w:p>
    <w:p w14:paraId="1075211E" w14:textId="2FFA3E20" w:rsidR="00444941" w:rsidRPr="00BA22F7" w:rsidRDefault="00444941" w:rsidP="00A96F90">
      <w:pPr>
        <w:pStyle w:val="H1G"/>
      </w:pPr>
      <w:r w:rsidRPr="00BA22F7">
        <w:tab/>
      </w:r>
      <w:r w:rsidRPr="00BA22F7">
        <w:tab/>
      </w:r>
      <w:r w:rsidRPr="00A96F90">
        <w:t>Document</w:t>
      </w:r>
      <w:r w:rsidRPr="00BA22F7">
        <w:t xml:space="preserve"> ST/SG/AC.10/C.3/2018/88</w:t>
      </w:r>
      <w:r w:rsidR="00A96F90">
        <w:t>,</w:t>
      </w:r>
      <w:r w:rsidRPr="00BA22F7">
        <w:t xml:space="preserve"> adopted with the fo</w:t>
      </w:r>
      <w:r w:rsidR="00A96F90">
        <w:t xml:space="preserve">llowing </w:t>
      </w:r>
      <w:r w:rsidR="00C91F9E">
        <w:t>modification</w:t>
      </w:r>
      <w:r w:rsidRPr="00BA22F7">
        <w:t>:</w:t>
      </w:r>
    </w:p>
    <w:p w14:paraId="788444A7" w14:textId="6EBCE687" w:rsidR="00444941" w:rsidRPr="00BA22F7" w:rsidRDefault="00081698" w:rsidP="0003494A">
      <w:pPr>
        <w:pStyle w:val="H23G"/>
      </w:pPr>
      <w:r>
        <w:tab/>
      </w:r>
      <w:r>
        <w:tab/>
      </w:r>
      <w:r w:rsidR="00444941" w:rsidRPr="00BA22F7">
        <w:t>Section 28</w:t>
      </w:r>
    </w:p>
    <w:p w14:paraId="054AA2D2" w14:textId="2E2E1A15" w:rsidR="00444941" w:rsidRPr="00BA22F7" w:rsidRDefault="00444941" w:rsidP="00444941">
      <w:pPr>
        <w:pStyle w:val="SingleTxtG"/>
      </w:pPr>
      <w:r w:rsidRPr="00BA22F7">
        <w:t>28.2.5</w:t>
      </w:r>
      <w:r w:rsidRPr="00BA22F7">
        <w:tab/>
      </w:r>
      <w:r w:rsidRPr="00BA22F7">
        <w:tab/>
        <w:t>Replace “a suitable alternative test” by “a suitable alternative method”.</w:t>
      </w:r>
    </w:p>
    <w:p w14:paraId="1B551859" w14:textId="77777777" w:rsidR="00444941" w:rsidRPr="00BA22F7" w:rsidRDefault="00444941" w:rsidP="00444941">
      <w:pPr>
        <w:pStyle w:val="SingleTxtG"/>
        <w:rPr>
          <w:i/>
          <w:iCs/>
        </w:rPr>
      </w:pPr>
      <w:r w:rsidRPr="00BA22F7">
        <w:rPr>
          <w:i/>
          <w:iCs/>
        </w:rPr>
        <w:t>(Reference document: informal document INF.50, Annex 6)</w:t>
      </w:r>
    </w:p>
    <w:p w14:paraId="2A93E1CE" w14:textId="2E128728" w:rsidR="00444941" w:rsidRPr="00A96F90" w:rsidRDefault="00444941" w:rsidP="00444941">
      <w:pPr>
        <w:pStyle w:val="H23G"/>
        <w:rPr>
          <w:sz w:val="24"/>
        </w:rPr>
      </w:pPr>
      <w:r w:rsidRPr="00A96F90">
        <w:rPr>
          <w:sz w:val="24"/>
        </w:rPr>
        <w:tab/>
      </w:r>
      <w:r w:rsidRPr="00A96F90">
        <w:rPr>
          <w:sz w:val="24"/>
        </w:rPr>
        <w:tab/>
        <w:t>Document ST/SG/AC.10/C.3/2018/116</w:t>
      </w:r>
      <w:r w:rsidR="00A96F90" w:rsidRPr="00A96F90">
        <w:rPr>
          <w:sz w:val="24"/>
        </w:rPr>
        <w:t>:</w:t>
      </w:r>
      <w:r w:rsidRPr="00A96F90">
        <w:rPr>
          <w:sz w:val="24"/>
        </w:rPr>
        <w:t xml:space="preserve"> adopted</w:t>
      </w:r>
    </w:p>
    <w:p w14:paraId="158B01FD" w14:textId="77777777" w:rsidR="00444941" w:rsidRPr="00BA22F7" w:rsidRDefault="00444941">
      <w:pPr>
        <w:suppressAutoHyphens w:val="0"/>
        <w:spacing w:line="240" w:lineRule="auto"/>
        <w:rPr>
          <w:b/>
          <w:sz w:val="28"/>
        </w:rPr>
      </w:pPr>
      <w:r w:rsidRPr="00BA22F7">
        <w:br w:type="page"/>
      </w:r>
    </w:p>
    <w:p w14:paraId="4DA8B118" w14:textId="3866CF7E" w:rsidR="00444941" w:rsidRPr="00BA22F7" w:rsidRDefault="00444941" w:rsidP="00444941">
      <w:pPr>
        <w:pStyle w:val="HChG"/>
      </w:pPr>
      <w:r w:rsidRPr="00BA22F7">
        <w:lastRenderedPageBreak/>
        <w:tab/>
        <w:t>Annex III</w:t>
      </w:r>
      <w:r w:rsidRPr="00BA22F7">
        <w:tab/>
      </w:r>
    </w:p>
    <w:p w14:paraId="064A5CA7" w14:textId="49A009BC" w:rsidR="00444941" w:rsidRPr="00BA22F7" w:rsidRDefault="00444941" w:rsidP="00444941">
      <w:pPr>
        <w:pStyle w:val="HChG"/>
      </w:pPr>
      <w:r w:rsidRPr="00BA22F7">
        <w:tab/>
      </w:r>
      <w:r w:rsidRPr="00BA22F7">
        <w:tab/>
        <w:t>Corrections to the twentieth revised edition of the Recommendations on the Transport of Dangerous Goods, Model Regulations (ST/SG/AC.10/1/Rev.20)</w:t>
      </w:r>
    </w:p>
    <w:p w14:paraId="6DD12AB6" w14:textId="1F8B3D40" w:rsidR="00444941" w:rsidRPr="00BA22F7" w:rsidRDefault="00444941" w:rsidP="00444941">
      <w:pPr>
        <w:pStyle w:val="H23G"/>
      </w:pPr>
      <w:r w:rsidRPr="00BA22F7">
        <w:tab/>
      </w:r>
      <w:r w:rsidRPr="00BA22F7">
        <w:tab/>
        <w:t>Chapter 2.2, 2.2.1.2</w:t>
      </w:r>
      <w:r w:rsidR="005272D2">
        <w:t xml:space="preserve"> (c)</w:t>
      </w:r>
    </w:p>
    <w:p w14:paraId="0C60833A" w14:textId="33172B85" w:rsidR="00444941" w:rsidRPr="00BA22F7" w:rsidRDefault="00081698" w:rsidP="00444941">
      <w:pPr>
        <w:pStyle w:val="SingleTxtG"/>
      </w:pPr>
      <w:r w:rsidRPr="0003494A">
        <w:t xml:space="preserve">At the end </w:t>
      </w:r>
      <w:r>
        <w:rPr>
          <w:i/>
          <w:iCs/>
        </w:rPr>
        <w:t>d</w:t>
      </w:r>
      <w:r w:rsidR="00444941" w:rsidRPr="00BA22F7">
        <w:rPr>
          <w:i/>
          <w:iCs/>
        </w:rPr>
        <w:t xml:space="preserve">elete </w:t>
      </w:r>
      <w:r w:rsidR="00444941" w:rsidRPr="00BA22F7">
        <w:t>or</w:t>
      </w:r>
    </w:p>
    <w:p w14:paraId="6D970C54" w14:textId="77777777" w:rsidR="00444941" w:rsidRPr="00BA22F7" w:rsidRDefault="00444941" w:rsidP="00444941">
      <w:pPr>
        <w:pStyle w:val="SingleTxtG"/>
        <w:rPr>
          <w:i/>
          <w:iCs/>
        </w:rPr>
      </w:pPr>
      <w:r w:rsidRPr="00BA22F7">
        <w:rPr>
          <w:i/>
          <w:iCs/>
        </w:rPr>
        <w:t>(Reference document: informal document INF.18)</w:t>
      </w:r>
    </w:p>
    <w:p w14:paraId="56C0DE90" w14:textId="77777777" w:rsidR="00444941" w:rsidRPr="00BA22F7" w:rsidRDefault="00444941" w:rsidP="00444941">
      <w:pPr>
        <w:pStyle w:val="H23G"/>
      </w:pPr>
      <w:r w:rsidRPr="00BA22F7">
        <w:tab/>
      </w:r>
      <w:r w:rsidRPr="00BA22F7">
        <w:tab/>
        <w:t>Chapter 2.4, 2.4.2.3.1.2 (e)</w:t>
      </w:r>
    </w:p>
    <w:p w14:paraId="40271174" w14:textId="77777777" w:rsidR="00444941" w:rsidRPr="00BA22F7" w:rsidRDefault="00444941" w:rsidP="00444941">
      <w:pPr>
        <w:pStyle w:val="SingleTxtG"/>
      </w:pPr>
      <w:r w:rsidRPr="00BA22F7">
        <w:rPr>
          <w:i/>
          <w:iCs/>
        </w:rPr>
        <w:tab/>
        <w:t xml:space="preserve">For </w:t>
      </w:r>
      <w:r w:rsidRPr="00BA22F7">
        <w:t xml:space="preserve">Aromatic </w:t>
      </w:r>
      <w:proofErr w:type="spellStart"/>
      <w:r w:rsidRPr="00BA22F7">
        <w:t>sulphohydrazides</w:t>
      </w:r>
      <w:proofErr w:type="spellEnd"/>
      <w:r w:rsidRPr="00BA22F7">
        <w:rPr>
          <w:i/>
          <w:iCs/>
        </w:rPr>
        <w:t xml:space="preserve"> read</w:t>
      </w:r>
      <w:r w:rsidRPr="00BA22F7">
        <w:t xml:space="preserve"> Aromatic </w:t>
      </w:r>
      <w:proofErr w:type="spellStart"/>
      <w:r w:rsidRPr="00BA22F7">
        <w:t>sulphonylhydrazides</w:t>
      </w:r>
      <w:proofErr w:type="spellEnd"/>
    </w:p>
    <w:p w14:paraId="35D5727F" w14:textId="77777777" w:rsidR="00444941" w:rsidRPr="00BA22F7" w:rsidRDefault="00444941" w:rsidP="00444941">
      <w:pPr>
        <w:pStyle w:val="SingleTxtG"/>
        <w:rPr>
          <w:i/>
          <w:iCs/>
        </w:rPr>
      </w:pPr>
      <w:r w:rsidRPr="00BA22F7">
        <w:rPr>
          <w:i/>
          <w:iCs/>
        </w:rPr>
        <w:t>(Reference document: informal document INF.18)</w:t>
      </w:r>
    </w:p>
    <w:p w14:paraId="5896466E" w14:textId="2B3AF3E1" w:rsidR="00444941" w:rsidRPr="00BA22F7" w:rsidRDefault="00444941" w:rsidP="00444941">
      <w:pPr>
        <w:pStyle w:val="H23G"/>
      </w:pPr>
      <w:r w:rsidRPr="00BA22F7">
        <w:tab/>
      </w:r>
      <w:r w:rsidRPr="00BA22F7">
        <w:tab/>
        <w:t>Chapter 2.8, 2.8.4.3.3</w:t>
      </w:r>
    </w:p>
    <w:p w14:paraId="1818D111" w14:textId="0FAAD309" w:rsidR="00444941" w:rsidRPr="00BA22F7" w:rsidRDefault="00081698" w:rsidP="00444941">
      <w:pPr>
        <w:pStyle w:val="SingleTxtG"/>
      </w:pPr>
      <w:r w:rsidRPr="0003494A">
        <w:t xml:space="preserve">At the end </w:t>
      </w:r>
      <w:r>
        <w:rPr>
          <w:i/>
          <w:iCs/>
        </w:rPr>
        <w:t>a</w:t>
      </w:r>
      <w:r w:rsidR="00444941" w:rsidRPr="00BA22F7">
        <w:rPr>
          <w:i/>
          <w:iCs/>
        </w:rPr>
        <w:t xml:space="preserve">dd </w:t>
      </w:r>
      <w:proofErr w:type="gramStart"/>
      <w:r w:rsidR="00444941" w:rsidRPr="00BA22F7">
        <w:t>For</w:t>
      </w:r>
      <w:proofErr w:type="gramEnd"/>
      <w:r w:rsidR="00444941" w:rsidRPr="00BA22F7">
        <w:t xml:space="preserve"> this calculation method, generic concentration limits apply where 1% is used in the first step for the assessment of the packing group I substances, and where 5% is used for the other steps respectively.</w:t>
      </w:r>
    </w:p>
    <w:p w14:paraId="0B192A42" w14:textId="77777777" w:rsidR="00444941" w:rsidRPr="00BA22F7" w:rsidRDefault="00444941" w:rsidP="00444941">
      <w:pPr>
        <w:pStyle w:val="SingleTxtG"/>
        <w:rPr>
          <w:i/>
          <w:iCs/>
        </w:rPr>
      </w:pPr>
      <w:r w:rsidRPr="00BA22F7">
        <w:rPr>
          <w:i/>
          <w:iCs/>
        </w:rPr>
        <w:t>(Reference document: informal document INF.18)</w:t>
      </w:r>
    </w:p>
    <w:p w14:paraId="5F76D87A" w14:textId="77777777" w:rsidR="00444941" w:rsidRPr="00BA22F7" w:rsidRDefault="00444941" w:rsidP="00444941">
      <w:pPr>
        <w:pStyle w:val="H23G"/>
      </w:pPr>
      <w:r w:rsidRPr="00BA22F7">
        <w:tab/>
      </w:r>
      <w:r w:rsidRPr="00BA22F7">
        <w:tab/>
        <w:t>Chapter 2.8, 2.8.4.3.4, last sentence</w:t>
      </w:r>
    </w:p>
    <w:p w14:paraId="6D5BAA7E" w14:textId="77777777" w:rsidR="00444941" w:rsidRPr="00BA22F7" w:rsidRDefault="00444941" w:rsidP="00444941">
      <w:pPr>
        <w:pStyle w:val="SingleTxtG"/>
      </w:pPr>
      <w:r w:rsidRPr="00BA22F7">
        <w:rPr>
          <w:i/>
          <w:iCs/>
        </w:rPr>
        <w:tab/>
        <w:t>Delete</w:t>
      </w:r>
    </w:p>
    <w:p w14:paraId="70A88C5F" w14:textId="77777777" w:rsidR="00444941" w:rsidRPr="00BA22F7" w:rsidRDefault="00444941" w:rsidP="00444941">
      <w:pPr>
        <w:pStyle w:val="SingleTxtG"/>
        <w:rPr>
          <w:i/>
          <w:iCs/>
        </w:rPr>
      </w:pPr>
      <w:r w:rsidRPr="00BA22F7">
        <w:rPr>
          <w:i/>
          <w:iCs/>
        </w:rPr>
        <w:t>(Reference document: informal document INF.18)</w:t>
      </w:r>
    </w:p>
    <w:p w14:paraId="0D1E083C" w14:textId="276EC102" w:rsidR="00444941" w:rsidRPr="00BA22F7" w:rsidRDefault="00444941" w:rsidP="00444941">
      <w:pPr>
        <w:pStyle w:val="H23G"/>
      </w:pPr>
      <w:r w:rsidRPr="00BA22F7">
        <w:tab/>
      </w:r>
      <w:r w:rsidRPr="00BA22F7">
        <w:tab/>
        <w:t xml:space="preserve">Chapter 2.8, 2.8.4.3.5, Example 2, </w:t>
      </w:r>
      <w:r w:rsidR="00696B8A">
        <w:t>calculation for packing group III</w:t>
      </w:r>
    </w:p>
    <w:p w14:paraId="542E92AE" w14:textId="77777777" w:rsidR="00444941" w:rsidRPr="00BA22F7" w:rsidRDefault="00444941" w:rsidP="00444941">
      <w:pPr>
        <w:pStyle w:val="SingleTxtG"/>
      </w:pPr>
      <w:r w:rsidRPr="00BA22F7">
        <w:rPr>
          <w:i/>
          <w:iCs/>
        </w:rPr>
        <w:tab/>
        <w:t xml:space="preserve">For </w:t>
      </w:r>
      <w:r w:rsidRPr="00BA22F7">
        <w:t>10 (</w:t>
      </w:r>
      <w:proofErr w:type="spellStart"/>
      <w:r w:rsidRPr="00BA22F7">
        <w:t>conc</w:t>
      </w:r>
      <w:proofErr w:type="spellEnd"/>
      <w:r w:rsidRPr="00BA22F7">
        <w:t xml:space="preserve"> B) </w:t>
      </w:r>
      <w:r w:rsidRPr="00BA22F7">
        <w:rPr>
          <w:i/>
          <w:iCs/>
        </w:rPr>
        <w:t>read</w:t>
      </w:r>
      <w:r w:rsidRPr="00BA22F7">
        <w:t xml:space="preserve"> 10 (</w:t>
      </w:r>
      <w:proofErr w:type="spellStart"/>
      <w:r w:rsidRPr="00BA22F7">
        <w:t>conc</w:t>
      </w:r>
      <w:proofErr w:type="spellEnd"/>
      <w:r w:rsidRPr="00BA22F7">
        <w:t xml:space="preserve"> C)</w:t>
      </w:r>
    </w:p>
    <w:p w14:paraId="19BDEF7C" w14:textId="77777777" w:rsidR="00444941" w:rsidRPr="00BA22F7" w:rsidRDefault="00444941" w:rsidP="00444941">
      <w:pPr>
        <w:pStyle w:val="SingleTxtG"/>
        <w:rPr>
          <w:i/>
          <w:iCs/>
        </w:rPr>
      </w:pPr>
      <w:r w:rsidRPr="00BA22F7">
        <w:rPr>
          <w:i/>
          <w:iCs/>
        </w:rPr>
        <w:t>(Reference document: informal document INF.18, as amended)</w:t>
      </w:r>
    </w:p>
    <w:p w14:paraId="26992C75" w14:textId="5EEF412B" w:rsidR="00444941" w:rsidRPr="00BA22F7" w:rsidRDefault="00444941" w:rsidP="00444941">
      <w:pPr>
        <w:pStyle w:val="H23G"/>
      </w:pPr>
      <w:r w:rsidRPr="00BA22F7">
        <w:tab/>
      </w:r>
      <w:r w:rsidRPr="00BA22F7">
        <w:tab/>
        <w:t xml:space="preserve">Chapter 3.3, special provision 188 </w:t>
      </w:r>
      <w:r w:rsidR="00081698">
        <w:t xml:space="preserve">sub-paragraphs </w:t>
      </w:r>
      <w:r w:rsidRPr="00BA22F7">
        <w:t>(g)</w:t>
      </w:r>
      <w:r w:rsidR="00081698">
        <w:t xml:space="preserve"> and (h)</w:t>
      </w:r>
    </w:p>
    <w:p w14:paraId="5D4B581F" w14:textId="77777777" w:rsidR="00444941" w:rsidRPr="00BA22F7" w:rsidRDefault="00444941" w:rsidP="00444941">
      <w:pPr>
        <w:pStyle w:val="SingleTxtG"/>
      </w:pPr>
      <w:r w:rsidRPr="00BA22F7">
        <w:rPr>
          <w:i/>
          <w:iCs/>
        </w:rPr>
        <w:tab/>
        <w:t xml:space="preserve">For </w:t>
      </w:r>
      <w:r w:rsidRPr="00BA22F7">
        <w:t xml:space="preserve">Except when batteries </w:t>
      </w:r>
      <w:r w:rsidRPr="00BA22F7">
        <w:rPr>
          <w:i/>
          <w:iCs/>
        </w:rPr>
        <w:t>read</w:t>
      </w:r>
      <w:r w:rsidRPr="00BA22F7">
        <w:t xml:space="preserve"> Except when cells or batteries</w:t>
      </w:r>
    </w:p>
    <w:p w14:paraId="2E809260" w14:textId="77777777" w:rsidR="00444941" w:rsidRPr="00BA22F7" w:rsidRDefault="00444941" w:rsidP="00444941">
      <w:pPr>
        <w:pStyle w:val="SingleTxtG"/>
        <w:rPr>
          <w:i/>
          <w:iCs/>
        </w:rPr>
      </w:pPr>
      <w:r w:rsidRPr="00BA22F7">
        <w:rPr>
          <w:i/>
          <w:iCs/>
        </w:rPr>
        <w:t>(Reference document: informal document INF.18, as amended)</w:t>
      </w:r>
    </w:p>
    <w:p w14:paraId="14133B3E" w14:textId="58B34D26" w:rsidR="00444941" w:rsidRPr="00BA22F7" w:rsidRDefault="00444941">
      <w:pPr>
        <w:pStyle w:val="H23G"/>
      </w:pPr>
      <w:r w:rsidRPr="00BA22F7">
        <w:tab/>
      </w:r>
      <w:r w:rsidRPr="00BA22F7">
        <w:tab/>
      </w:r>
      <w:r w:rsidRPr="00BA22F7">
        <w:tab/>
        <w:t>Chapter 3.3, special provision 392, entry for Regulation No. 134</w:t>
      </w:r>
    </w:p>
    <w:p w14:paraId="40D47205" w14:textId="77777777" w:rsidR="00444941" w:rsidRPr="00BA22F7" w:rsidRDefault="00444941" w:rsidP="00444941">
      <w:pPr>
        <w:pStyle w:val="SingleTxtG"/>
      </w:pPr>
      <w:r w:rsidRPr="00BA22F7">
        <w:rPr>
          <w:i/>
          <w:iCs/>
        </w:rPr>
        <w:tab/>
        <w:t xml:space="preserve">For </w:t>
      </w:r>
      <w:r w:rsidRPr="00BA22F7">
        <w:t xml:space="preserve">Hydrogen and fuel cell vehicles (HFCV) </w:t>
      </w:r>
      <w:r w:rsidRPr="00BA22F7">
        <w:rPr>
          <w:i/>
          <w:iCs/>
        </w:rPr>
        <w:t>read</w:t>
      </w:r>
      <w:r w:rsidRPr="00BA22F7">
        <w:t xml:space="preserve"> Uniform provisions concerning the approval of motor vehicles and their components with regards to the safety-related performance of hydrogen-fuelled vehicles (HFCV)</w:t>
      </w:r>
    </w:p>
    <w:p w14:paraId="31270202" w14:textId="77777777" w:rsidR="00444941" w:rsidRPr="00BA22F7" w:rsidRDefault="00444941" w:rsidP="00444941">
      <w:pPr>
        <w:pStyle w:val="SingleTxtG"/>
        <w:rPr>
          <w:i/>
          <w:iCs/>
        </w:rPr>
      </w:pPr>
      <w:r w:rsidRPr="00BA22F7">
        <w:rPr>
          <w:i/>
          <w:iCs/>
        </w:rPr>
        <w:t>(Reference document: informal document INF.18)</w:t>
      </w:r>
    </w:p>
    <w:p w14:paraId="4084D88C" w14:textId="77777777" w:rsidR="00444941" w:rsidRPr="00BA22F7" w:rsidRDefault="00444941" w:rsidP="00444941">
      <w:pPr>
        <w:pStyle w:val="H23G"/>
      </w:pPr>
      <w:r w:rsidRPr="00BA22F7">
        <w:tab/>
      </w:r>
      <w:r w:rsidRPr="00BA22F7">
        <w:tab/>
        <w:t>Chapter 5.2, 5.2.2.1.12.1, third sentence</w:t>
      </w:r>
    </w:p>
    <w:p w14:paraId="43745A30" w14:textId="77777777" w:rsidR="00444941" w:rsidRPr="00BA22F7" w:rsidRDefault="00444941" w:rsidP="00444941">
      <w:pPr>
        <w:pStyle w:val="SingleTxtG"/>
      </w:pPr>
      <w:r w:rsidRPr="00BA22F7">
        <w:rPr>
          <w:i/>
          <w:iCs/>
        </w:rPr>
        <w:tab/>
        <w:t>Delete</w:t>
      </w:r>
    </w:p>
    <w:p w14:paraId="61B4A96B" w14:textId="77777777" w:rsidR="00444941" w:rsidRPr="00BA22F7" w:rsidRDefault="00444941" w:rsidP="00444941">
      <w:pPr>
        <w:pStyle w:val="SingleTxtG"/>
        <w:rPr>
          <w:i/>
          <w:iCs/>
        </w:rPr>
      </w:pPr>
      <w:r w:rsidRPr="00BA22F7">
        <w:rPr>
          <w:i/>
          <w:iCs/>
        </w:rPr>
        <w:t>(Reference document: informal document INF.18)</w:t>
      </w:r>
    </w:p>
    <w:p w14:paraId="4DA384A2" w14:textId="2DB94ADA" w:rsidR="0006628B" w:rsidRPr="00BA22F7" w:rsidRDefault="00444941" w:rsidP="0003494A">
      <w:pPr>
        <w:spacing w:before="240"/>
        <w:ind w:left="1134" w:right="1134"/>
        <w:jc w:val="center"/>
      </w:pPr>
      <w:r w:rsidRPr="00BA22F7">
        <w:rPr>
          <w:u w:val="single"/>
        </w:rPr>
        <w:tab/>
      </w:r>
      <w:r w:rsidRPr="00BA22F7">
        <w:rPr>
          <w:u w:val="single"/>
        </w:rPr>
        <w:tab/>
      </w:r>
      <w:r w:rsidRPr="00BA22F7">
        <w:rPr>
          <w:u w:val="single"/>
        </w:rPr>
        <w:tab/>
      </w:r>
    </w:p>
    <w:sectPr w:rsidR="0006628B" w:rsidRPr="00BA22F7" w:rsidSect="00570D7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4B1C" w14:textId="77777777" w:rsidR="000D1834" w:rsidRDefault="000D1834"/>
  </w:endnote>
  <w:endnote w:type="continuationSeparator" w:id="0">
    <w:p w14:paraId="64F79559" w14:textId="77777777" w:rsidR="000D1834" w:rsidRDefault="000D1834"/>
  </w:endnote>
  <w:endnote w:type="continuationNotice" w:id="1">
    <w:p w14:paraId="148B6F16" w14:textId="77777777" w:rsidR="000D1834" w:rsidRDefault="000D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14AA" w14:textId="40E12B6A" w:rsidR="000D1834" w:rsidRPr="0063461B" w:rsidRDefault="000D1834"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20</w:t>
    </w:r>
    <w:r w:rsidRPr="006346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AACE" w14:textId="4ED2F61B" w:rsidR="000D1834" w:rsidRPr="0063461B" w:rsidRDefault="000D1834"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21</w:t>
    </w:r>
    <w:r w:rsidRPr="00634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359F" w14:textId="65488203" w:rsidR="000D1834" w:rsidRPr="001B56C6" w:rsidRDefault="000D1834">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32AE" w14:textId="77777777" w:rsidR="000D1834" w:rsidRPr="000B175B" w:rsidRDefault="000D1834" w:rsidP="000B175B">
      <w:pPr>
        <w:tabs>
          <w:tab w:val="right" w:pos="2155"/>
        </w:tabs>
        <w:spacing w:after="80"/>
        <w:ind w:left="680"/>
        <w:rPr>
          <w:u w:val="single"/>
        </w:rPr>
      </w:pPr>
      <w:r>
        <w:rPr>
          <w:u w:val="single"/>
        </w:rPr>
        <w:tab/>
      </w:r>
    </w:p>
  </w:footnote>
  <w:footnote w:type="continuationSeparator" w:id="0">
    <w:p w14:paraId="522A5A5E" w14:textId="77777777" w:rsidR="000D1834" w:rsidRPr="00FC68B7" w:rsidRDefault="000D1834" w:rsidP="00FC68B7">
      <w:pPr>
        <w:tabs>
          <w:tab w:val="left" w:pos="2155"/>
        </w:tabs>
        <w:spacing w:after="80"/>
        <w:ind w:left="680"/>
        <w:rPr>
          <w:u w:val="single"/>
        </w:rPr>
      </w:pPr>
      <w:r>
        <w:rPr>
          <w:u w:val="single"/>
        </w:rPr>
        <w:tab/>
      </w:r>
    </w:p>
  </w:footnote>
  <w:footnote w:type="continuationNotice" w:id="1">
    <w:p w14:paraId="6105BA22" w14:textId="77777777" w:rsidR="000D1834" w:rsidRDefault="000D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5C5B" w14:textId="43ED8157" w:rsidR="000D1834" w:rsidRPr="0063461B" w:rsidRDefault="000D1834" w:rsidP="00F245A8">
    <w:pPr>
      <w:pStyle w:val="Header"/>
    </w:pPr>
    <w:r>
      <w:t>ST/SG/AC.10/C.3/108/Add.1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1F3" w14:textId="6856D8EC" w:rsidR="000D1834" w:rsidRPr="0063461B" w:rsidRDefault="000D1834" w:rsidP="00F245A8">
    <w:pPr>
      <w:pStyle w:val="Header"/>
      <w:jc w:val="right"/>
    </w:pPr>
    <w:r>
      <w:t>ST/SG/AC.10/C.3/108/Add.1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6F32F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CE72D2"/>
    <w:multiLevelType w:val="singleLevel"/>
    <w:tmpl w:val="0409000F"/>
    <w:lvl w:ilvl="0">
      <w:start w:val="1"/>
      <w:numFmt w:val="decimal"/>
      <w:pStyle w:val="Heading1"/>
      <w:lvlText w:val="%1."/>
      <w:lvlJc w:val="left"/>
      <w:pPr>
        <w:tabs>
          <w:tab w:val="num" w:pos="360"/>
        </w:tabs>
        <w:ind w:left="360" w:hanging="360"/>
      </w:pPr>
    </w:lvl>
  </w:abstractNum>
  <w:abstractNum w:abstractNumId="5" w15:restartNumberingAfterBreak="0">
    <w:nsid w:val="0C350514"/>
    <w:multiLevelType w:val="hybridMultilevel"/>
    <w:tmpl w:val="0D8E82C2"/>
    <w:lvl w:ilvl="0" w:tplc="844E407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0D773EB6"/>
    <w:multiLevelType w:val="hybridMultilevel"/>
    <w:tmpl w:val="54F23D58"/>
    <w:lvl w:ilvl="0" w:tplc="ED80CD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8" w15:restartNumberingAfterBreak="0">
    <w:nsid w:val="124C2F1E"/>
    <w:multiLevelType w:val="hybridMultilevel"/>
    <w:tmpl w:val="44BAEB84"/>
    <w:lvl w:ilvl="0" w:tplc="0D2CCF96">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CE7757"/>
    <w:multiLevelType w:val="hybridMultilevel"/>
    <w:tmpl w:val="CDEC7B26"/>
    <w:lvl w:ilvl="0" w:tplc="CEFAC75C">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52C73"/>
    <w:multiLevelType w:val="hybridMultilevel"/>
    <w:tmpl w:val="B7EA3C38"/>
    <w:lvl w:ilvl="0" w:tplc="3E328E6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21D176E6"/>
    <w:multiLevelType w:val="hybridMultilevel"/>
    <w:tmpl w:val="942256A4"/>
    <w:lvl w:ilvl="0" w:tplc="E3F603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3CF07EF"/>
    <w:multiLevelType w:val="hybridMultilevel"/>
    <w:tmpl w:val="0F3A6EF8"/>
    <w:lvl w:ilvl="0" w:tplc="040696B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5" w15:restartNumberingAfterBreak="0">
    <w:nsid w:val="295D0E11"/>
    <w:multiLevelType w:val="hybridMultilevel"/>
    <w:tmpl w:val="28D285F0"/>
    <w:lvl w:ilvl="0" w:tplc="EB70DED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7" w15:restartNumberingAfterBreak="0">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36FBF"/>
    <w:multiLevelType w:val="hybridMultilevel"/>
    <w:tmpl w:val="BA4C691A"/>
    <w:lvl w:ilvl="0" w:tplc="8228A3A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B8F160B"/>
    <w:multiLevelType w:val="hybridMultilevel"/>
    <w:tmpl w:val="CDEC7B26"/>
    <w:lvl w:ilvl="0" w:tplc="CEFAC75C">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BD800A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D8312F8"/>
    <w:multiLevelType w:val="hybridMultilevel"/>
    <w:tmpl w:val="360CBB7E"/>
    <w:lvl w:ilvl="0" w:tplc="29D67A8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3" w15:restartNumberingAfterBreak="0">
    <w:nsid w:val="3EF62816"/>
    <w:multiLevelType w:val="hybridMultilevel"/>
    <w:tmpl w:val="BEB8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E5EB5"/>
    <w:multiLevelType w:val="hybridMultilevel"/>
    <w:tmpl w:val="74AA08CE"/>
    <w:lvl w:ilvl="0" w:tplc="9E128CB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5" w15:restartNumberingAfterBreak="0">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637BE"/>
    <w:multiLevelType w:val="hybridMultilevel"/>
    <w:tmpl w:val="68C00F80"/>
    <w:lvl w:ilvl="0" w:tplc="9F422C0E">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8D25339"/>
    <w:multiLevelType w:val="hybridMultilevel"/>
    <w:tmpl w:val="2646C09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9297561"/>
    <w:multiLevelType w:val="hybridMultilevel"/>
    <w:tmpl w:val="7A14E92C"/>
    <w:lvl w:ilvl="0" w:tplc="46C0846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0" w15:restartNumberingAfterBreak="0">
    <w:nsid w:val="4A317A7D"/>
    <w:multiLevelType w:val="hybridMultilevel"/>
    <w:tmpl w:val="1AB27342"/>
    <w:lvl w:ilvl="0" w:tplc="AA5E5F6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E096D02"/>
    <w:multiLevelType w:val="hybridMultilevel"/>
    <w:tmpl w:val="1696EEFA"/>
    <w:lvl w:ilvl="0" w:tplc="7FFED604">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2" w15:restartNumberingAfterBreak="0">
    <w:nsid w:val="50077358"/>
    <w:multiLevelType w:val="hybridMultilevel"/>
    <w:tmpl w:val="01962F46"/>
    <w:lvl w:ilvl="0" w:tplc="9FF4C5CE">
      <w:start w:val="1"/>
      <w:numFmt w:val="upperLetter"/>
      <w:lvlText w:val="%1."/>
      <w:lvlJc w:val="left"/>
      <w:pPr>
        <w:ind w:left="1704" w:hanging="576"/>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3" w15:restartNumberingAfterBreak="0">
    <w:nsid w:val="56802F74"/>
    <w:multiLevelType w:val="hybridMultilevel"/>
    <w:tmpl w:val="DE167682"/>
    <w:lvl w:ilvl="0" w:tplc="D4D698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0ED2594"/>
    <w:multiLevelType w:val="hybridMultilevel"/>
    <w:tmpl w:val="D00CD12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6" w15:restartNumberingAfterBreak="0">
    <w:nsid w:val="61030AE6"/>
    <w:multiLevelType w:val="hybridMultilevel"/>
    <w:tmpl w:val="6B341BDA"/>
    <w:lvl w:ilvl="0" w:tplc="B13619BA">
      <w:numFmt w:val="bullet"/>
      <w:lvlText w:val=""/>
      <w:lvlJc w:val="left"/>
      <w:pPr>
        <w:ind w:left="2241" w:hanging="54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15:restartNumberingAfterBreak="0">
    <w:nsid w:val="68443301"/>
    <w:multiLevelType w:val="hybridMultilevel"/>
    <w:tmpl w:val="44B4416E"/>
    <w:lvl w:ilvl="0" w:tplc="4C0CC60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0" w15:restartNumberingAfterBreak="0">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7737CB"/>
    <w:multiLevelType w:val="hybridMultilevel"/>
    <w:tmpl w:val="9E76A56C"/>
    <w:lvl w:ilvl="0" w:tplc="160C141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2" w15:restartNumberingAfterBreak="0">
    <w:nsid w:val="784246DD"/>
    <w:multiLevelType w:val="hybridMultilevel"/>
    <w:tmpl w:val="9C5E6B8A"/>
    <w:lvl w:ilvl="0" w:tplc="397EE45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4" w15:restartNumberingAfterBreak="0">
    <w:nsid w:val="7FFD64B8"/>
    <w:multiLevelType w:val="hybridMultilevel"/>
    <w:tmpl w:val="30DAA28E"/>
    <w:lvl w:ilvl="0" w:tplc="009817B8">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8"/>
  </w:num>
  <w:num w:numId="2">
    <w:abstractNumId w:val="11"/>
  </w:num>
  <w:num w:numId="3">
    <w:abstractNumId w:val="0"/>
  </w:num>
  <w:num w:numId="4">
    <w:abstractNumId w:val="39"/>
  </w:num>
  <w:num w:numId="5">
    <w:abstractNumId w:val="13"/>
  </w:num>
  <w:num w:numId="6">
    <w:abstractNumId w:val="44"/>
  </w:num>
  <w:num w:numId="7">
    <w:abstractNumId w:val="15"/>
  </w:num>
  <w:num w:numId="8">
    <w:abstractNumId w:val="26"/>
  </w:num>
  <w:num w:numId="9">
    <w:abstractNumId w:val="6"/>
  </w:num>
  <w:num w:numId="10">
    <w:abstractNumId w:val="30"/>
  </w:num>
  <w:num w:numId="11">
    <w:abstractNumId w:val="8"/>
  </w:num>
  <w:num w:numId="12">
    <w:abstractNumId w:val="31"/>
  </w:num>
  <w:num w:numId="13">
    <w:abstractNumId w:val="16"/>
  </w:num>
  <w:num w:numId="14">
    <w:abstractNumId w:val="4"/>
  </w:num>
  <w:num w:numId="15">
    <w:abstractNumId w:val="34"/>
  </w:num>
  <w:num w:numId="16">
    <w:abstractNumId w:val="9"/>
  </w:num>
  <w:num w:numId="17">
    <w:abstractNumId w:val="2"/>
  </w:num>
  <w:num w:numId="18">
    <w:abstractNumId w:val="20"/>
  </w:num>
  <w:num w:numId="19">
    <w:abstractNumId w:val="32"/>
  </w:num>
  <w:num w:numId="20">
    <w:abstractNumId w:val="23"/>
  </w:num>
  <w:num w:numId="21">
    <w:abstractNumId w:val="10"/>
  </w:num>
  <w:num w:numId="22">
    <w:abstractNumId w:val="42"/>
  </w:num>
  <w:num w:numId="23">
    <w:abstractNumId w:val="3"/>
  </w:num>
  <w:num w:numId="24">
    <w:abstractNumId w:val="33"/>
  </w:num>
  <w:num w:numId="25">
    <w:abstractNumId w:val="21"/>
  </w:num>
  <w:num w:numId="26">
    <w:abstractNumId w:val="1"/>
  </w:num>
  <w:num w:numId="27">
    <w:abstractNumId w:val="14"/>
  </w:num>
  <w:num w:numId="28">
    <w:abstractNumId w:val="41"/>
  </w:num>
  <w:num w:numId="29">
    <w:abstractNumId w:val="24"/>
  </w:num>
  <w:num w:numId="30">
    <w:abstractNumId w:val="12"/>
  </w:num>
  <w:num w:numId="31">
    <w:abstractNumId w:val="22"/>
  </w:num>
  <w:num w:numId="32">
    <w:abstractNumId w:val="29"/>
  </w:num>
  <w:num w:numId="33">
    <w:abstractNumId w:val="28"/>
  </w:num>
  <w:num w:numId="34">
    <w:abstractNumId w:val="17"/>
  </w:num>
  <w:num w:numId="35">
    <w:abstractNumId w:val="27"/>
  </w:num>
  <w:num w:numId="36">
    <w:abstractNumId w:val="40"/>
  </w:num>
  <w:num w:numId="37">
    <w:abstractNumId w:val="25"/>
  </w:num>
  <w:num w:numId="38">
    <w:abstractNumId w:val="43"/>
  </w:num>
  <w:num w:numId="39">
    <w:abstractNumId w:val="7"/>
  </w:num>
  <w:num w:numId="40">
    <w:abstractNumId w:val="38"/>
  </w:num>
  <w:num w:numId="41">
    <w:abstractNumId w:val="37"/>
  </w:num>
  <w:num w:numId="42">
    <w:abstractNumId w:val="36"/>
  </w:num>
  <w:num w:numId="43">
    <w:abstractNumId w:val="5"/>
  </w:num>
  <w:num w:numId="44">
    <w:abstractNumId w:val="19"/>
  </w:num>
  <w:num w:numId="45">
    <w:abstractNumId w:val="18"/>
  </w:num>
  <w:num w:numId="46">
    <w:abstractNumId w:val="35"/>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CA"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35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1B"/>
    <w:rsid w:val="0000110E"/>
    <w:rsid w:val="0000145A"/>
    <w:rsid w:val="00001B00"/>
    <w:rsid w:val="00002351"/>
    <w:rsid w:val="00002A7D"/>
    <w:rsid w:val="00002BB2"/>
    <w:rsid w:val="00003165"/>
    <w:rsid w:val="000037A2"/>
    <w:rsid w:val="000038A8"/>
    <w:rsid w:val="00003A18"/>
    <w:rsid w:val="00003D91"/>
    <w:rsid w:val="00004458"/>
    <w:rsid w:val="00006790"/>
    <w:rsid w:val="00010B3B"/>
    <w:rsid w:val="00011808"/>
    <w:rsid w:val="000123BB"/>
    <w:rsid w:val="000130A9"/>
    <w:rsid w:val="00013568"/>
    <w:rsid w:val="0001439B"/>
    <w:rsid w:val="00014D4F"/>
    <w:rsid w:val="000156DE"/>
    <w:rsid w:val="00016FB9"/>
    <w:rsid w:val="0001753C"/>
    <w:rsid w:val="00017F67"/>
    <w:rsid w:val="00017FF2"/>
    <w:rsid w:val="000210E8"/>
    <w:rsid w:val="00022685"/>
    <w:rsid w:val="000244A1"/>
    <w:rsid w:val="000247BB"/>
    <w:rsid w:val="00025038"/>
    <w:rsid w:val="00025561"/>
    <w:rsid w:val="000260AC"/>
    <w:rsid w:val="00026837"/>
    <w:rsid w:val="0002697B"/>
    <w:rsid w:val="00027624"/>
    <w:rsid w:val="0002795B"/>
    <w:rsid w:val="00027BF7"/>
    <w:rsid w:val="00030AB9"/>
    <w:rsid w:val="00031EFA"/>
    <w:rsid w:val="0003208D"/>
    <w:rsid w:val="000327C1"/>
    <w:rsid w:val="00033246"/>
    <w:rsid w:val="0003331A"/>
    <w:rsid w:val="000345AB"/>
    <w:rsid w:val="000345BD"/>
    <w:rsid w:val="0003494A"/>
    <w:rsid w:val="0003697C"/>
    <w:rsid w:val="000403DE"/>
    <w:rsid w:val="00040DC6"/>
    <w:rsid w:val="00040E30"/>
    <w:rsid w:val="00040FDD"/>
    <w:rsid w:val="0004101D"/>
    <w:rsid w:val="00042AB6"/>
    <w:rsid w:val="00043A40"/>
    <w:rsid w:val="00044239"/>
    <w:rsid w:val="00044276"/>
    <w:rsid w:val="00044536"/>
    <w:rsid w:val="00045864"/>
    <w:rsid w:val="00045CB9"/>
    <w:rsid w:val="00046540"/>
    <w:rsid w:val="00046724"/>
    <w:rsid w:val="00047020"/>
    <w:rsid w:val="0004769E"/>
    <w:rsid w:val="0005023A"/>
    <w:rsid w:val="0005069A"/>
    <w:rsid w:val="00050D76"/>
    <w:rsid w:val="00050F6B"/>
    <w:rsid w:val="000523C5"/>
    <w:rsid w:val="000524B6"/>
    <w:rsid w:val="00054B13"/>
    <w:rsid w:val="00054B8F"/>
    <w:rsid w:val="00055F5D"/>
    <w:rsid w:val="00056392"/>
    <w:rsid w:val="00056B4C"/>
    <w:rsid w:val="00061B16"/>
    <w:rsid w:val="00061BD9"/>
    <w:rsid w:val="000628C8"/>
    <w:rsid w:val="00063D1E"/>
    <w:rsid w:val="00064651"/>
    <w:rsid w:val="00064C5D"/>
    <w:rsid w:val="00065A9F"/>
    <w:rsid w:val="0006628B"/>
    <w:rsid w:val="00066320"/>
    <w:rsid w:val="000666F0"/>
    <w:rsid w:val="00067680"/>
    <w:rsid w:val="000678CD"/>
    <w:rsid w:val="00067994"/>
    <w:rsid w:val="00067D0E"/>
    <w:rsid w:val="0007221F"/>
    <w:rsid w:val="00072AFD"/>
    <w:rsid w:val="00072C66"/>
    <w:rsid w:val="00072C8C"/>
    <w:rsid w:val="00073957"/>
    <w:rsid w:val="00075179"/>
    <w:rsid w:val="00080766"/>
    <w:rsid w:val="00080C6F"/>
    <w:rsid w:val="00081288"/>
    <w:rsid w:val="00081698"/>
    <w:rsid w:val="00081CE0"/>
    <w:rsid w:val="00083D4D"/>
    <w:rsid w:val="00084D30"/>
    <w:rsid w:val="00087D93"/>
    <w:rsid w:val="00090320"/>
    <w:rsid w:val="00091656"/>
    <w:rsid w:val="000922C8"/>
    <w:rsid w:val="000931C0"/>
    <w:rsid w:val="00093672"/>
    <w:rsid w:val="00093A50"/>
    <w:rsid w:val="00094B4E"/>
    <w:rsid w:val="00095CD6"/>
    <w:rsid w:val="00096FD7"/>
    <w:rsid w:val="000A0682"/>
    <w:rsid w:val="000A0C21"/>
    <w:rsid w:val="000A0FE6"/>
    <w:rsid w:val="000A1064"/>
    <w:rsid w:val="000A17D2"/>
    <w:rsid w:val="000A1DF0"/>
    <w:rsid w:val="000A2E09"/>
    <w:rsid w:val="000A2E93"/>
    <w:rsid w:val="000A3141"/>
    <w:rsid w:val="000A39B0"/>
    <w:rsid w:val="000A3ED7"/>
    <w:rsid w:val="000A45F6"/>
    <w:rsid w:val="000A573A"/>
    <w:rsid w:val="000A666C"/>
    <w:rsid w:val="000B031F"/>
    <w:rsid w:val="000B09F4"/>
    <w:rsid w:val="000B0C60"/>
    <w:rsid w:val="000B1631"/>
    <w:rsid w:val="000B175B"/>
    <w:rsid w:val="000B238B"/>
    <w:rsid w:val="000B3A0F"/>
    <w:rsid w:val="000B3CC6"/>
    <w:rsid w:val="000B4A6F"/>
    <w:rsid w:val="000B64F0"/>
    <w:rsid w:val="000B6EA2"/>
    <w:rsid w:val="000C0DB1"/>
    <w:rsid w:val="000C2C39"/>
    <w:rsid w:val="000C33C0"/>
    <w:rsid w:val="000C3605"/>
    <w:rsid w:val="000C4114"/>
    <w:rsid w:val="000C44D9"/>
    <w:rsid w:val="000C48BC"/>
    <w:rsid w:val="000D0CD0"/>
    <w:rsid w:val="000D0D88"/>
    <w:rsid w:val="000D1834"/>
    <w:rsid w:val="000D1F38"/>
    <w:rsid w:val="000D331E"/>
    <w:rsid w:val="000D5CD5"/>
    <w:rsid w:val="000D618F"/>
    <w:rsid w:val="000D76F8"/>
    <w:rsid w:val="000D7B27"/>
    <w:rsid w:val="000E0415"/>
    <w:rsid w:val="000E07DD"/>
    <w:rsid w:val="000E1B2E"/>
    <w:rsid w:val="000E2382"/>
    <w:rsid w:val="000E256B"/>
    <w:rsid w:val="000E38EB"/>
    <w:rsid w:val="000E4B65"/>
    <w:rsid w:val="000E57E6"/>
    <w:rsid w:val="000E6494"/>
    <w:rsid w:val="000E6FBF"/>
    <w:rsid w:val="000E76F4"/>
    <w:rsid w:val="000E77BA"/>
    <w:rsid w:val="000E7D56"/>
    <w:rsid w:val="000E7FA2"/>
    <w:rsid w:val="000F0152"/>
    <w:rsid w:val="000F2EAD"/>
    <w:rsid w:val="000F39E0"/>
    <w:rsid w:val="000F3D82"/>
    <w:rsid w:val="000F4A5C"/>
    <w:rsid w:val="000F6BCD"/>
    <w:rsid w:val="000F7146"/>
    <w:rsid w:val="000F7715"/>
    <w:rsid w:val="000F77FA"/>
    <w:rsid w:val="000F79B7"/>
    <w:rsid w:val="000F7AFC"/>
    <w:rsid w:val="001021BC"/>
    <w:rsid w:val="001025C2"/>
    <w:rsid w:val="00102C9D"/>
    <w:rsid w:val="0010502D"/>
    <w:rsid w:val="001056BF"/>
    <w:rsid w:val="00105ED4"/>
    <w:rsid w:val="001060CF"/>
    <w:rsid w:val="00106F44"/>
    <w:rsid w:val="00107AD3"/>
    <w:rsid w:val="001107BA"/>
    <w:rsid w:val="00111256"/>
    <w:rsid w:val="001117DA"/>
    <w:rsid w:val="00112A64"/>
    <w:rsid w:val="00112FB1"/>
    <w:rsid w:val="00114559"/>
    <w:rsid w:val="001156E3"/>
    <w:rsid w:val="00115CA3"/>
    <w:rsid w:val="00117660"/>
    <w:rsid w:val="00117B7A"/>
    <w:rsid w:val="001203F4"/>
    <w:rsid w:val="0012096F"/>
    <w:rsid w:val="00123344"/>
    <w:rsid w:val="00124236"/>
    <w:rsid w:val="00124CA2"/>
    <w:rsid w:val="00124E94"/>
    <w:rsid w:val="0012563D"/>
    <w:rsid w:val="00126FE9"/>
    <w:rsid w:val="00127775"/>
    <w:rsid w:val="00130108"/>
    <w:rsid w:val="00131AEB"/>
    <w:rsid w:val="00131F62"/>
    <w:rsid w:val="0013225D"/>
    <w:rsid w:val="001322EF"/>
    <w:rsid w:val="00132352"/>
    <w:rsid w:val="00132CE8"/>
    <w:rsid w:val="00133515"/>
    <w:rsid w:val="00136033"/>
    <w:rsid w:val="0014155D"/>
    <w:rsid w:val="0014319A"/>
    <w:rsid w:val="0014327E"/>
    <w:rsid w:val="00143B34"/>
    <w:rsid w:val="00144199"/>
    <w:rsid w:val="001466BD"/>
    <w:rsid w:val="001474EB"/>
    <w:rsid w:val="00147F92"/>
    <w:rsid w:val="001509A3"/>
    <w:rsid w:val="00154256"/>
    <w:rsid w:val="00154404"/>
    <w:rsid w:val="0015444A"/>
    <w:rsid w:val="00154FBA"/>
    <w:rsid w:val="001552C1"/>
    <w:rsid w:val="0015571C"/>
    <w:rsid w:val="00155E8F"/>
    <w:rsid w:val="00155FDF"/>
    <w:rsid w:val="00156B99"/>
    <w:rsid w:val="001575CD"/>
    <w:rsid w:val="001610E8"/>
    <w:rsid w:val="001637E0"/>
    <w:rsid w:val="00163A93"/>
    <w:rsid w:val="00163D38"/>
    <w:rsid w:val="00163EFA"/>
    <w:rsid w:val="00165632"/>
    <w:rsid w:val="0016610A"/>
    <w:rsid w:val="00166124"/>
    <w:rsid w:val="00167071"/>
    <w:rsid w:val="001679FB"/>
    <w:rsid w:val="0017051B"/>
    <w:rsid w:val="001718EC"/>
    <w:rsid w:val="00171B78"/>
    <w:rsid w:val="00172249"/>
    <w:rsid w:val="001725A3"/>
    <w:rsid w:val="00172E24"/>
    <w:rsid w:val="0017347E"/>
    <w:rsid w:val="0017503C"/>
    <w:rsid w:val="00175468"/>
    <w:rsid w:val="00177936"/>
    <w:rsid w:val="00177AB2"/>
    <w:rsid w:val="00177B23"/>
    <w:rsid w:val="00177F06"/>
    <w:rsid w:val="00180AC3"/>
    <w:rsid w:val="00180DE5"/>
    <w:rsid w:val="00181386"/>
    <w:rsid w:val="001824F7"/>
    <w:rsid w:val="00183153"/>
    <w:rsid w:val="001839D1"/>
    <w:rsid w:val="00183E62"/>
    <w:rsid w:val="001842E3"/>
    <w:rsid w:val="00184318"/>
    <w:rsid w:val="00184A74"/>
    <w:rsid w:val="00184AA2"/>
    <w:rsid w:val="00184DDA"/>
    <w:rsid w:val="00184EB8"/>
    <w:rsid w:val="001857B8"/>
    <w:rsid w:val="0018600D"/>
    <w:rsid w:val="00187222"/>
    <w:rsid w:val="00187692"/>
    <w:rsid w:val="001900CD"/>
    <w:rsid w:val="00190141"/>
    <w:rsid w:val="001907DD"/>
    <w:rsid w:val="001914F8"/>
    <w:rsid w:val="00191A30"/>
    <w:rsid w:val="00191E28"/>
    <w:rsid w:val="00191E97"/>
    <w:rsid w:val="0019301B"/>
    <w:rsid w:val="001932FA"/>
    <w:rsid w:val="00194059"/>
    <w:rsid w:val="00194A4B"/>
    <w:rsid w:val="001957EF"/>
    <w:rsid w:val="00195AF0"/>
    <w:rsid w:val="00195D59"/>
    <w:rsid w:val="00196C7A"/>
    <w:rsid w:val="001975AD"/>
    <w:rsid w:val="00197E40"/>
    <w:rsid w:val="001A0452"/>
    <w:rsid w:val="001A0B49"/>
    <w:rsid w:val="001A1516"/>
    <w:rsid w:val="001A19E4"/>
    <w:rsid w:val="001A2E39"/>
    <w:rsid w:val="001A46F2"/>
    <w:rsid w:val="001A5764"/>
    <w:rsid w:val="001A6FCC"/>
    <w:rsid w:val="001A7A01"/>
    <w:rsid w:val="001A7BF2"/>
    <w:rsid w:val="001A7D24"/>
    <w:rsid w:val="001B058D"/>
    <w:rsid w:val="001B0AAC"/>
    <w:rsid w:val="001B0F8A"/>
    <w:rsid w:val="001B162A"/>
    <w:rsid w:val="001B1AB5"/>
    <w:rsid w:val="001B30BE"/>
    <w:rsid w:val="001B43BF"/>
    <w:rsid w:val="001B4ADF"/>
    <w:rsid w:val="001B4B04"/>
    <w:rsid w:val="001B4BDB"/>
    <w:rsid w:val="001B56C6"/>
    <w:rsid w:val="001B5875"/>
    <w:rsid w:val="001B7927"/>
    <w:rsid w:val="001B7F07"/>
    <w:rsid w:val="001C0B81"/>
    <w:rsid w:val="001C1E4E"/>
    <w:rsid w:val="001C22FC"/>
    <w:rsid w:val="001C2EBF"/>
    <w:rsid w:val="001C3F0C"/>
    <w:rsid w:val="001C49EC"/>
    <w:rsid w:val="001C4B9C"/>
    <w:rsid w:val="001C5779"/>
    <w:rsid w:val="001C5921"/>
    <w:rsid w:val="001C60FE"/>
    <w:rsid w:val="001C6663"/>
    <w:rsid w:val="001C7041"/>
    <w:rsid w:val="001C7895"/>
    <w:rsid w:val="001C7B56"/>
    <w:rsid w:val="001D1014"/>
    <w:rsid w:val="001D18F9"/>
    <w:rsid w:val="001D245A"/>
    <w:rsid w:val="001D26DF"/>
    <w:rsid w:val="001D29B9"/>
    <w:rsid w:val="001D2E19"/>
    <w:rsid w:val="001D3B92"/>
    <w:rsid w:val="001D4218"/>
    <w:rsid w:val="001D4D89"/>
    <w:rsid w:val="001D5461"/>
    <w:rsid w:val="001E025A"/>
    <w:rsid w:val="001E07FA"/>
    <w:rsid w:val="001E16CB"/>
    <w:rsid w:val="001E1A07"/>
    <w:rsid w:val="001E257C"/>
    <w:rsid w:val="001E3403"/>
    <w:rsid w:val="001E3540"/>
    <w:rsid w:val="001E3D3F"/>
    <w:rsid w:val="001E45AA"/>
    <w:rsid w:val="001E57E9"/>
    <w:rsid w:val="001E60F9"/>
    <w:rsid w:val="001E6F55"/>
    <w:rsid w:val="001E72E6"/>
    <w:rsid w:val="001F0A5B"/>
    <w:rsid w:val="001F0E1B"/>
    <w:rsid w:val="001F0E73"/>
    <w:rsid w:val="001F1599"/>
    <w:rsid w:val="001F19C4"/>
    <w:rsid w:val="001F1CBF"/>
    <w:rsid w:val="001F23C7"/>
    <w:rsid w:val="001F317F"/>
    <w:rsid w:val="001F3827"/>
    <w:rsid w:val="001F3B24"/>
    <w:rsid w:val="001F48FD"/>
    <w:rsid w:val="001F5478"/>
    <w:rsid w:val="001F5840"/>
    <w:rsid w:val="001F60C2"/>
    <w:rsid w:val="001F706D"/>
    <w:rsid w:val="001F7076"/>
    <w:rsid w:val="002002B1"/>
    <w:rsid w:val="0020089A"/>
    <w:rsid w:val="0020136B"/>
    <w:rsid w:val="00202398"/>
    <w:rsid w:val="00202E91"/>
    <w:rsid w:val="00202EF2"/>
    <w:rsid w:val="002037EA"/>
    <w:rsid w:val="002043F0"/>
    <w:rsid w:val="002046A3"/>
    <w:rsid w:val="00204750"/>
    <w:rsid w:val="00205B06"/>
    <w:rsid w:val="00205B0B"/>
    <w:rsid w:val="00206057"/>
    <w:rsid w:val="00206401"/>
    <w:rsid w:val="0020657C"/>
    <w:rsid w:val="00206B08"/>
    <w:rsid w:val="0020792C"/>
    <w:rsid w:val="00210580"/>
    <w:rsid w:val="00210C13"/>
    <w:rsid w:val="00211E0B"/>
    <w:rsid w:val="002126C1"/>
    <w:rsid w:val="0021368B"/>
    <w:rsid w:val="0021403C"/>
    <w:rsid w:val="00215648"/>
    <w:rsid w:val="00215EA3"/>
    <w:rsid w:val="00216465"/>
    <w:rsid w:val="0021692A"/>
    <w:rsid w:val="002175FF"/>
    <w:rsid w:val="00217D4C"/>
    <w:rsid w:val="00217FA4"/>
    <w:rsid w:val="00220980"/>
    <w:rsid w:val="00220C88"/>
    <w:rsid w:val="00220D3F"/>
    <w:rsid w:val="00221319"/>
    <w:rsid w:val="00221533"/>
    <w:rsid w:val="002215FA"/>
    <w:rsid w:val="00221C7A"/>
    <w:rsid w:val="00222889"/>
    <w:rsid w:val="0022374C"/>
    <w:rsid w:val="0022437B"/>
    <w:rsid w:val="0023098F"/>
    <w:rsid w:val="00231E27"/>
    <w:rsid w:val="00232575"/>
    <w:rsid w:val="00232A6D"/>
    <w:rsid w:val="002333D9"/>
    <w:rsid w:val="002338BD"/>
    <w:rsid w:val="00233EB3"/>
    <w:rsid w:val="00235339"/>
    <w:rsid w:val="00235349"/>
    <w:rsid w:val="00235597"/>
    <w:rsid w:val="00235AED"/>
    <w:rsid w:val="00236F04"/>
    <w:rsid w:val="00237AAA"/>
    <w:rsid w:val="00237ECD"/>
    <w:rsid w:val="00240319"/>
    <w:rsid w:val="002417A4"/>
    <w:rsid w:val="00242369"/>
    <w:rsid w:val="002433E9"/>
    <w:rsid w:val="0024378F"/>
    <w:rsid w:val="00243938"/>
    <w:rsid w:val="00243CEA"/>
    <w:rsid w:val="0024402B"/>
    <w:rsid w:val="0024482C"/>
    <w:rsid w:val="00244C65"/>
    <w:rsid w:val="00245549"/>
    <w:rsid w:val="00246E74"/>
    <w:rsid w:val="00247258"/>
    <w:rsid w:val="00247579"/>
    <w:rsid w:val="00250244"/>
    <w:rsid w:val="002502C1"/>
    <w:rsid w:val="002510F0"/>
    <w:rsid w:val="00252841"/>
    <w:rsid w:val="00252BA3"/>
    <w:rsid w:val="0025429E"/>
    <w:rsid w:val="002548B2"/>
    <w:rsid w:val="00255806"/>
    <w:rsid w:val="002562B0"/>
    <w:rsid w:val="00256B18"/>
    <w:rsid w:val="0025719A"/>
    <w:rsid w:val="00257CAC"/>
    <w:rsid w:val="00260575"/>
    <w:rsid w:val="00260C33"/>
    <w:rsid w:val="00261148"/>
    <w:rsid w:val="00264522"/>
    <w:rsid w:val="00264E2B"/>
    <w:rsid w:val="002658F8"/>
    <w:rsid w:val="00265DF3"/>
    <w:rsid w:val="00266596"/>
    <w:rsid w:val="002677AE"/>
    <w:rsid w:val="00270A13"/>
    <w:rsid w:val="00270FF4"/>
    <w:rsid w:val="00271062"/>
    <w:rsid w:val="002722BA"/>
    <w:rsid w:val="00272A6D"/>
    <w:rsid w:val="00272BA6"/>
    <w:rsid w:val="002735C8"/>
    <w:rsid w:val="00274CF1"/>
    <w:rsid w:val="002752C7"/>
    <w:rsid w:val="00275383"/>
    <w:rsid w:val="00275B10"/>
    <w:rsid w:val="00276E8E"/>
    <w:rsid w:val="00281093"/>
    <w:rsid w:val="002814D9"/>
    <w:rsid w:val="00282231"/>
    <w:rsid w:val="00282C1E"/>
    <w:rsid w:val="0028383C"/>
    <w:rsid w:val="0028433C"/>
    <w:rsid w:val="00285D97"/>
    <w:rsid w:val="00285EB3"/>
    <w:rsid w:val="002904F4"/>
    <w:rsid w:val="0029088C"/>
    <w:rsid w:val="00291254"/>
    <w:rsid w:val="002926D8"/>
    <w:rsid w:val="0029457D"/>
    <w:rsid w:val="002950C6"/>
    <w:rsid w:val="002974E9"/>
    <w:rsid w:val="00297872"/>
    <w:rsid w:val="00297CBD"/>
    <w:rsid w:val="002A191F"/>
    <w:rsid w:val="002A34DF"/>
    <w:rsid w:val="002A353D"/>
    <w:rsid w:val="002A3CB4"/>
    <w:rsid w:val="002A752D"/>
    <w:rsid w:val="002A79B6"/>
    <w:rsid w:val="002A7F94"/>
    <w:rsid w:val="002B109A"/>
    <w:rsid w:val="002B25AF"/>
    <w:rsid w:val="002B2B4A"/>
    <w:rsid w:val="002B2F06"/>
    <w:rsid w:val="002B365D"/>
    <w:rsid w:val="002B3DCC"/>
    <w:rsid w:val="002B4713"/>
    <w:rsid w:val="002B548B"/>
    <w:rsid w:val="002B67D7"/>
    <w:rsid w:val="002B67F7"/>
    <w:rsid w:val="002B7921"/>
    <w:rsid w:val="002C1191"/>
    <w:rsid w:val="002C1631"/>
    <w:rsid w:val="002C277F"/>
    <w:rsid w:val="002C2EEC"/>
    <w:rsid w:val="002C2F19"/>
    <w:rsid w:val="002C3CA7"/>
    <w:rsid w:val="002C4375"/>
    <w:rsid w:val="002C4F4D"/>
    <w:rsid w:val="002C5787"/>
    <w:rsid w:val="002C588B"/>
    <w:rsid w:val="002C627E"/>
    <w:rsid w:val="002C6AF2"/>
    <w:rsid w:val="002C6C50"/>
    <w:rsid w:val="002C6D45"/>
    <w:rsid w:val="002C772E"/>
    <w:rsid w:val="002D1569"/>
    <w:rsid w:val="002D161A"/>
    <w:rsid w:val="002D1DA8"/>
    <w:rsid w:val="002D1FD3"/>
    <w:rsid w:val="002D3B19"/>
    <w:rsid w:val="002D4B71"/>
    <w:rsid w:val="002D4C39"/>
    <w:rsid w:val="002D5E7A"/>
    <w:rsid w:val="002D5F7D"/>
    <w:rsid w:val="002D68A3"/>
    <w:rsid w:val="002D6E53"/>
    <w:rsid w:val="002E0A7F"/>
    <w:rsid w:val="002E21D5"/>
    <w:rsid w:val="002E22E5"/>
    <w:rsid w:val="002E3C48"/>
    <w:rsid w:val="002E451F"/>
    <w:rsid w:val="002E5234"/>
    <w:rsid w:val="002E7613"/>
    <w:rsid w:val="002F046D"/>
    <w:rsid w:val="002F0974"/>
    <w:rsid w:val="002F1DC6"/>
    <w:rsid w:val="002F1EE1"/>
    <w:rsid w:val="002F2DAD"/>
    <w:rsid w:val="002F2DE2"/>
    <w:rsid w:val="002F33DB"/>
    <w:rsid w:val="002F35D5"/>
    <w:rsid w:val="002F4631"/>
    <w:rsid w:val="002F4E14"/>
    <w:rsid w:val="002F5179"/>
    <w:rsid w:val="002F688D"/>
    <w:rsid w:val="002F73BD"/>
    <w:rsid w:val="002F78B2"/>
    <w:rsid w:val="002F7FEF"/>
    <w:rsid w:val="00300AFF"/>
    <w:rsid w:val="00300F02"/>
    <w:rsid w:val="00301764"/>
    <w:rsid w:val="00302811"/>
    <w:rsid w:val="003028B0"/>
    <w:rsid w:val="0030536B"/>
    <w:rsid w:val="003065F3"/>
    <w:rsid w:val="00306CD5"/>
    <w:rsid w:val="0031038B"/>
    <w:rsid w:val="00310917"/>
    <w:rsid w:val="003133C5"/>
    <w:rsid w:val="00313C52"/>
    <w:rsid w:val="003148AE"/>
    <w:rsid w:val="00314A4A"/>
    <w:rsid w:val="00314C42"/>
    <w:rsid w:val="00316034"/>
    <w:rsid w:val="003165DD"/>
    <w:rsid w:val="0031695F"/>
    <w:rsid w:val="00317943"/>
    <w:rsid w:val="003179E0"/>
    <w:rsid w:val="00317B4A"/>
    <w:rsid w:val="00320EAF"/>
    <w:rsid w:val="00321E87"/>
    <w:rsid w:val="00321EB3"/>
    <w:rsid w:val="0032210A"/>
    <w:rsid w:val="0032272D"/>
    <w:rsid w:val="003229D8"/>
    <w:rsid w:val="00322EDB"/>
    <w:rsid w:val="00323700"/>
    <w:rsid w:val="003238B5"/>
    <w:rsid w:val="003238DF"/>
    <w:rsid w:val="0032616D"/>
    <w:rsid w:val="00327C73"/>
    <w:rsid w:val="00330DB6"/>
    <w:rsid w:val="00330DBA"/>
    <w:rsid w:val="00332D4E"/>
    <w:rsid w:val="00332FA6"/>
    <w:rsid w:val="003346A0"/>
    <w:rsid w:val="00334B84"/>
    <w:rsid w:val="00334E91"/>
    <w:rsid w:val="003353ED"/>
    <w:rsid w:val="00335F4D"/>
    <w:rsid w:val="003360EE"/>
    <w:rsid w:val="00336C97"/>
    <w:rsid w:val="003374C8"/>
    <w:rsid w:val="003379ED"/>
    <w:rsid w:val="00337C13"/>
    <w:rsid w:val="00337CDA"/>
    <w:rsid w:val="00337F88"/>
    <w:rsid w:val="00340332"/>
    <w:rsid w:val="00342432"/>
    <w:rsid w:val="003434CA"/>
    <w:rsid w:val="003435AA"/>
    <w:rsid w:val="00346830"/>
    <w:rsid w:val="00346CB0"/>
    <w:rsid w:val="003470D3"/>
    <w:rsid w:val="00350791"/>
    <w:rsid w:val="00350D2F"/>
    <w:rsid w:val="00351A9A"/>
    <w:rsid w:val="003524F9"/>
    <w:rsid w:val="00352BA1"/>
    <w:rsid w:val="00352D4B"/>
    <w:rsid w:val="003531C8"/>
    <w:rsid w:val="003547C3"/>
    <w:rsid w:val="00354D6A"/>
    <w:rsid w:val="00355701"/>
    <w:rsid w:val="003559FA"/>
    <w:rsid w:val="0035638C"/>
    <w:rsid w:val="00356ADE"/>
    <w:rsid w:val="00356B3C"/>
    <w:rsid w:val="00360341"/>
    <w:rsid w:val="00360370"/>
    <w:rsid w:val="003610E9"/>
    <w:rsid w:val="0036140B"/>
    <w:rsid w:val="00361C77"/>
    <w:rsid w:val="003624C6"/>
    <w:rsid w:val="0036535F"/>
    <w:rsid w:val="0036567C"/>
    <w:rsid w:val="00365EB5"/>
    <w:rsid w:val="0036620B"/>
    <w:rsid w:val="003667AB"/>
    <w:rsid w:val="003669AD"/>
    <w:rsid w:val="003707E7"/>
    <w:rsid w:val="00371F0B"/>
    <w:rsid w:val="003727E5"/>
    <w:rsid w:val="00373F02"/>
    <w:rsid w:val="00375E71"/>
    <w:rsid w:val="00377B84"/>
    <w:rsid w:val="00380A1E"/>
    <w:rsid w:val="00380F6F"/>
    <w:rsid w:val="003822EC"/>
    <w:rsid w:val="00382C6B"/>
    <w:rsid w:val="00382E61"/>
    <w:rsid w:val="00383694"/>
    <w:rsid w:val="003837BC"/>
    <w:rsid w:val="00385050"/>
    <w:rsid w:val="00386599"/>
    <w:rsid w:val="003867B1"/>
    <w:rsid w:val="00387427"/>
    <w:rsid w:val="003915B9"/>
    <w:rsid w:val="00392851"/>
    <w:rsid w:val="00392AE2"/>
    <w:rsid w:val="0039378C"/>
    <w:rsid w:val="00396281"/>
    <w:rsid w:val="00396694"/>
    <w:rsid w:val="0039697A"/>
    <w:rsid w:val="00396D59"/>
    <w:rsid w:val="00396DF4"/>
    <w:rsid w:val="00397080"/>
    <w:rsid w:val="003970E2"/>
    <w:rsid w:val="003A06C6"/>
    <w:rsid w:val="003A0853"/>
    <w:rsid w:val="003A12B5"/>
    <w:rsid w:val="003A1E7F"/>
    <w:rsid w:val="003A268D"/>
    <w:rsid w:val="003A46BB"/>
    <w:rsid w:val="003A4956"/>
    <w:rsid w:val="003A4EC7"/>
    <w:rsid w:val="003A6450"/>
    <w:rsid w:val="003A7295"/>
    <w:rsid w:val="003B1495"/>
    <w:rsid w:val="003B1F39"/>
    <w:rsid w:val="003B1F60"/>
    <w:rsid w:val="003B20DA"/>
    <w:rsid w:val="003B244B"/>
    <w:rsid w:val="003B2FC5"/>
    <w:rsid w:val="003B352A"/>
    <w:rsid w:val="003B460E"/>
    <w:rsid w:val="003B472B"/>
    <w:rsid w:val="003B485B"/>
    <w:rsid w:val="003C0A51"/>
    <w:rsid w:val="003C1565"/>
    <w:rsid w:val="003C2A41"/>
    <w:rsid w:val="003C2CC4"/>
    <w:rsid w:val="003C3A07"/>
    <w:rsid w:val="003C43EC"/>
    <w:rsid w:val="003C6A54"/>
    <w:rsid w:val="003C6F55"/>
    <w:rsid w:val="003C706B"/>
    <w:rsid w:val="003D11DE"/>
    <w:rsid w:val="003D12B6"/>
    <w:rsid w:val="003D1399"/>
    <w:rsid w:val="003D1401"/>
    <w:rsid w:val="003D156F"/>
    <w:rsid w:val="003D2B01"/>
    <w:rsid w:val="003D2D2D"/>
    <w:rsid w:val="003D2D59"/>
    <w:rsid w:val="003D4172"/>
    <w:rsid w:val="003D4B23"/>
    <w:rsid w:val="003D5ED7"/>
    <w:rsid w:val="003D6807"/>
    <w:rsid w:val="003D6864"/>
    <w:rsid w:val="003D7BC1"/>
    <w:rsid w:val="003E1174"/>
    <w:rsid w:val="003E209F"/>
    <w:rsid w:val="003E278A"/>
    <w:rsid w:val="003E379F"/>
    <w:rsid w:val="003E3B2D"/>
    <w:rsid w:val="003E4499"/>
    <w:rsid w:val="003E4E32"/>
    <w:rsid w:val="003E55A4"/>
    <w:rsid w:val="003E6727"/>
    <w:rsid w:val="003F0264"/>
    <w:rsid w:val="003F257A"/>
    <w:rsid w:val="003F2659"/>
    <w:rsid w:val="003F3655"/>
    <w:rsid w:val="003F3B6A"/>
    <w:rsid w:val="003F4A6C"/>
    <w:rsid w:val="003F4AC6"/>
    <w:rsid w:val="003F4CE4"/>
    <w:rsid w:val="00400B29"/>
    <w:rsid w:val="004011F4"/>
    <w:rsid w:val="00401758"/>
    <w:rsid w:val="00402198"/>
    <w:rsid w:val="00402540"/>
    <w:rsid w:val="00402A7D"/>
    <w:rsid w:val="00402ABC"/>
    <w:rsid w:val="00403246"/>
    <w:rsid w:val="00403377"/>
    <w:rsid w:val="004073DA"/>
    <w:rsid w:val="00407897"/>
    <w:rsid w:val="004108F6"/>
    <w:rsid w:val="004109C2"/>
    <w:rsid w:val="0041189F"/>
    <w:rsid w:val="00412C1C"/>
    <w:rsid w:val="00412D01"/>
    <w:rsid w:val="00412E20"/>
    <w:rsid w:val="00413520"/>
    <w:rsid w:val="00413D2D"/>
    <w:rsid w:val="00415E5E"/>
    <w:rsid w:val="00416041"/>
    <w:rsid w:val="00416ED3"/>
    <w:rsid w:val="00417267"/>
    <w:rsid w:val="0042038B"/>
    <w:rsid w:val="0042059C"/>
    <w:rsid w:val="004211EB"/>
    <w:rsid w:val="004214C2"/>
    <w:rsid w:val="0042179E"/>
    <w:rsid w:val="00421A51"/>
    <w:rsid w:val="00421E1D"/>
    <w:rsid w:val="00422C12"/>
    <w:rsid w:val="00423689"/>
    <w:rsid w:val="0042372B"/>
    <w:rsid w:val="00424380"/>
    <w:rsid w:val="00425D07"/>
    <w:rsid w:val="00426040"/>
    <w:rsid w:val="004264E0"/>
    <w:rsid w:val="00426566"/>
    <w:rsid w:val="00426632"/>
    <w:rsid w:val="00426C17"/>
    <w:rsid w:val="004309A0"/>
    <w:rsid w:val="004309BD"/>
    <w:rsid w:val="00431398"/>
    <w:rsid w:val="004325CB"/>
    <w:rsid w:val="00432951"/>
    <w:rsid w:val="00432DFA"/>
    <w:rsid w:val="0043349E"/>
    <w:rsid w:val="00433F99"/>
    <w:rsid w:val="004348D1"/>
    <w:rsid w:val="004358E4"/>
    <w:rsid w:val="004363EA"/>
    <w:rsid w:val="00436595"/>
    <w:rsid w:val="00436D14"/>
    <w:rsid w:val="00437C19"/>
    <w:rsid w:val="004402C0"/>
    <w:rsid w:val="00440761"/>
    <w:rsid w:val="00440A07"/>
    <w:rsid w:val="004418E3"/>
    <w:rsid w:val="00442355"/>
    <w:rsid w:val="00442D36"/>
    <w:rsid w:val="00442F21"/>
    <w:rsid w:val="00443D05"/>
    <w:rsid w:val="0044455F"/>
    <w:rsid w:val="00444941"/>
    <w:rsid w:val="00444A43"/>
    <w:rsid w:val="0044728B"/>
    <w:rsid w:val="00447D60"/>
    <w:rsid w:val="0045051D"/>
    <w:rsid w:val="0045059C"/>
    <w:rsid w:val="00450C92"/>
    <w:rsid w:val="00451691"/>
    <w:rsid w:val="00452275"/>
    <w:rsid w:val="00452538"/>
    <w:rsid w:val="004531E7"/>
    <w:rsid w:val="00454572"/>
    <w:rsid w:val="00454640"/>
    <w:rsid w:val="00454E7E"/>
    <w:rsid w:val="004553ED"/>
    <w:rsid w:val="004563C2"/>
    <w:rsid w:val="004574E6"/>
    <w:rsid w:val="00462880"/>
    <w:rsid w:val="004647C7"/>
    <w:rsid w:val="004648B3"/>
    <w:rsid w:val="00464ACB"/>
    <w:rsid w:val="00466E4E"/>
    <w:rsid w:val="00470282"/>
    <w:rsid w:val="00471E09"/>
    <w:rsid w:val="00473A0C"/>
    <w:rsid w:val="004751D5"/>
    <w:rsid w:val="00476590"/>
    <w:rsid w:val="00476F24"/>
    <w:rsid w:val="00480E5F"/>
    <w:rsid w:val="00480F4C"/>
    <w:rsid w:val="00480F76"/>
    <w:rsid w:val="00481A21"/>
    <w:rsid w:val="00482048"/>
    <w:rsid w:val="0048275B"/>
    <w:rsid w:val="00483423"/>
    <w:rsid w:val="0048491E"/>
    <w:rsid w:val="00485BE7"/>
    <w:rsid w:val="0049044C"/>
    <w:rsid w:val="00491C61"/>
    <w:rsid w:val="00492D8C"/>
    <w:rsid w:val="00492F25"/>
    <w:rsid w:val="00493C34"/>
    <w:rsid w:val="00495410"/>
    <w:rsid w:val="0049693C"/>
    <w:rsid w:val="00497FB4"/>
    <w:rsid w:val="004A14B8"/>
    <w:rsid w:val="004A29A1"/>
    <w:rsid w:val="004A2CCD"/>
    <w:rsid w:val="004A387E"/>
    <w:rsid w:val="004A3BC6"/>
    <w:rsid w:val="004A49CE"/>
    <w:rsid w:val="004A5437"/>
    <w:rsid w:val="004A55C7"/>
    <w:rsid w:val="004A5EFE"/>
    <w:rsid w:val="004A7F33"/>
    <w:rsid w:val="004B0364"/>
    <w:rsid w:val="004B0B18"/>
    <w:rsid w:val="004B23F2"/>
    <w:rsid w:val="004B3709"/>
    <w:rsid w:val="004B3D2C"/>
    <w:rsid w:val="004B4264"/>
    <w:rsid w:val="004B4340"/>
    <w:rsid w:val="004B5321"/>
    <w:rsid w:val="004B5448"/>
    <w:rsid w:val="004B56D0"/>
    <w:rsid w:val="004B6079"/>
    <w:rsid w:val="004B60D3"/>
    <w:rsid w:val="004B6A47"/>
    <w:rsid w:val="004C00D6"/>
    <w:rsid w:val="004C0801"/>
    <w:rsid w:val="004C3429"/>
    <w:rsid w:val="004C4E9A"/>
    <w:rsid w:val="004C55B0"/>
    <w:rsid w:val="004C596C"/>
    <w:rsid w:val="004C5BCC"/>
    <w:rsid w:val="004C6A9D"/>
    <w:rsid w:val="004C6CDC"/>
    <w:rsid w:val="004C6CE0"/>
    <w:rsid w:val="004C78C7"/>
    <w:rsid w:val="004D04DB"/>
    <w:rsid w:val="004D1703"/>
    <w:rsid w:val="004D1A81"/>
    <w:rsid w:val="004D2918"/>
    <w:rsid w:val="004D3F41"/>
    <w:rsid w:val="004D43A0"/>
    <w:rsid w:val="004D526F"/>
    <w:rsid w:val="004D53FD"/>
    <w:rsid w:val="004D7565"/>
    <w:rsid w:val="004E0F31"/>
    <w:rsid w:val="004E1786"/>
    <w:rsid w:val="004E2479"/>
    <w:rsid w:val="004E2756"/>
    <w:rsid w:val="004E2F61"/>
    <w:rsid w:val="004E3E41"/>
    <w:rsid w:val="004E4283"/>
    <w:rsid w:val="004E5B83"/>
    <w:rsid w:val="004E6B2D"/>
    <w:rsid w:val="004E6B46"/>
    <w:rsid w:val="004E6ECC"/>
    <w:rsid w:val="004E71A4"/>
    <w:rsid w:val="004E7399"/>
    <w:rsid w:val="004E7EB5"/>
    <w:rsid w:val="004F06C1"/>
    <w:rsid w:val="004F07D9"/>
    <w:rsid w:val="004F10F3"/>
    <w:rsid w:val="004F2A9D"/>
    <w:rsid w:val="004F2B8C"/>
    <w:rsid w:val="004F2FBA"/>
    <w:rsid w:val="004F3590"/>
    <w:rsid w:val="004F57E1"/>
    <w:rsid w:val="004F5EE0"/>
    <w:rsid w:val="004F6281"/>
    <w:rsid w:val="004F681B"/>
    <w:rsid w:val="004F6BA0"/>
    <w:rsid w:val="0050019B"/>
    <w:rsid w:val="005002B8"/>
    <w:rsid w:val="005008DC"/>
    <w:rsid w:val="00501091"/>
    <w:rsid w:val="00501AB4"/>
    <w:rsid w:val="00501BB1"/>
    <w:rsid w:val="00501E08"/>
    <w:rsid w:val="00502384"/>
    <w:rsid w:val="00503440"/>
    <w:rsid w:val="00503BEA"/>
    <w:rsid w:val="005043AB"/>
    <w:rsid w:val="00504536"/>
    <w:rsid w:val="00505F08"/>
    <w:rsid w:val="00506150"/>
    <w:rsid w:val="00506348"/>
    <w:rsid w:val="00507CA1"/>
    <w:rsid w:val="005111B8"/>
    <w:rsid w:val="005111F9"/>
    <w:rsid w:val="00511758"/>
    <w:rsid w:val="00511E3E"/>
    <w:rsid w:val="005141AB"/>
    <w:rsid w:val="005143BB"/>
    <w:rsid w:val="005144A3"/>
    <w:rsid w:val="00514AE9"/>
    <w:rsid w:val="00514B58"/>
    <w:rsid w:val="00514CAD"/>
    <w:rsid w:val="00515765"/>
    <w:rsid w:val="00515EF8"/>
    <w:rsid w:val="005161A1"/>
    <w:rsid w:val="005163F1"/>
    <w:rsid w:val="005165F3"/>
    <w:rsid w:val="00516CF0"/>
    <w:rsid w:val="00516EA0"/>
    <w:rsid w:val="00517E22"/>
    <w:rsid w:val="00517FDD"/>
    <w:rsid w:val="0052011A"/>
    <w:rsid w:val="00520429"/>
    <w:rsid w:val="00521325"/>
    <w:rsid w:val="00523D4F"/>
    <w:rsid w:val="00523E02"/>
    <w:rsid w:val="005241CB"/>
    <w:rsid w:val="00525598"/>
    <w:rsid w:val="00525BF5"/>
    <w:rsid w:val="00525F28"/>
    <w:rsid w:val="0052632E"/>
    <w:rsid w:val="00526862"/>
    <w:rsid w:val="005272D2"/>
    <w:rsid w:val="005274AC"/>
    <w:rsid w:val="00527641"/>
    <w:rsid w:val="00527E4B"/>
    <w:rsid w:val="00530817"/>
    <w:rsid w:val="005311C6"/>
    <w:rsid w:val="00531295"/>
    <w:rsid w:val="00531FB7"/>
    <w:rsid w:val="005322EB"/>
    <w:rsid w:val="0053244F"/>
    <w:rsid w:val="0053359F"/>
    <w:rsid w:val="00533616"/>
    <w:rsid w:val="005339A4"/>
    <w:rsid w:val="00534723"/>
    <w:rsid w:val="0053496A"/>
    <w:rsid w:val="00534C09"/>
    <w:rsid w:val="0053552C"/>
    <w:rsid w:val="00535ABA"/>
    <w:rsid w:val="005361E6"/>
    <w:rsid w:val="00537143"/>
    <w:rsid w:val="0053768B"/>
    <w:rsid w:val="00541822"/>
    <w:rsid w:val="005420F2"/>
    <w:rsid w:val="0054285C"/>
    <w:rsid w:val="00542DB9"/>
    <w:rsid w:val="00542F3D"/>
    <w:rsid w:val="005431CE"/>
    <w:rsid w:val="00543AEE"/>
    <w:rsid w:val="00543BC9"/>
    <w:rsid w:val="00544E86"/>
    <w:rsid w:val="0054526B"/>
    <w:rsid w:val="00545292"/>
    <w:rsid w:val="005458E3"/>
    <w:rsid w:val="005468CE"/>
    <w:rsid w:val="00546933"/>
    <w:rsid w:val="00552334"/>
    <w:rsid w:val="00553384"/>
    <w:rsid w:val="00553850"/>
    <w:rsid w:val="00554486"/>
    <w:rsid w:val="005544F7"/>
    <w:rsid w:val="00555602"/>
    <w:rsid w:val="005558FE"/>
    <w:rsid w:val="00556733"/>
    <w:rsid w:val="005610C1"/>
    <w:rsid w:val="00562362"/>
    <w:rsid w:val="00562F68"/>
    <w:rsid w:val="00563325"/>
    <w:rsid w:val="00565E7C"/>
    <w:rsid w:val="00566360"/>
    <w:rsid w:val="005668B7"/>
    <w:rsid w:val="00566F95"/>
    <w:rsid w:val="00567BF8"/>
    <w:rsid w:val="00570334"/>
    <w:rsid w:val="00570D7E"/>
    <w:rsid w:val="00571BA0"/>
    <w:rsid w:val="00573CE6"/>
    <w:rsid w:val="00574A4A"/>
    <w:rsid w:val="00574F02"/>
    <w:rsid w:val="005754F6"/>
    <w:rsid w:val="0057623E"/>
    <w:rsid w:val="00576D44"/>
    <w:rsid w:val="00580432"/>
    <w:rsid w:val="00580F0F"/>
    <w:rsid w:val="00581CA6"/>
    <w:rsid w:val="00581D4A"/>
    <w:rsid w:val="00584173"/>
    <w:rsid w:val="00584627"/>
    <w:rsid w:val="00584696"/>
    <w:rsid w:val="0059039F"/>
    <w:rsid w:val="005904B9"/>
    <w:rsid w:val="00590AFF"/>
    <w:rsid w:val="00591383"/>
    <w:rsid w:val="005919B8"/>
    <w:rsid w:val="0059289D"/>
    <w:rsid w:val="0059375B"/>
    <w:rsid w:val="005942E8"/>
    <w:rsid w:val="00594F18"/>
    <w:rsid w:val="00595462"/>
    <w:rsid w:val="00595520"/>
    <w:rsid w:val="00595CB0"/>
    <w:rsid w:val="005968C5"/>
    <w:rsid w:val="005A04BD"/>
    <w:rsid w:val="005A08C1"/>
    <w:rsid w:val="005A0BD4"/>
    <w:rsid w:val="005A2025"/>
    <w:rsid w:val="005A2B9B"/>
    <w:rsid w:val="005A2F21"/>
    <w:rsid w:val="005A4168"/>
    <w:rsid w:val="005A43FA"/>
    <w:rsid w:val="005A44B9"/>
    <w:rsid w:val="005A5839"/>
    <w:rsid w:val="005A6206"/>
    <w:rsid w:val="005A66C1"/>
    <w:rsid w:val="005A7760"/>
    <w:rsid w:val="005A7D18"/>
    <w:rsid w:val="005B0A7D"/>
    <w:rsid w:val="005B0BDC"/>
    <w:rsid w:val="005B0C1A"/>
    <w:rsid w:val="005B1752"/>
    <w:rsid w:val="005B1851"/>
    <w:rsid w:val="005B1BA0"/>
    <w:rsid w:val="005B1C70"/>
    <w:rsid w:val="005B3DB3"/>
    <w:rsid w:val="005C0371"/>
    <w:rsid w:val="005C13D5"/>
    <w:rsid w:val="005C1B78"/>
    <w:rsid w:val="005C2338"/>
    <w:rsid w:val="005C33A4"/>
    <w:rsid w:val="005C3974"/>
    <w:rsid w:val="005C4190"/>
    <w:rsid w:val="005C4214"/>
    <w:rsid w:val="005C4F8F"/>
    <w:rsid w:val="005C560D"/>
    <w:rsid w:val="005C576C"/>
    <w:rsid w:val="005C6154"/>
    <w:rsid w:val="005C79BC"/>
    <w:rsid w:val="005C79C8"/>
    <w:rsid w:val="005D0601"/>
    <w:rsid w:val="005D0C1C"/>
    <w:rsid w:val="005D111F"/>
    <w:rsid w:val="005D15CA"/>
    <w:rsid w:val="005D1E78"/>
    <w:rsid w:val="005D26F6"/>
    <w:rsid w:val="005D411E"/>
    <w:rsid w:val="005D47B5"/>
    <w:rsid w:val="005D4954"/>
    <w:rsid w:val="005D56C1"/>
    <w:rsid w:val="005D58F5"/>
    <w:rsid w:val="005D794C"/>
    <w:rsid w:val="005E2172"/>
    <w:rsid w:val="005E3371"/>
    <w:rsid w:val="005E411F"/>
    <w:rsid w:val="005E429A"/>
    <w:rsid w:val="005E4949"/>
    <w:rsid w:val="005E4E63"/>
    <w:rsid w:val="005E5361"/>
    <w:rsid w:val="005E5B52"/>
    <w:rsid w:val="005E6BE0"/>
    <w:rsid w:val="005E6CFE"/>
    <w:rsid w:val="005E70C5"/>
    <w:rsid w:val="005E7EF7"/>
    <w:rsid w:val="005F065E"/>
    <w:rsid w:val="005F13FB"/>
    <w:rsid w:val="005F1668"/>
    <w:rsid w:val="005F1D8D"/>
    <w:rsid w:val="005F3066"/>
    <w:rsid w:val="005F3E61"/>
    <w:rsid w:val="005F42A8"/>
    <w:rsid w:val="005F43CE"/>
    <w:rsid w:val="005F4B09"/>
    <w:rsid w:val="005F5D54"/>
    <w:rsid w:val="005F65C1"/>
    <w:rsid w:val="005F7369"/>
    <w:rsid w:val="00601136"/>
    <w:rsid w:val="00601767"/>
    <w:rsid w:val="00601C34"/>
    <w:rsid w:val="00601D34"/>
    <w:rsid w:val="00602ED6"/>
    <w:rsid w:val="0060360E"/>
    <w:rsid w:val="00604DDD"/>
    <w:rsid w:val="006052C8"/>
    <w:rsid w:val="00605444"/>
    <w:rsid w:val="00607CA2"/>
    <w:rsid w:val="00607F91"/>
    <w:rsid w:val="00610C62"/>
    <w:rsid w:val="006115CC"/>
    <w:rsid w:val="00611D81"/>
    <w:rsid w:val="00611FC4"/>
    <w:rsid w:val="00613621"/>
    <w:rsid w:val="00613FAD"/>
    <w:rsid w:val="00614B51"/>
    <w:rsid w:val="00614BF3"/>
    <w:rsid w:val="00616B69"/>
    <w:rsid w:val="00616FAC"/>
    <w:rsid w:val="006176FB"/>
    <w:rsid w:val="0062080E"/>
    <w:rsid w:val="00622AF7"/>
    <w:rsid w:val="00622F2E"/>
    <w:rsid w:val="00624BF2"/>
    <w:rsid w:val="00625178"/>
    <w:rsid w:val="00625228"/>
    <w:rsid w:val="0062553B"/>
    <w:rsid w:val="00625586"/>
    <w:rsid w:val="006259CC"/>
    <w:rsid w:val="00630FCB"/>
    <w:rsid w:val="006310B2"/>
    <w:rsid w:val="00631FD4"/>
    <w:rsid w:val="00633976"/>
    <w:rsid w:val="00634028"/>
    <w:rsid w:val="0063402F"/>
    <w:rsid w:val="0063461B"/>
    <w:rsid w:val="00634778"/>
    <w:rsid w:val="0063556F"/>
    <w:rsid w:val="00635905"/>
    <w:rsid w:val="00637B5B"/>
    <w:rsid w:val="00640375"/>
    <w:rsid w:val="00640599"/>
    <w:rsid w:val="006406FD"/>
    <w:rsid w:val="00640B26"/>
    <w:rsid w:val="00641280"/>
    <w:rsid w:val="00641562"/>
    <w:rsid w:val="00644F4D"/>
    <w:rsid w:val="00645BB1"/>
    <w:rsid w:val="00645C04"/>
    <w:rsid w:val="006463E3"/>
    <w:rsid w:val="006464BE"/>
    <w:rsid w:val="00646F35"/>
    <w:rsid w:val="006501D8"/>
    <w:rsid w:val="00651176"/>
    <w:rsid w:val="006517D5"/>
    <w:rsid w:val="00651913"/>
    <w:rsid w:val="00651BEE"/>
    <w:rsid w:val="00652CD2"/>
    <w:rsid w:val="00653269"/>
    <w:rsid w:val="00653429"/>
    <w:rsid w:val="00653B9B"/>
    <w:rsid w:val="00653BCB"/>
    <w:rsid w:val="00656DB7"/>
    <w:rsid w:val="00657334"/>
    <w:rsid w:val="006619A4"/>
    <w:rsid w:val="00662461"/>
    <w:rsid w:val="00662A54"/>
    <w:rsid w:val="00664381"/>
    <w:rsid w:val="006644C2"/>
    <w:rsid w:val="0066499A"/>
    <w:rsid w:val="00665E70"/>
    <w:rsid w:val="006662E0"/>
    <w:rsid w:val="0066664F"/>
    <w:rsid w:val="00667C92"/>
    <w:rsid w:val="00667F16"/>
    <w:rsid w:val="00671096"/>
    <w:rsid w:val="0067125E"/>
    <w:rsid w:val="00671752"/>
    <w:rsid w:val="00673B76"/>
    <w:rsid w:val="00673C73"/>
    <w:rsid w:val="006740CA"/>
    <w:rsid w:val="006745D5"/>
    <w:rsid w:val="0067483E"/>
    <w:rsid w:val="006770B2"/>
    <w:rsid w:val="0067749D"/>
    <w:rsid w:val="00677510"/>
    <w:rsid w:val="006822AD"/>
    <w:rsid w:val="00682467"/>
    <w:rsid w:val="00682731"/>
    <w:rsid w:val="0068294C"/>
    <w:rsid w:val="00682B47"/>
    <w:rsid w:val="006839FA"/>
    <w:rsid w:val="00684DE2"/>
    <w:rsid w:val="006859C7"/>
    <w:rsid w:val="0068639C"/>
    <w:rsid w:val="00687EB0"/>
    <w:rsid w:val="0069019A"/>
    <w:rsid w:val="0069157C"/>
    <w:rsid w:val="00691E8A"/>
    <w:rsid w:val="00692B7C"/>
    <w:rsid w:val="006940E1"/>
    <w:rsid w:val="00694605"/>
    <w:rsid w:val="00694EC3"/>
    <w:rsid w:val="00696B8A"/>
    <w:rsid w:val="00697660"/>
    <w:rsid w:val="006976C4"/>
    <w:rsid w:val="006A0BB9"/>
    <w:rsid w:val="006A18AA"/>
    <w:rsid w:val="006A1D18"/>
    <w:rsid w:val="006A1E15"/>
    <w:rsid w:val="006A231E"/>
    <w:rsid w:val="006A2D47"/>
    <w:rsid w:val="006A2FFF"/>
    <w:rsid w:val="006A3374"/>
    <w:rsid w:val="006A3BA8"/>
    <w:rsid w:val="006A3C72"/>
    <w:rsid w:val="006A4C6A"/>
    <w:rsid w:val="006A4D54"/>
    <w:rsid w:val="006A4EC1"/>
    <w:rsid w:val="006A6210"/>
    <w:rsid w:val="006A7392"/>
    <w:rsid w:val="006B03A1"/>
    <w:rsid w:val="006B1A63"/>
    <w:rsid w:val="006B1D6B"/>
    <w:rsid w:val="006B2B3D"/>
    <w:rsid w:val="006B48ED"/>
    <w:rsid w:val="006B5A3F"/>
    <w:rsid w:val="006B66F1"/>
    <w:rsid w:val="006B67D9"/>
    <w:rsid w:val="006B701E"/>
    <w:rsid w:val="006B7F1E"/>
    <w:rsid w:val="006C0266"/>
    <w:rsid w:val="006C0CC8"/>
    <w:rsid w:val="006C1541"/>
    <w:rsid w:val="006C168A"/>
    <w:rsid w:val="006C229C"/>
    <w:rsid w:val="006C3359"/>
    <w:rsid w:val="006C38E1"/>
    <w:rsid w:val="006C3B22"/>
    <w:rsid w:val="006C3BAD"/>
    <w:rsid w:val="006C3C30"/>
    <w:rsid w:val="006C3CBA"/>
    <w:rsid w:val="006C40CA"/>
    <w:rsid w:val="006C45B9"/>
    <w:rsid w:val="006C5535"/>
    <w:rsid w:val="006C58E7"/>
    <w:rsid w:val="006C5DB5"/>
    <w:rsid w:val="006C63CD"/>
    <w:rsid w:val="006C66C1"/>
    <w:rsid w:val="006C6A18"/>
    <w:rsid w:val="006C6EFD"/>
    <w:rsid w:val="006C6F24"/>
    <w:rsid w:val="006C7E60"/>
    <w:rsid w:val="006D0589"/>
    <w:rsid w:val="006D08B4"/>
    <w:rsid w:val="006D0A9B"/>
    <w:rsid w:val="006D134D"/>
    <w:rsid w:val="006D1A6D"/>
    <w:rsid w:val="006D21F4"/>
    <w:rsid w:val="006D239D"/>
    <w:rsid w:val="006D242B"/>
    <w:rsid w:val="006D365A"/>
    <w:rsid w:val="006D367E"/>
    <w:rsid w:val="006D3E4A"/>
    <w:rsid w:val="006D4C8F"/>
    <w:rsid w:val="006D4F66"/>
    <w:rsid w:val="006D543A"/>
    <w:rsid w:val="006D6B8F"/>
    <w:rsid w:val="006D6DE6"/>
    <w:rsid w:val="006D7550"/>
    <w:rsid w:val="006D7A54"/>
    <w:rsid w:val="006D7E8B"/>
    <w:rsid w:val="006E22A4"/>
    <w:rsid w:val="006E2450"/>
    <w:rsid w:val="006E24EF"/>
    <w:rsid w:val="006E3898"/>
    <w:rsid w:val="006E4223"/>
    <w:rsid w:val="006E46F7"/>
    <w:rsid w:val="006E4752"/>
    <w:rsid w:val="006E4792"/>
    <w:rsid w:val="006E4EB8"/>
    <w:rsid w:val="006E564B"/>
    <w:rsid w:val="006E6816"/>
    <w:rsid w:val="006E68DE"/>
    <w:rsid w:val="006E7154"/>
    <w:rsid w:val="006F0885"/>
    <w:rsid w:val="006F1B4A"/>
    <w:rsid w:val="006F1C8D"/>
    <w:rsid w:val="006F1D62"/>
    <w:rsid w:val="006F2874"/>
    <w:rsid w:val="006F2E03"/>
    <w:rsid w:val="006F399A"/>
    <w:rsid w:val="006F4058"/>
    <w:rsid w:val="006F4919"/>
    <w:rsid w:val="006F500E"/>
    <w:rsid w:val="006F71F9"/>
    <w:rsid w:val="006F7644"/>
    <w:rsid w:val="006F79E5"/>
    <w:rsid w:val="006F7DC2"/>
    <w:rsid w:val="007003CD"/>
    <w:rsid w:val="00700AC5"/>
    <w:rsid w:val="00700B10"/>
    <w:rsid w:val="007018C4"/>
    <w:rsid w:val="00703B4A"/>
    <w:rsid w:val="0070467E"/>
    <w:rsid w:val="00705968"/>
    <w:rsid w:val="007061BB"/>
    <w:rsid w:val="007061DF"/>
    <w:rsid w:val="0070701E"/>
    <w:rsid w:val="00711A9B"/>
    <w:rsid w:val="00712576"/>
    <w:rsid w:val="0071429A"/>
    <w:rsid w:val="00717C51"/>
    <w:rsid w:val="00721E04"/>
    <w:rsid w:val="00722395"/>
    <w:rsid w:val="007238F7"/>
    <w:rsid w:val="00725985"/>
    <w:rsid w:val="00725C12"/>
    <w:rsid w:val="00726209"/>
    <w:rsid w:val="0072632A"/>
    <w:rsid w:val="007266F8"/>
    <w:rsid w:val="00726951"/>
    <w:rsid w:val="00730233"/>
    <w:rsid w:val="007334CB"/>
    <w:rsid w:val="0073388B"/>
    <w:rsid w:val="00733CF7"/>
    <w:rsid w:val="007358E8"/>
    <w:rsid w:val="00736465"/>
    <w:rsid w:val="00736797"/>
    <w:rsid w:val="00736ECE"/>
    <w:rsid w:val="0073744E"/>
    <w:rsid w:val="00737789"/>
    <w:rsid w:val="00737A3B"/>
    <w:rsid w:val="00737A4F"/>
    <w:rsid w:val="00741741"/>
    <w:rsid w:val="00743491"/>
    <w:rsid w:val="0074533B"/>
    <w:rsid w:val="007454AD"/>
    <w:rsid w:val="00746CE3"/>
    <w:rsid w:val="00751220"/>
    <w:rsid w:val="0075309F"/>
    <w:rsid w:val="0075329A"/>
    <w:rsid w:val="00753618"/>
    <w:rsid w:val="00753918"/>
    <w:rsid w:val="007552EC"/>
    <w:rsid w:val="00756889"/>
    <w:rsid w:val="007606D5"/>
    <w:rsid w:val="00760822"/>
    <w:rsid w:val="007643BC"/>
    <w:rsid w:val="007655A2"/>
    <w:rsid w:val="00766880"/>
    <w:rsid w:val="00766B95"/>
    <w:rsid w:val="00766F8D"/>
    <w:rsid w:val="00771216"/>
    <w:rsid w:val="007728A5"/>
    <w:rsid w:val="00772AEA"/>
    <w:rsid w:val="007772DE"/>
    <w:rsid w:val="00777BEC"/>
    <w:rsid w:val="00780E87"/>
    <w:rsid w:val="007817EE"/>
    <w:rsid w:val="00782C36"/>
    <w:rsid w:val="00782CF8"/>
    <w:rsid w:val="007838FA"/>
    <w:rsid w:val="00783AC1"/>
    <w:rsid w:val="00785B6F"/>
    <w:rsid w:val="0078614F"/>
    <w:rsid w:val="00787260"/>
    <w:rsid w:val="00787678"/>
    <w:rsid w:val="007906A0"/>
    <w:rsid w:val="00790745"/>
    <w:rsid w:val="00790BF5"/>
    <w:rsid w:val="00791078"/>
    <w:rsid w:val="00791AAC"/>
    <w:rsid w:val="00792B01"/>
    <w:rsid w:val="00792F17"/>
    <w:rsid w:val="00792F74"/>
    <w:rsid w:val="00793F63"/>
    <w:rsid w:val="007955FB"/>
    <w:rsid w:val="00795898"/>
    <w:rsid w:val="007959FE"/>
    <w:rsid w:val="007979CA"/>
    <w:rsid w:val="00797A2A"/>
    <w:rsid w:val="00797FBA"/>
    <w:rsid w:val="007A0220"/>
    <w:rsid w:val="007A0CF1"/>
    <w:rsid w:val="007A0E6B"/>
    <w:rsid w:val="007A131E"/>
    <w:rsid w:val="007A199B"/>
    <w:rsid w:val="007A1E3F"/>
    <w:rsid w:val="007A1FB9"/>
    <w:rsid w:val="007A2D59"/>
    <w:rsid w:val="007A2F32"/>
    <w:rsid w:val="007A329D"/>
    <w:rsid w:val="007A5E7E"/>
    <w:rsid w:val="007A6CE7"/>
    <w:rsid w:val="007A7C24"/>
    <w:rsid w:val="007A7DA2"/>
    <w:rsid w:val="007B07FD"/>
    <w:rsid w:val="007B1415"/>
    <w:rsid w:val="007B4C06"/>
    <w:rsid w:val="007B4F87"/>
    <w:rsid w:val="007B503C"/>
    <w:rsid w:val="007B6BA5"/>
    <w:rsid w:val="007B786B"/>
    <w:rsid w:val="007C1662"/>
    <w:rsid w:val="007C183A"/>
    <w:rsid w:val="007C2A05"/>
    <w:rsid w:val="007C3390"/>
    <w:rsid w:val="007C3BA3"/>
    <w:rsid w:val="007C4106"/>
    <w:rsid w:val="007C42D8"/>
    <w:rsid w:val="007C4F4B"/>
    <w:rsid w:val="007C575A"/>
    <w:rsid w:val="007C5974"/>
    <w:rsid w:val="007C5A80"/>
    <w:rsid w:val="007C5CC3"/>
    <w:rsid w:val="007C6D88"/>
    <w:rsid w:val="007C720A"/>
    <w:rsid w:val="007C727A"/>
    <w:rsid w:val="007C7CEB"/>
    <w:rsid w:val="007D009C"/>
    <w:rsid w:val="007D03D5"/>
    <w:rsid w:val="007D1278"/>
    <w:rsid w:val="007D3A4A"/>
    <w:rsid w:val="007D4728"/>
    <w:rsid w:val="007D582A"/>
    <w:rsid w:val="007D5A17"/>
    <w:rsid w:val="007D6119"/>
    <w:rsid w:val="007D63A4"/>
    <w:rsid w:val="007D663D"/>
    <w:rsid w:val="007D66D4"/>
    <w:rsid w:val="007D681E"/>
    <w:rsid w:val="007D7362"/>
    <w:rsid w:val="007E043A"/>
    <w:rsid w:val="007E0AF4"/>
    <w:rsid w:val="007E1CEB"/>
    <w:rsid w:val="007E287E"/>
    <w:rsid w:val="007E2AC5"/>
    <w:rsid w:val="007E390B"/>
    <w:rsid w:val="007E3FCA"/>
    <w:rsid w:val="007E4623"/>
    <w:rsid w:val="007E47E7"/>
    <w:rsid w:val="007E66C0"/>
    <w:rsid w:val="007F0129"/>
    <w:rsid w:val="007F0425"/>
    <w:rsid w:val="007F0D8B"/>
    <w:rsid w:val="007F11F0"/>
    <w:rsid w:val="007F1E6C"/>
    <w:rsid w:val="007F1EEC"/>
    <w:rsid w:val="007F2035"/>
    <w:rsid w:val="007F20C0"/>
    <w:rsid w:val="007F3D07"/>
    <w:rsid w:val="007F3DD7"/>
    <w:rsid w:val="007F4194"/>
    <w:rsid w:val="007F4B9E"/>
    <w:rsid w:val="007F5269"/>
    <w:rsid w:val="007F5C00"/>
    <w:rsid w:val="007F5CCA"/>
    <w:rsid w:val="007F5CE2"/>
    <w:rsid w:val="007F6611"/>
    <w:rsid w:val="007F6F42"/>
    <w:rsid w:val="008001FA"/>
    <w:rsid w:val="008008DF"/>
    <w:rsid w:val="00800F49"/>
    <w:rsid w:val="00804037"/>
    <w:rsid w:val="00804A30"/>
    <w:rsid w:val="008060A3"/>
    <w:rsid w:val="0080640A"/>
    <w:rsid w:val="00810211"/>
    <w:rsid w:val="00810BAC"/>
    <w:rsid w:val="00812CB0"/>
    <w:rsid w:val="008134E1"/>
    <w:rsid w:val="00814642"/>
    <w:rsid w:val="0081616C"/>
    <w:rsid w:val="0081675B"/>
    <w:rsid w:val="0081718D"/>
    <w:rsid w:val="008175E9"/>
    <w:rsid w:val="0082087E"/>
    <w:rsid w:val="00820B7D"/>
    <w:rsid w:val="0082102A"/>
    <w:rsid w:val="008219C3"/>
    <w:rsid w:val="00821D7F"/>
    <w:rsid w:val="00822B9A"/>
    <w:rsid w:val="00823AAD"/>
    <w:rsid w:val="008242D7"/>
    <w:rsid w:val="00824F32"/>
    <w:rsid w:val="008255CD"/>
    <w:rsid w:val="0082577B"/>
    <w:rsid w:val="00825F48"/>
    <w:rsid w:val="00826CAA"/>
    <w:rsid w:val="00827670"/>
    <w:rsid w:val="0083041C"/>
    <w:rsid w:val="00832394"/>
    <w:rsid w:val="008340EE"/>
    <w:rsid w:val="00837038"/>
    <w:rsid w:val="008379F4"/>
    <w:rsid w:val="00837CF9"/>
    <w:rsid w:val="00840842"/>
    <w:rsid w:val="00840EBE"/>
    <w:rsid w:val="008411F8"/>
    <w:rsid w:val="00843674"/>
    <w:rsid w:val="0084369B"/>
    <w:rsid w:val="00843A8A"/>
    <w:rsid w:val="00843D5A"/>
    <w:rsid w:val="00844217"/>
    <w:rsid w:val="0084453E"/>
    <w:rsid w:val="00845137"/>
    <w:rsid w:val="00846B01"/>
    <w:rsid w:val="00846C31"/>
    <w:rsid w:val="008519C0"/>
    <w:rsid w:val="008529D9"/>
    <w:rsid w:val="00853C0E"/>
    <w:rsid w:val="00854CE4"/>
    <w:rsid w:val="00854F00"/>
    <w:rsid w:val="0085616C"/>
    <w:rsid w:val="0086022A"/>
    <w:rsid w:val="00861A3C"/>
    <w:rsid w:val="00863468"/>
    <w:rsid w:val="00864A64"/>
    <w:rsid w:val="00864F21"/>
    <w:rsid w:val="008659A7"/>
    <w:rsid w:val="00865BF8"/>
    <w:rsid w:val="00865F21"/>
    <w:rsid w:val="0086622A"/>
    <w:rsid w:val="00866760"/>
    <w:rsid w:val="00866893"/>
    <w:rsid w:val="00866E93"/>
    <w:rsid w:val="00866F02"/>
    <w:rsid w:val="0086793F"/>
    <w:rsid w:val="00867D18"/>
    <w:rsid w:val="008705B4"/>
    <w:rsid w:val="008706B8"/>
    <w:rsid w:val="00871F68"/>
    <w:rsid w:val="00871F9A"/>
    <w:rsid w:val="00871FD5"/>
    <w:rsid w:val="00872FF7"/>
    <w:rsid w:val="00874D32"/>
    <w:rsid w:val="00874F86"/>
    <w:rsid w:val="008772FF"/>
    <w:rsid w:val="0087748D"/>
    <w:rsid w:val="00880955"/>
    <w:rsid w:val="00880C45"/>
    <w:rsid w:val="00880F79"/>
    <w:rsid w:val="008814C2"/>
    <w:rsid w:val="0088172E"/>
    <w:rsid w:val="00881EF9"/>
    <w:rsid w:val="00881EFA"/>
    <w:rsid w:val="00882A13"/>
    <w:rsid w:val="008832BC"/>
    <w:rsid w:val="00883356"/>
    <w:rsid w:val="0088473C"/>
    <w:rsid w:val="00884D23"/>
    <w:rsid w:val="00885547"/>
    <w:rsid w:val="0088614C"/>
    <w:rsid w:val="008869C0"/>
    <w:rsid w:val="008869D1"/>
    <w:rsid w:val="008874C1"/>
    <w:rsid w:val="008879CB"/>
    <w:rsid w:val="00887CA3"/>
    <w:rsid w:val="00890087"/>
    <w:rsid w:val="0089170C"/>
    <w:rsid w:val="00891960"/>
    <w:rsid w:val="00891BAB"/>
    <w:rsid w:val="00891ED9"/>
    <w:rsid w:val="008922F6"/>
    <w:rsid w:val="00892778"/>
    <w:rsid w:val="00893064"/>
    <w:rsid w:val="008945CB"/>
    <w:rsid w:val="00894EC5"/>
    <w:rsid w:val="00895F2A"/>
    <w:rsid w:val="00896369"/>
    <w:rsid w:val="00896F08"/>
    <w:rsid w:val="008979B1"/>
    <w:rsid w:val="00897C6F"/>
    <w:rsid w:val="008A0D86"/>
    <w:rsid w:val="008A0FAD"/>
    <w:rsid w:val="008A2250"/>
    <w:rsid w:val="008A352C"/>
    <w:rsid w:val="008A4191"/>
    <w:rsid w:val="008A4279"/>
    <w:rsid w:val="008A4A98"/>
    <w:rsid w:val="008A5772"/>
    <w:rsid w:val="008A6B25"/>
    <w:rsid w:val="008A6C4F"/>
    <w:rsid w:val="008A6D19"/>
    <w:rsid w:val="008A7340"/>
    <w:rsid w:val="008A7E01"/>
    <w:rsid w:val="008B1754"/>
    <w:rsid w:val="008B1932"/>
    <w:rsid w:val="008B1F84"/>
    <w:rsid w:val="008B2066"/>
    <w:rsid w:val="008B296E"/>
    <w:rsid w:val="008B2DD6"/>
    <w:rsid w:val="008B389E"/>
    <w:rsid w:val="008B5281"/>
    <w:rsid w:val="008B59D0"/>
    <w:rsid w:val="008B605E"/>
    <w:rsid w:val="008B66F1"/>
    <w:rsid w:val="008C104F"/>
    <w:rsid w:val="008C17DC"/>
    <w:rsid w:val="008C218D"/>
    <w:rsid w:val="008C2393"/>
    <w:rsid w:val="008C2915"/>
    <w:rsid w:val="008C3297"/>
    <w:rsid w:val="008C3C15"/>
    <w:rsid w:val="008C40B5"/>
    <w:rsid w:val="008C4624"/>
    <w:rsid w:val="008C4E42"/>
    <w:rsid w:val="008C6E27"/>
    <w:rsid w:val="008D0176"/>
    <w:rsid w:val="008D045E"/>
    <w:rsid w:val="008D064A"/>
    <w:rsid w:val="008D1101"/>
    <w:rsid w:val="008D1AE0"/>
    <w:rsid w:val="008D226E"/>
    <w:rsid w:val="008D24A3"/>
    <w:rsid w:val="008D32C3"/>
    <w:rsid w:val="008D345B"/>
    <w:rsid w:val="008D3F25"/>
    <w:rsid w:val="008D44BD"/>
    <w:rsid w:val="008D4D82"/>
    <w:rsid w:val="008D760E"/>
    <w:rsid w:val="008E0354"/>
    <w:rsid w:val="008E0E46"/>
    <w:rsid w:val="008E3AEC"/>
    <w:rsid w:val="008E4844"/>
    <w:rsid w:val="008E499E"/>
    <w:rsid w:val="008E4ACE"/>
    <w:rsid w:val="008E7116"/>
    <w:rsid w:val="008F093A"/>
    <w:rsid w:val="008F096D"/>
    <w:rsid w:val="008F0B38"/>
    <w:rsid w:val="008F143B"/>
    <w:rsid w:val="008F2E8A"/>
    <w:rsid w:val="008F3882"/>
    <w:rsid w:val="008F3CFA"/>
    <w:rsid w:val="008F4B7C"/>
    <w:rsid w:val="008F7486"/>
    <w:rsid w:val="00900673"/>
    <w:rsid w:val="00901FEE"/>
    <w:rsid w:val="009065DD"/>
    <w:rsid w:val="0090676D"/>
    <w:rsid w:val="009068F6"/>
    <w:rsid w:val="00906BE8"/>
    <w:rsid w:val="00907292"/>
    <w:rsid w:val="00907D74"/>
    <w:rsid w:val="00910058"/>
    <w:rsid w:val="00910D21"/>
    <w:rsid w:val="009114A7"/>
    <w:rsid w:val="0091271F"/>
    <w:rsid w:val="009127AF"/>
    <w:rsid w:val="009130C2"/>
    <w:rsid w:val="00913101"/>
    <w:rsid w:val="00914367"/>
    <w:rsid w:val="00915611"/>
    <w:rsid w:val="00915784"/>
    <w:rsid w:val="0091582D"/>
    <w:rsid w:val="00915E6E"/>
    <w:rsid w:val="0091609E"/>
    <w:rsid w:val="00917289"/>
    <w:rsid w:val="00917DAB"/>
    <w:rsid w:val="0092051A"/>
    <w:rsid w:val="00920BC8"/>
    <w:rsid w:val="009223E6"/>
    <w:rsid w:val="009233BA"/>
    <w:rsid w:val="00923F13"/>
    <w:rsid w:val="009252BC"/>
    <w:rsid w:val="00926E47"/>
    <w:rsid w:val="00927BB5"/>
    <w:rsid w:val="00927D57"/>
    <w:rsid w:val="009301B3"/>
    <w:rsid w:val="009304B8"/>
    <w:rsid w:val="00930F31"/>
    <w:rsid w:val="00932A6D"/>
    <w:rsid w:val="00933E8B"/>
    <w:rsid w:val="00935AA3"/>
    <w:rsid w:val="00936881"/>
    <w:rsid w:val="00936B9B"/>
    <w:rsid w:val="009378E3"/>
    <w:rsid w:val="00940DB8"/>
    <w:rsid w:val="00943D76"/>
    <w:rsid w:val="00944045"/>
    <w:rsid w:val="00944CFC"/>
    <w:rsid w:val="009451E4"/>
    <w:rsid w:val="00947162"/>
    <w:rsid w:val="0095008E"/>
    <w:rsid w:val="00951C16"/>
    <w:rsid w:val="009540C6"/>
    <w:rsid w:val="0095419E"/>
    <w:rsid w:val="0095500C"/>
    <w:rsid w:val="009558CB"/>
    <w:rsid w:val="00956144"/>
    <w:rsid w:val="0095625B"/>
    <w:rsid w:val="00956B7E"/>
    <w:rsid w:val="00956ECF"/>
    <w:rsid w:val="009575F1"/>
    <w:rsid w:val="00957FC1"/>
    <w:rsid w:val="009610D0"/>
    <w:rsid w:val="00962265"/>
    <w:rsid w:val="0096375C"/>
    <w:rsid w:val="0096535F"/>
    <w:rsid w:val="009658C0"/>
    <w:rsid w:val="00966017"/>
    <w:rsid w:val="009661FB"/>
    <w:rsid w:val="009662E6"/>
    <w:rsid w:val="00966772"/>
    <w:rsid w:val="00967BA3"/>
    <w:rsid w:val="00967E0B"/>
    <w:rsid w:val="0097095E"/>
    <w:rsid w:val="00970E30"/>
    <w:rsid w:val="00971472"/>
    <w:rsid w:val="0097153A"/>
    <w:rsid w:val="009718BB"/>
    <w:rsid w:val="0097255C"/>
    <w:rsid w:val="00973867"/>
    <w:rsid w:val="00973E55"/>
    <w:rsid w:val="00974792"/>
    <w:rsid w:val="0097535A"/>
    <w:rsid w:val="0097566C"/>
    <w:rsid w:val="00975FA7"/>
    <w:rsid w:val="0097613D"/>
    <w:rsid w:val="009772BE"/>
    <w:rsid w:val="00980EFE"/>
    <w:rsid w:val="009830B5"/>
    <w:rsid w:val="00983D24"/>
    <w:rsid w:val="00984CA3"/>
    <w:rsid w:val="0098580D"/>
    <w:rsid w:val="0098592B"/>
    <w:rsid w:val="00985948"/>
    <w:rsid w:val="00985A3B"/>
    <w:rsid w:val="00985FC4"/>
    <w:rsid w:val="00987C6B"/>
    <w:rsid w:val="0099026D"/>
    <w:rsid w:val="00990766"/>
    <w:rsid w:val="00990AE7"/>
    <w:rsid w:val="00991261"/>
    <w:rsid w:val="00991410"/>
    <w:rsid w:val="00991616"/>
    <w:rsid w:val="00991DCF"/>
    <w:rsid w:val="00991FFC"/>
    <w:rsid w:val="00992AF4"/>
    <w:rsid w:val="00992EC3"/>
    <w:rsid w:val="00992FE8"/>
    <w:rsid w:val="0099319E"/>
    <w:rsid w:val="0099374E"/>
    <w:rsid w:val="00993CF1"/>
    <w:rsid w:val="009941AD"/>
    <w:rsid w:val="009950E9"/>
    <w:rsid w:val="00995A1B"/>
    <w:rsid w:val="009964C4"/>
    <w:rsid w:val="00997955"/>
    <w:rsid w:val="009A03BC"/>
    <w:rsid w:val="009A1363"/>
    <w:rsid w:val="009A1847"/>
    <w:rsid w:val="009A1F5E"/>
    <w:rsid w:val="009A2665"/>
    <w:rsid w:val="009A28FC"/>
    <w:rsid w:val="009A2DF0"/>
    <w:rsid w:val="009A2DF8"/>
    <w:rsid w:val="009A3419"/>
    <w:rsid w:val="009A3830"/>
    <w:rsid w:val="009A3E8C"/>
    <w:rsid w:val="009A4629"/>
    <w:rsid w:val="009A50B7"/>
    <w:rsid w:val="009A52E8"/>
    <w:rsid w:val="009A659F"/>
    <w:rsid w:val="009A7B81"/>
    <w:rsid w:val="009B0165"/>
    <w:rsid w:val="009B0A90"/>
    <w:rsid w:val="009B2C45"/>
    <w:rsid w:val="009B2E46"/>
    <w:rsid w:val="009B3162"/>
    <w:rsid w:val="009B33F8"/>
    <w:rsid w:val="009B42E8"/>
    <w:rsid w:val="009B4B30"/>
    <w:rsid w:val="009B596C"/>
    <w:rsid w:val="009B6E0C"/>
    <w:rsid w:val="009B7683"/>
    <w:rsid w:val="009C0C27"/>
    <w:rsid w:val="009C2A55"/>
    <w:rsid w:val="009C2BB1"/>
    <w:rsid w:val="009C38AA"/>
    <w:rsid w:val="009C39D6"/>
    <w:rsid w:val="009C3BDF"/>
    <w:rsid w:val="009C3DFF"/>
    <w:rsid w:val="009C4382"/>
    <w:rsid w:val="009C497E"/>
    <w:rsid w:val="009C5168"/>
    <w:rsid w:val="009C674D"/>
    <w:rsid w:val="009C6BD3"/>
    <w:rsid w:val="009D01C0"/>
    <w:rsid w:val="009D027F"/>
    <w:rsid w:val="009D35A2"/>
    <w:rsid w:val="009D35D9"/>
    <w:rsid w:val="009D4179"/>
    <w:rsid w:val="009D43BA"/>
    <w:rsid w:val="009D6A08"/>
    <w:rsid w:val="009D722A"/>
    <w:rsid w:val="009D79DD"/>
    <w:rsid w:val="009E0A16"/>
    <w:rsid w:val="009E0A33"/>
    <w:rsid w:val="009E1D6F"/>
    <w:rsid w:val="009E21F2"/>
    <w:rsid w:val="009E27E7"/>
    <w:rsid w:val="009E2CC1"/>
    <w:rsid w:val="009E2E8D"/>
    <w:rsid w:val="009E497A"/>
    <w:rsid w:val="009E55F7"/>
    <w:rsid w:val="009E5EAD"/>
    <w:rsid w:val="009E6CB7"/>
    <w:rsid w:val="009E75CB"/>
    <w:rsid w:val="009E7970"/>
    <w:rsid w:val="009F2EAC"/>
    <w:rsid w:val="009F57E3"/>
    <w:rsid w:val="009F6161"/>
    <w:rsid w:val="009F6557"/>
    <w:rsid w:val="009F6989"/>
    <w:rsid w:val="009F7AF9"/>
    <w:rsid w:val="00A000E9"/>
    <w:rsid w:val="00A00766"/>
    <w:rsid w:val="00A00983"/>
    <w:rsid w:val="00A00B6F"/>
    <w:rsid w:val="00A023B9"/>
    <w:rsid w:val="00A03769"/>
    <w:rsid w:val="00A03AF8"/>
    <w:rsid w:val="00A048E6"/>
    <w:rsid w:val="00A07840"/>
    <w:rsid w:val="00A10B26"/>
    <w:rsid w:val="00A10F4F"/>
    <w:rsid w:val="00A11067"/>
    <w:rsid w:val="00A12258"/>
    <w:rsid w:val="00A12FDD"/>
    <w:rsid w:val="00A141CA"/>
    <w:rsid w:val="00A14D8A"/>
    <w:rsid w:val="00A15170"/>
    <w:rsid w:val="00A15E7D"/>
    <w:rsid w:val="00A16FD3"/>
    <w:rsid w:val="00A16FF1"/>
    <w:rsid w:val="00A17026"/>
    <w:rsid w:val="00A1704A"/>
    <w:rsid w:val="00A174AF"/>
    <w:rsid w:val="00A20356"/>
    <w:rsid w:val="00A20E88"/>
    <w:rsid w:val="00A2136F"/>
    <w:rsid w:val="00A2170D"/>
    <w:rsid w:val="00A21F6E"/>
    <w:rsid w:val="00A223DE"/>
    <w:rsid w:val="00A22446"/>
    <w:rsid w:val="00A224C6"/>
    <w:rsid w:val="00A24579"/>
    <w:rsid w:val="00A250E3"/>
    <w:rsid w:val="00A27A8C"/>
    <w:rsid w:val="00A27BC2"/>
    <w:rsid w:val="00A31026"/>
    <w:rsid w:val="00A31987"/>
    <w:rsid w:val="00A31BC0"/>
    <w:rsid w:val="00A321C4"/>
    <w:rsid w:val="00A34A62"/>
    <w:rsid w:val="00A34A64"/>
    <w:rsid w:val="00A350B3"/>
    <w:rsid w:val="00A354E2"/>
    <w:rsid w:val="00A356F5"/>
    <w:rsid w:val="00A35758"/>
    <w:rsid w:val="00A36792"/>
    <w:rsid w:val="00A367F4"/>
    <w:rsid w:val="00A36F54"/>
    <w:rsid w:val="00A36F69"/>
    <w:rsid w:val="00A37032"/>
    <w:rsid w:val="00A37255"/>
    <w:rsid w:val="00A377C1"/>
    <w:rsid w:val="00A40CFB"/>
    <w:rsid w:val="00A41173"/>
    <w:rsid w:val="00A415E4"/>
    <w:rsid w:val="00A417B8"/>
    <w:rsid w:val="00A41C80"/>
    <w:rsid w:val="00A41D6B"/>
    <w:rsid w:val="00A425EB"/>
    <w:rsid w:val="00A43149"/>
    <w:rsid w:val="00A43340"/>
    <w:rsid w:val="00A44CC8"/>
    <w:rsid w:val="00A4577C"/>
    <w:rsid w:val="00A4631A"/>
    <w:rsid w:val="00A4638A"/>
    <w:rsid w:val="00A46532"/>
    <w:rsid w:val="00A46870"/>
    <w:rsid w:val="00A46ABE"/>
    <w:rsid w:val="00A46DD0"/>
    <w:rsid w:val="00A5102A"/>
    <w:rsid w:val="00A516EF"/>
    <w:rsid w:val="00A51997"/>
    <w:rsid w:val="00A51CFF"/>
    <w:rsid w:val="00A5214C"/>
    <w:rsid w:val="00A52E45"/>
    <w:rsid w:val="00A53ED3"/>
    <w:rsid w:val="00A54384"/>
    <w:rsid w:val="00A5500A"/>
    <w:rsid w:val="00A553ED"/>
    <w:rsid w:val="00A55F85"/>
    <w:rsid w:val="00A56CEE"/>
    <w:rsid w:val="00A56EB2"/>
    <w:rsid w:val="00A57302"/>
    <w:rsid w:val="00A57893"/>
    <w:rsid w:val="00A60120"/>
    <w:rsid w:val="00A60D80"/>
    <w:rsid w:val="00A61507"/>
    <w:rsid w:val="00A615D4"/>
    <w:rsid w:val="00A6236B"/>
    <w:rsid w:val="00A6314B"/>
    <w:rsid w:val="00A6493C"/>
    <w:rsid w:val="00A650AA"/>
    <w:rsid w:val="00A65CE6"/>
    <w:rsid w:val="00A66B51"/>
    <w:rsid w:val="00A66C1F"/>
    <w:rsid w:val="00A6785E"/>
    <w:rsid w:val="00A71536"/>
    <w:rsid w:val="00A7198C"/>
    <w:rsid w:val="00A72F22"/>
    <w:rsid w:val="00A733BC"/>
    <w:rsid w:val="00A7449E"/>
    <w:rsid w:val="00A748A6"/>
    <w:rsid w:val="00A7576F"/>
    <w:rsid w:val="00A75D5C"/>
    <w:rsid w:val="00A765FD"/>
    <w:rsid w:val="00A76A69"/>
    <w:rsid w:val="00A76DA0"/>
    <w:rsid w:val="00A7794D"/>
    <w:rsid w:val="00A77C98"/>
    <w:rsid w:val="00A77FBE"/>
    <w:rsid w:val="00A86F96"/>
    <w:rsid w:val="00A879A4"/>
    <w:rsid w:val="00A902F4"/>
    <w:rsid w:val="00A90941"/>
    <w:rsid w:val="00A92899"/>
    <w:rsid w:val="00A92B2D"/>
    <w:rsid w:val="00A932D0"/>
    <w:rsid w:val="00A93BF3"/>
    <w:rsid w:val="00A93EAF"/>
    <w:rsid w:val="00A94110"/>
    <w:rsid w:val="00A96566"/>
    <w:rsid w:val="00A96F90"/>
    <w:rsid w:val="00A975C8"/>
    <w:rsid w:val="00AA0F1C"/>
    <w:rsid w:val="00AA0FF8"/>
    <w:rsid w:val="00AA15F7"/>
    <w:rsid w:val="00AA1848"/>
    <w:rsid w:val="00AA19D8"/>
    <w:rsid w:val="00AA1D65"/>
    <w:rsid w:val="00AA2E31"/>
    <w:rsid w:val="00AA34CC"/>
    <w:rsid w:val="00AA3E51"/>
    <w:rsid w:val="00AB0A4B"/>
    <w:rsid w:val="00AB11E4"/>
    <w:rsid w:val="00AB19D6"/>
    <w:rsid w:val="00AB2102"/>
    <w:rsid w:val="00AB2106"/>
    <w:rsid w:val="00AB26BE"/>
    <w:rsid w:val="00AB2E77"/>
    <w:rsid w:val="00AB2EA1"/>
    <w:rsid w:val="00AB324C"/>
    <w:rsid w:val="00AB3702"/>
    <w:rsid w:val="00AB3845"/>
    <w:rsid w:val="00AB6B99"/>
    <w:rsid w:val="00AB7B3C"/>
    <w:rsid w:val="00AC0C0A"/>
    <w:rsid w:val="00AC0C36"/>
    <w:rsid w:val="00AC0F2C"/>
    <w:rsid w:val="00AC2545"/>
    <w:rsid w:val="00AC27EA"/>
    <w:rsid w:val="00AC4DDB"/>
    <w:rsid w:val="00AC502A"/>
    <w:rsid w:val="00AC786D"/>
    <w:rsid w:val="00AC7B20"/>
    <w:rsid w:val="00AC7C16"/>
    <w:rsid w:val="00AC7DDE"/>
    <w:rsid w:val="00AD0112"/>
    <w:rsid w:val="00AD05F7"/>
    <w:rsid w:val="00AD0842"/>
    <w:rsid w:val="00AD153F"/>
    <w:rsid w:val="00AD1C1A"/>
    <w:rsid w:val="00AD1F1C"/>
    <w:rsid w:val="00AD27D1"/>
    <w:rsid w:val="00AD336F"/>
    <w:rsid w:val="00AD3691"/>
    <w:rsid w:val="00AD4144"/>
    <w:rsid w:val="00AD4D4C"/>
    <w:rsid w:val="00AD5397"/>
    <w:rsid w:val="00AD60DD"/>
    <w:rsid w:val="00AD66C3"/>
    <w:rsid w:val="00AD6756"/>
    <w:rsid w:val="00AD7924"/>
    <w:rsid w:val="00AE029A"/>
    <w:rsid w:val="00AE07F9"/>
    <w:rsid w:val="00AE0816"/>
    <w:rsid w:val="00AE0A89"/>
    <w:rsid w:val="00AE1499"/>
    <w:rsid w:val="00AE31D8"/>
    <w:rsid w:val="00AE32F4"/>
    <w:rsid w:val="00AE337A"/>
    <w:rsid w:val="00AE37C1"/>
    <w:rsid w:val="00AE3CF3"/>
    <w:rsid w:val="00AE45A4"/>
    <w:rsid w:val="00AE5EAE"/>
    <w:rsid w:val="00AE6E81"/>
    <w:rsid w:val="00AE6F66"/>
    <w:rsid w:val="00AE7151"/>
    <w:rsid w:val="00AE736C"/>
    <w:rsid w:val="00AE7722"/>
    <w:rsid w:val="00AE7F01"/>
    <w:rsid w:val="00AF03C0"/>
    <w:rsid w:val="00AF0580"/>
    <w:rsid w:val="00AF1049"/>
    <w:rsid w:val="00AF10FB"/>
    <w:rsid w:val="00AF2B51"/>
    <w:rsid w:val="00AF58A0"/>
    <w:rsid w:val="00AF58C1"/>
    <w:rsid w:val="00AF65FC"/>
    <w:rsid w:val="00AF74E7"/>
    <w:rsid w:val="00B00671"/>
    <w:rsid w:val="00B0067F"/>
    <w:rsid w:val="00B010B2"/>
    <w:rsid w:val="00B01DAD"/>
    <w:rsid w:val="00B038EF"/>
    <w:rsid w:val="00B03B62"/>
    <w:rsid w:val="00B0450F"/>
    <w:rsid w:val="00B0571E"/>
    <w:rsid w:val="00B05984"/>
    <w:rsid w:val="00B05B84"/>
    <w:rsid w:val="00B05D66"/>
    <w:rsid w:val="00B05EF0"/>
    <w:rsid w:val="00B05F87"/>
    <w:rsid w:val="00B06643"/>
    <w:rsid w:val="00B07E39"/>
    <w:rsid w:val="00B10783"/>
    <w:rsid w:val="00B10933"/>
    <w:rsid w:val="00B119A8"/>
    <w:rsid w:val="00B12E07"/>
    <w:rsid w:val="00B15055"/>
    <w:rsid w:val="00B15329"/>
    <w:rsid w:val="00B20548"/>
    <w:rsid w:val="00B22206"/>
    <w:rsid w:val="00B22BFF"/>
    <w:rsid w:val="00B23015"/>
    <w:rsid w:val="00B24FD3"/>
    <w:rsid w:val="00B25DA9"/>
    <w:rsid w:val="00B26C76"/>
    <w:rsid w:val="00B30179"/>
    <w:rsid w:val="00B31B0F"/>
    <w:rsid w:val="00B31C4B"/>
    <w:rsid w:val="00B31EE0"/>
    <w:rsid w:val="00B33247"/>
    <w:rsid w:val="00B343E3"/>
    <w:rsid w:val="00B34B5D"/>
    <w:rsid w:val="00B35B24"/>
    <w:rsid w:val="00B35BB8"/>
    <w:rsid w:val="00B36246"/>
    <w:rsid w:val="00B362B5"/>
    <w:rsid w:val="00B37615"/>
    <w:rsid w:val="00B37693"/>
    <w:rsid w:val="00B37B15"/>
    <w:rsid w:val="00B37E11"/>
    <w:rsid w:val="00B37E85"/>
    <w:rsid w:val="00B37ED3"/>
    <w:rsid w:val="00B40D6F"/>
    <w:rsid w:val="00B410EA"/>
    <w:rsid w:val="00B42733"/>
    <w:rsid w:val="00B42F8A"/>
    <w:rsid w:val="00B43035"/>
    <w:rsid w:val="00B455D2"/>
    <w:rsid w:val="00B45BD4"/>
    <w:rsid w:val="00B45C02"/>
    <w:rsid w:val="00B45F3E"/>
    <w:rsid w:val="00B46683"/>
    <w:rsid w:val="00B46F04"/>
    <w:rsid w:val="00B47242"/>
    <w:rsid w:val="00B479A3"/>
    <w:rsid w:val="00B47C66"/>
    <w:rsid w:val="00B500EF"/>
    <w:rsid w:val="00B515C8"/>
    <w:rsid w:val="00B5166E"/>
    <w:rsid w:val="00B516E8"/>
    <w:rsid w:val="00B5171E"/>
    <w:rsid w:val="00B5194D"/>
    <w:rsid w:val="00B5433E"/>
    <w:rsid w:val="00B54CC3"/>
    <w:rsid w:val="00B55B47"/>
    <w:rsid w:val="00B564EB"/>
    <w:rsid w:val="00B565AE"/>
    <w:rsid w:val="00B56C20"/>
    <w:rsid w:val="00B574C1"/>
    <w:rsid w:val="00B57C61"/>
    <w:rsid w:val="00B57CB6"/>
    <w:rsid w:val="00B6082F"/>
    <w:rsid w:val="00B61122"/>
    <w:rsid w:val="00B6251C"/>
    <w:rsid w:val="00B62D2F"/>
    <w:rsid w:val="00B6318B"/>
    <w:rsid w:val="00B64093"/>
    <w:rsid w:val="00B64C8C"/>
    <w:rsid w:val="00B64F03"/>
    <w:rsid w:val="00B65588"/>
    <w:rsid w:val="00B66825"/>
    <w:rsid w:val="00B67A3A"/>
    <w:rsid w:val="00B67E04"/>
    <w:rsid w:val="00B72A1E"/>
    <w:rsid w:val="00B73035"/>
    <w:rsid w:val="00B73051"/>
    <w:rsid w:val="00B74164"/>
    <w:rsid w:val="00B74DC3"/>
    <w:rsid w:val="00B7554B"/>
    <w:rsid w:val="00B75ACF"/>
    <w:rsid w:val="00B75CE9"/>
    <w:rsid w:val="00B761FD"/>
    <w:rsid w:val="00B77F4E"/>
    <w:rsid w:val="00B80E84"/>
    <w:rsid w:val="00B81E12"/>
    <w:rsid w:val="00B827D2"/>
    <w:rsid w:val="00B82ADB"/>
    <w:rsid w:val="00B832B2"/>
    <w:rsid w:val="00B8330A"/>
    <w:rsid w:val="00B85D05"/>
    <w:rsid w:val="00B85D2C"/>
    <w:rsid w:val="00B85EAA"/>
    <w:rsid w:val="00B87A82"/>
    <w:rsid w:val="00B909D0"/>
    <w:rsid w:val="00B92D3C"/>
    <w:rsid w:val="00B94333"/>
    <w:rsid w:val="00B95101"/>
    <w:rsid w:val="00B97098"/>
    <w:rsid w:val="00B97AB3"/>
    <w:rsid w:val="00BA03C5"/>
    <w:rsid w:val="00BA08D9"/>
    <w:rsid w:val="00BA13F6"/>
    <w:rsid w:val="00BA22F7"/>
    <w:rsid w:val="00BA2BD0"/>
    <w:rsid w:val="00BA339B"/>
    <w:rsid w:val="00BA3F7A"/>
    <w:rsid w:val="00BA6839"/>
    <w:rsid w:val="00BA686A"/>
    <w:rsid w:val="00BA6A9E"/>
    <w:rsid w:val="00BA7CAB"/>
    <w:rsid w:val="00BB05BD"/>
    <w:rsid w:val="00BB1A7E"/>
    <w:rsid w:val="00BB243D"/>
    <w:rsid w:val="00BB2827"/>
    <w:rsid w:val="00BB35A1"/>
    <w:rsid w:val="00BB58D7"/>
    <w:rsid w:val="00BB5ECB"/>
    <w:rsid w:val="00BB5EE7"/>
    <w:rsid w:val="00BB6F52"/>
    <w:rsid w:val="00BB7154"/>
    <w:rsid w:val="00BC0404"/>
    <w:rsid w:val="00BC0C1B"/>
    <w:rsid w:val="00BC0FBB"/>
    <w:rsid w:val="00BC1830"/>
    <w:rsid w:val="00BC1DD1"/>
    <w:rsid w:val="00BC1E7E"/>
    <w:rsid w:val="00BC351B"/>
    <w:rsid w:val="00BC4191"/>
    <w:rsid w:val="00BC4F4D"/>
    <w:rsid w:val="00BC530C"/>
    <w:rsid w:val="00BC5968"/>
    <w:rsid w:val="00BC5A6A"/>
    <w:rsid w:val="00BC5C47"/>
    <w:rsid w:val="00BC6B7C"/>
    <w:rsid w:val="00BC6F19"/>
    <w:rsid w:val="00BC745A"/>
    <w:rsid w:val="00BC74E9"/>
    <w:rsid w:val="00BD09AD"/>
    <w:rsid w:val="00BD0A18"/>
    <w:rsid w:val="00BD1D39"/>
    <w:rsid w:val="00BD1F38"/>
    <w:rsid w:val="00BD25D7"/>
    <w:rsid w:val="00BD3645"/>
    <w:rsid w:val="00BD4F6D"/>
    <w:rsid w:val="00BD503B"/>
    <w:rsid w:val="00BD60EB"/>
    <w:rsid w:val="00BE0654"/>
    <w:rsid w:val="00BE1BF5"/>
    <w:rsid w:val="00BE1D4A"/>
    <w:rsid w:val="00BE1DE4"/>
    <w:rsid w:val="00BE32A4"/>
    <w:rsid w:val="00BE36A9"/>
    <w:rsid w:val="00BE429A"/>
    <w:rsid w:val="00BE618E"/>
    <w:rsid w:val="00BE684E"/>
    <w:rsid w:val="00BE7BEC"/>
    <w:rsid w:val="00BF02C4"/>
    <w:rsid w:val="00BF0A5A"/>
    <w:rsid w:val="00BF0E63"/>
    <w:rsid w:val="00BF11CD"/>
    <w:rsid w:val="00BF12A3"/>
    <w:rsid w:val="00BF16D7"/>
    <w:rsid w:val="00BF2373"/>
    <w:rsid w:val="00BF3A9D"/>
    <w:rsid w:val="00BF400E"/>
    <w:rsid w:val="00BF4544"/>
    <w:rsid w:val="00BF4B2D"/>
    <w:rsid w:val="00BF5EA5"/>
    <w:rsid w:val="00BF7666"/>
    <w:rsid w:val="00C0050D"/>
    <w:rsid w:val="00C0068A"/>
    <w:rsid w:val="00C00B6A"/>
    <w:rsid w:val="00C01265"/>
    <w:rsid w:val="00C014D7"/>
    <w:rsid w:val="00C02061"/>
    <w:rsid w:val="00C02409"/>
    <w:rsid w:val="00C041D4"/>
    <w:rsid w:val="00C044E2"/>
    <w:rsid w:val="00C04661"/>
    <w:rsid w:val="00C048CB"/>
    <w:rsid w:val="00C04983"/>
    <w:rsid w:val="00C050E4"/>
    <w:rsid w:val="00C055EC"/>
    <w:rsid w:val="00C06160"/>
    <w:rsid w:val="00C066F3"/>
    <w:rsid w:val="00C069D7"/>
    <w:rsid w:val="00C07A6F"/>
    <w:rsid w:val="00C10869"/>
    <w:rsid w:val="00C1187C"/>
    <w:rsid w:val="00C1282E"/>
    <w:rsid w:val="00C1412D"/>
    <w:rsid w:val="00C14202"/>
    <w:rsid w:val="00C155B3"/>
    <w:rsid w:val="00C15619"/>
    <w:rsid w:val="00C15DA6"/>
    <w:rsid w:val="00C1678E"/>
    <w:rsid w:val="00C16E3A"/>
    <w:rsid w:val="00C17FFA"/>
    <w:rsid w:val="00C20D71"/>
    <w:rsid w:val="00C211B8"/>
    <w:rsid w:val="00C2161E"/>
    <w:rsid w:val="00C2165E"/>
    <w:rsid w:val="00C22769"/>
    <w:rsid w:val="00C2376D"/>
    <w:rsid w:val="00C2607B"/>
    <w:rsid w:val="00C269D1"/>
    <w:rsid w:val="00C27766"/>
    <w:rsid w:val="00C3099B"/>
    <w:rsid w:val="00C31182"/>
    <w:rsid w:val="00C31678"/>
    <w:rsid w:val="00C32257"/>
    <w:rsid w:val="00C33E50"/>
    <w:rsid w:val="00C34E30"/>
    <w:rsid w:val="00C35A48"/>
    <w:rsid w:val="00C35BF9"/>
    <w:rsid w:val="00C35DE6"/>
    <w:rsid w:val="00C4116B"/>
    <w:rsid w:val="00C41D3F"/>
    <w:rsid w:val="00C42916"/>
    <w:rsid w:val="00C429FB"/>
    <w:rsid w:val="00C42C5F"/>
    <w:rsid w:val="00C42EF8"/>
    <w:rsid w:val="00C432BA"/>
    <w:rsid w:val="00C4417C"/>
    <w:rsid w:val="00C445C7"/>
    <w:rsid w:val="00C44E23"/>
    <w:rsid w:val="00C45626"/>
    <w:rsid w:val="00C45A1D"/>
    <w:rsid w:val="00C45D2E"/>
    <w:rsid w:val="00C46352"/>
    <w:rsid w:val="00C463DD"/>
    <w:rsid w:val="00C464D9"/>
    <w:rsid w:val="00C47C0D"/>
    <w:rsid w:val="00C47F13"/>
    <w:rsid w:val="00C54364"/>
    <w:rsid w:val="00C553A0"/>
    <w:rsid w:val="00C555EC"/>
    <w:rsid w:val="00C564D0"/>
    <w:rsid w:val="00C56B80"/>
    <w:rsid w:val="00C5715D"/>
    <w:rsid w:val="00C60004"/>
    <w:rsid w:val="00C61639"/>
    <w:rsid w:val="00C619CD"/>
    <w:rsid w:val="00C61B96"/>
    <w:rsid w:val="00C65835"/>
    <w:rsid w:val="00C65D4D"/>
    <w:rsid w:val="00C6700A"/>
    <w:rsid w:val="00C67217"/>
    <w:rsid w:val="00C67D6F"/>
    <w:rsid w:val="00C700C5"/>
    <w:rsid w:val="00C70A67"/>
    <w:rsid w:val="00C71ACE"/>
    <w:rsid w:val="00C72B5A"/>
    <w:rsid w:val="00C72DA9"/>
    <w:rsid w:val="00C741EE"/>
    <w:rsid w:val="00C745C3"/>
    <w:rsid w:val="00C768F6"/>
    <w:rsid w:val="00C7799F"/>
    <w:rsid w:val="00C779E4"/>
    <w:rsid w:val="00C809FB"/>
    <w:rsid w:val="00C812B8"/>
    <w:rsid w:val="00C81B92"/>
    <w:rsid w:val="00C8240A"/>
    <w:rsid w:val="00C82CF0"/>
    <w:rsid w:val="00C84919"/>
    <w:rsid w:val="00C855B7"/>
    <w:rsid w:val="00C85FD7"/>
    <w:rsid w:val="00C8779F"/>
    <w:rsid w:val="00C91F9E"/>
    <w:rsid w:val="00C9269D"/>
    <w:rsid w:val="00C937A1"/>
    <w:rsid w:val="00C93A1A"/>
    <w:rsid w:val="00C94213"/>
    <w:rsid w:val="00C94B63"/>
    <w:rsid w:val="00C96678"/>
    <w:rsid w:val="00C9743C"/>
    <w:rsid w:val="00C97BA9"/>
    <w:rsid w:val="00CA02BD"/>
    <w:rsid w:val="00CA0966"/>
    <w:rsid w:val="00CA1AC1"/>
    <w:rsid w:val="00CA24A4"/>
    <w:rsid w:val="00CA24AE"/>
    <w:rsid w:val="00CA34A6"/>
    <w:rsid w:val="00CA38CD"/>
    <w:rsid w:val="00CA42BA"/>
    <w:rsid w:val="00CA6218"/>
    <w:rsid w:val="00CA7073"/>
    <w:rsid w:val="00CA786F"/>
    <w:rsid w:val="00CB23FC"/>
    <w:rsid w:val="00CB247E"/>
    <w:rsid w:val="00CB3363"/>
    <w:rsid w:val="00CB348D"/>
    <w:rsid w:val="00CB3952"/>
    <w:rsid w:val="00CB3B0C"/>
    <w:rsid w:val="00CB7139"/>
    <w:rsid w:val="00CB793C"/>
    <w:rsid w:val="00CC1145"/>
    <w:rsid w:val="00CC1296"/>
    <w:rsid w:val="00CC28CC"/>
    <w:rsid w:val="00CC3C7B"/>
    <w:rsid w:val="00CC402C"/>
    <w:rsid w:val="00CC40BF"/>
    <w:rsid w:val="00CC5240"/>
    <w:rsid w:val="00CC7A4C"/>
    <w:rsid w:val="00CD03DD"/>
    <w:rsid w:val="00CD0E53"/>
    <w:rsid w:val="00CD18A1"/>
    <w:rsid w:val="00CD1C9C"/>
    <w:rsid w:val="00CD348F"/>
    <w:rsid w:val="00CD34E7"/>
    <w:rsid w:val="00CD3B9F"/>
    <w:rsid w:val="00CD3D74"/>
    <w:rsid w:val="00CD3EC0"/>
    <w:rsid w:val="00CD46EA"/>
    <w:rsid w:val="00CD46F5"/>
    <w:rsid w:val="00CD6679"/>
    <w:rsid w:val="00CD67FC"/>
    <w:rsid w:val="00CD6DD3"/>
    <w:rsid w:val="00CD6EF8"/>
    <w:rsid w:val="00CE0DCF"/>
    <w:rsid w:val="00CE186D"/>
    <w:rsid w:val="00CE31AA"/>
    <w:rsid w:val="00CE4A8F"/>
    <w:rsid w:val="00CE4C76"/>
    <w:rsid w:val="00CE619D"/>
    <w:rsid w:val="00CF071D"/>
    <w:rsid w:val="00CF1151"/>
    <w:rsid w:val="00CF1B99"/>
    <w:rsid w:val="00CF372E"/>
    <w:rsid w:val="00CF374B"/>
    <w:rsid w:val="00CF388E"/>
    <w:rsid w:val="00CF3C5D"/>
    <w:rsid w:val="00CF5271"/>
    <w:rsid w:val="00CF551C"/>
    <w:rsid w:val="00CF78CD"/>
    <w:rsid w:val="00D003C7"/>
    <w:rsid w:val="00D00471"/>
    <w:rsid w:val="00D00B23"/>
    <w:rsid w:val="00D01C4E"/>
    <w:rsid w:val="00D01E18"/>
    <w:rsid w:val="00D02B2E"/>
    <w:rsid w:val="00D038CB"/>
    <w:rsid w:val="00D0434A"/>
    <w:rsid w:val="00D0710E"/>
    <w:rsid w:val="00D07ACB"/>
    <w:rsid w:val="00D10049"/>
    <w:rsid w:val="00D101A6"/>
    <w:rsid w:val="00D15254"/>
    <w:rsid w:val="00D1566C"/>
    <w:rsid w:val="00D15B04"/>
    <w:rsid w:val="00D1669B"/>
    <w:rsid w:val="00D16995"/>
    <w:rsid w:val="00D2031B"/>
    <w:rsid w:val="00D21595"/>
    <w:rsid w:val="00D24440"/>
    <w:rsid w:val="00D25277"/>
    <w:rsid w:val="00D25B14"/>
    <w:rsid w:val="00D25FE2"/>
    <w:rsid w:val="00D26DAF"/>
    <w:rsid w:val="00D3044A"/>
    <w:rsid w:val="00D30B61"/>
    <w:rsid w:val="00D30B7A"/>
    <w:rsid w:val="00D31069"/>
    <w:rsid w:val="00D32507"/>
    <w:rsid w:val="00D32A38"/>
    <w:rsid w:val="00D33287"/>
    <w:rsid w:val="00D334BF"/>
    <w:rsid w:val="00D3393D"/>
    <w:rsid w:val="00D34803"/>
    <w:rsid w:val="00D349B1"/>
    <w:rsid w:val="00D34AE4"/>
    <w:rsid w:val="00D35602"/>
    <w:rsid w:val="00D35DAB"/>
    <w:rsid w:val="00D36574"/>
    <w:rsid w:val="00D36775"/>
    <w:rsid w:val="00D37DA9"/>
    <w:rsid w:val="00D37FF3"/>
    <w:rsid w:val="00D406A7"/>
    <w:rsid w:val="00D411F2"/>
    <w:rsid w:val="00D41905"/>
    <w:rsid w:val="00D41D2A"/>
    <w:rsid w:val="00D41DD3"/>
    <w:rsid w:val="00D42493"/>
    <w:rsid w:val="00D42A6B"/>
    <w:rsid w:val="00D43252"/>
    <w:rsid w:val="00D43B66"/>
    <w:rsid w:val="00D44118"/>
    <w:rsid w:val="00D442D6"/>
    <w:rsid w:val="00D44C2B"/>
    <w:rsid w:val="00D44D86"/>
    <w:rsid w:val="00D44DCC"/>
    <w:rsid w:val="00D4638C"/>
    <w:rsid w:val="00D47B42"/>
    <w:rsid w:val="00D50B7D"/>
    <w:rsid w:val="00D50EE5"/>
    <w:rsid w:val="00D50FAF"/>
    <w:rsid w:val="00D515D1"/>
    <w:rsid w:val="00D52012"/>
    <w:rsid w:val="00D523C9"/>
    <w:rsid w:val="00D534A3"/>
    <w:rsid w:val="00D54DA5"/>
    <w:rsid w:val="00D556CE"/>
    <w:rsid w:val="00D57ADB"/>
    <w:rsid w:val="00D57BEF"/>
    <w:rsid w:val="00D57EFB"/>
    <w:rsid w:val="00D607BD"/>
    <w:rsid w:val="00D62769"/>
    <w:rsid w:val="00D63BE9"/>
    <w:rsid w:val="00D666AE"/>
    <w:rsid w:val="00D704E5"/>
    <w:rsid w:val="00D709F5"/>
    <w:rsid w:val="00D70B9F"/>
    <w:rsid w:val="00D713BC"/>
    <w:rsid w:val="00D719C7"/>
    <w:rsid w:val="00D72727"/>
    <w:rsid w:val="00D72F18"/>
    <w:rsid w:val="00D7530F"/>
    <w:rsid w:val="00D76FC8"/>
    <w:rsid w:val="00D77570"/>
    <w:rsid w:val="00D803B2"/>
    <w:rsid w:val="00D8090F"/>
    <w:rsid w:val="00D82152"/>
    <w:rsid w:val="00D8254C"/>
    <w:rsid w:val="00D8374E"/>
    <w:rsid w:val="00D84447"/>
    <w:rsid w:val="00D84C9F"/>
    <w:rsid w:val="00D85BDF"/>
    <w:rsid w:val="00D8655F"/>
    <w:rsid w:val="00D87C38"/>
    <w:rsid w:val="00D87D24"/>
    <w:rsid w:val="00D905D8"/>
    <w:rsid w:val="00D91FEC"/>
    <w:rsid w:val="00D92C3F"/>
    <w:rsid w:val="00D9391C"/>
    <w:rsid w:val="00D93C25"/>
    <w:rsid w:val="00D94444"/>
    <w:rsid w:val="00D95100"/>
    <w:rsid w:val="00D95695"/>
    <w:rsid w:val="00D957D9"/>
    <w:rsid w:val="00D95D62"/>
    <w:rsid w:val="00D95DAE"/>
    <w:rsid w:val="00D963ED"/>
    <w:rsid w:val="00D978C6"/>
    <w:rsid w:val="00D97D48"/>
    <w:rsid w:val="00DA0956"/>
    <w:rsid w:val="00DA0FEA"/>
    <w:rsid w:val="00DA110A"/>
    <w:rsid w:val="00DA2686"/>
    <w:rsid w:val="00DA2C02"/>
    <w:rsid w:val="00DA357F"/>
    <w:rsid w:val="00DA39F8"/>
    <w:rsid w:val="00DA3E12"/>
    <w:rsid w:val="00DA4044"/>
    <w:rsid w:val="00DA76D6"/>
    <w:rsid w:val="00DB02B3"/>
    <w:rsid w:val="00DB03DF"/>
    <w:rsid w:val="00DB0BC5"/>
    <w:rsid w:val="00DB1AA6"/>
    <w:rsid w:val="00DB1AE2"/>
    <w:rsid w:val="00DB371F"/>
    <w:rsid w:val="00DB4F8A"/>
    <w:rsid w:val="00DB58E6"/>
    <w:rsid w:val="00DB605F"/>
    <w:rsid w:val="00DB7EFF"/>
    <w:rsid w:val="00DC18AD"/>
    <w:rsid w:val="00DC18F6"/>
    <w:rsid w:val="00DC2356"/>
    <w:rsid w:val="00DC2FC1"/>
    <w:rsid w:val="00DC35AA"/>
    <w:rsid w:val="00DC4253"/>
    <w:rsid w:val="00DC463C"/>
    <w:rsid w:val="00DC4BC6"/>
    <w:rsid w:val="00DC534C"/>
    <w:rsid w:val="00DC601F"/>
    <w:rsid w:val="00DC6803"/>
    <w:rsid w:val="00DC7A6F"/>
    <w:rsid w:val="00DC7AE8"/>
    <w:rsid w:val="00DD015F"/>
    <w:rsid w:val="00DD1286"/>
    <w:rsid w:val="00DD12D4"/>
    <w:rsid w:val="00DD22CC"/>
    <w:rsid w:val="00DD30A6"/>
    <w:rsid w:val="00DD33B7"/>
    <w:rsid w:val="00DD411B"/>
    <w:rsid w:val="00DD5075"/>
    <w:rsid w:val="00DD5BDD"/>
    <w:rsid w:val="00DD7315"/>
    <w:rsid w:val="00DE0F55"/>
    <w:rsid w:val="00DE1CB7"/>
    <w:rsid w:val="00DE44D4"/>
    <w:rsid w:val="00DE57FF"/>
    <w:rsid w:val="00DE5CDE"/>
    <w:rsid w:val="00DE71D0"/>
    <w:rsid w:val="00DE76B5"/>
    <w:rsid w:val="00DF0A52"/>
    <w:rsid w:val="00DF14FB"/>
    <w:rsid w:val="00DF189D"/>
    <w:rsid w:val="00DF1B90"/>
    <w:rsid w:val="00DF20DE"/>
    <w:rsid w:val="00DF5A69"/>
    <w:rsid w:val="00DF64D1"/>
    <w:rsid w:val="00DF6788"/>
    <w:rsid w:val="00DF69F0"/>
    <w:rsid w:val="00DF7CAE"/>
    <w:rsid w:val="00E01B83"/>
    <w:rsid w:val="00E02050"/>
    <w:rsid w:val="00E0234B"/>
    <w:rsid w:val="00E03AFC"/>
    <w:rsid w:val="00E125C6"/>
    <w:rsid w:val="00E12FA5"/>
    <w:rsid w:val="00E1393B"/>
    <w:rsid w:val="00E13CE0"/>
    <w:rsid w:val="00E2360F"/>
    <w:rsid w:val="00E23EB6"/>
    <w:rsid w:val="00E30085"/>
    <w:rsid w:val="00E30797"/>
    <w:rsid w:val="00E30880"/>
    <w:rsid w:val="00E30AC5"/>
    <w:rsid w:val="00E30B13"/>
    <w:rsid w:val="00E3301C"/>
    <w:rsid w:val="00E335E3"/>
    <w:rsid w:val="00E33BEE"/>
    <w:rsid w:val="00E35A4A"/>
    <w:rsid w:val="00E363A7"/>
    <w:rsid w:val="00E36CEB"/>
    <w:rsid w:val="00E37762"/>
    <w:rsid w:val="00E400BD"/>
    <w:rsid w:val="00E40698"/>
    <w:rsid w:val="00E42390"/>
    <w:rsid w:val="00E423C0"/>
    <w:rsid w:val="00E427D3"/>
    <w:rsid w:val="00E43133"/>
    <w:rsid w:val="00E43E4B"/>
    <w:rsid w:val="00E441CD"/>
    <w:rsid w:val="00E44AF9"/>
    <w:rsid w:val="00E44B72"/>
    <w:rsid w:val="00E469A0"/>
    <w:rsid w:val="00E51BF1"/>
    <w:rsid w:val="00E52FA8"/>
    <w:rsid w:val="00E5312D"/>
    <w:rsid w:val="00E552FF"/>
    <w:rsid w:val="00E55556"/>
    <w:rsid w:val="00E55EF6"/>
    <w:rsid w:val="00E56147"/>
    <w:rsid w:val="00E56CD4"/>
    <w:rsid w:val="00E60016"/>
    <w:rsid w:val="00E60070"/>
    <w:rsid w:val="00E6045E"/>
    <w:rsid w:val="00E61FCE"/>
    <w:rsid w:val="00E627D2"/>
    <w:rsid w:val="00E62A9C"/>
    <w:rsid w:val="00E6414C"/>
    <w:rsid w:val="00E64159"/>
    <w:rsid w:val="00E64CFA"/>
    <w:rsid w:val="00E65473"/>
    <w:rsid w:val="00E65C51"/>
    <w:rsid w:val="00E708A5"/>
    <w:rsid w:val="00E7260F"/>
    <w:rsid w:val="00E733FD"/>
    <w:rsid w:val="00E758E5"/>
    <w:rsid w:val="00E75A59"/>
    <w:rsid w:val="00E779F9"/>
    <w:rsid w:val="00E77A52"/>
    <w:rsid w:val="00E805D2"/>
    <w:rsid w:val="00E80E60"/>
    <w:rsid w:val="00E81A46"/>
    <w:rsid w:val="00E83642"/>
    <w:rsid w:val="00E83A00"/>
    <w:rsid w:val="00E84051"/>
    <w:rsid w:val="00E84BAE"/>
    <w:rsid w:val="00E8702D"/>
    <w:rsid w:val="00E90278"/>
    <w:rsid w:val="00E90D43"/>
    <w:rsid w:val="00E91425"/>
    <w:rsid w:val="00E916A9"/>
    <w:rsid w:val="00E916DE"/>
    <w:rsid w:val="00E91ADF"/>
    <w:rsid w:val="00E942AB"/>
    <w:rsid w:val="00E95AC4"/>
    <w:rsid w:val="00E96630"/>
    <w:rsid w:val="00E96AC8"/>
    <w:rsid w:val="00E97B69"/>
    <w:rsid w:val="00EA218A"/>
    <w:rsid w:val="00EA25B7"/>
    <w:rsid w:val="00EA36B0"/>
    <w:rsid w:val="00EA3D06"/>
    <w:rsid w:val="00EA4477"/>
    <w:rsid w:val="00EA5817"/>
    <w:rsid w:val="00EA5F2C"/>
    <w:rsid w:val="00EA727B"/>
    <w:rsid w:val="00EA772D"/>
    <w:rsid w:val="00EA79D3"/>
    <w:rsid w:val="00EB0309"/>
    <w:rsid w:val="00EB0335"/>
    <w:rsid w:val="00EB0659"/>
    <w:rsid w:val="00EB12AB"/>
    <w:rsid w:val="00EB1B48"/>
    <w:rsid w:val="00EB2196"/>
    <w:rsid w:val="00EB3F6A"/>
    <w:rsid w:val="00EB3F80"/>
    <w:rsid w:val="00EB4265"/>
    <w:rsid w:val="00EB480E"/>
    <w:rsid w:val="00EB509D"/>
    <w:rsid w:val="00EB51D5"/>
    <w:rsid w:val="00EB54CD"/>
    <w:rsid w:val="00EC01A0"/>
    <w:rsid w:val="00EC04B8"/>
    <w:rsid w:val="00EC04BA"/>
    <w:rsid w:val="00EC0CD4"/>
    <w:rsid w:val="00EC1311"/>
    <w:rsid w:val="00EC1D19"/>
    <w:rsid w:val="00EC2589"/>
    <w:rsid w:val="00EC280A"/>
    <w:rsid w:val="00EC3810"/>
    <w:rsid w:val="00EC4008"/>
    <w:rsid w:val="00EC51C7"/>
    <w:rsid w:val="00EC621C"/>
    <w:rsid w:val="00EC7509"/>
    <w:rsid w:val="00ED18DC"/>
    <w:rsid w:val="00ED19B9"/>
    <w:rsid w:val="00ED1C0A"/>
    <w:rsid w:val="00ED391F"/>
    <w:rsid w:val="00ED3F76"/>
    <w:rsid w:val="00ED4213"/>
    <w:rsid w:val="00ED4DBD"/>
    <w:rsid w:val="00ED6201"/>
    <w:rsid w:val="00ED6E7C"/>
    <w:rsid w:val="00ED7A2A"/>
    <w:rsid w:val="00ED7E6C"/>
    <w:rsid w:val="00EE021D"/>
    <w:rsid w:val="00EE0256"/>
    <w:rsid w:val="00EE0419"/>
    <w:rsid w:val="00EE18B1"/>
    <w:rsid w:val="00EE18B7"/>
    <w:rsid w:val="00EE2633"/>
    <w:rsid w:val="00EE2707"/>
    <w:rsid w:val="00EE32CE"/>
    <w:rsid w:val="00EE353D"/>
    <w:rsid w:val="00EE3684"/>
    <w:rsid w:val="00EE4A8F"/>
    <w:rsid w:val="00EF105A"/>
    <w:rsid w:val="00EF1530"/>
    <w:rsid w:val="00EF15AA"/>
    <w:rsid w:val="00EF1D7F"/>
    <w:rsid w:val="00EF2F2F"/>
    <w:rsid w:val="00EF34C8"/>
    <w:rsid w:val="00EF3842"/>
    <w:rsid w:val="00EF38E0"/>
    <w:rsid w:val="00EF4580"/>
    <w:rsid w:val="00EF508A"/>
    <w:rsid w:val="00EF623D"/>
    <w:rsid w:val="00EF7B9D"/>
    <w:rsid w:val="00F0113C"/>
    <w:rsid w:val="00F01186"/>
    <w:rsid w:val="00F0137E"/>
    <w:rsid w:val="00F015EB"/>
    <w:rsid w:val="00F0230E"/>
    <w:rsid w:val="00F03F6D"/>
    <w:rsid w:val="00F043A1"/>
    <w:rsid w:val="00F04DBC"/>
    <w:rsid w:val="00F053AB"/>
    <w:rsid w:val="00F06F56"/>
    <w:rsid w:val="00F0701B"/>
    <w:rsid w:val="00F10208"/>
    <w:rsid w:val="00F11C27"/>
    <w:rsid w:val="00F128EC"/>
    <w:rsid w:val="00F12BAE"/>
    <w:rsid w:val="00F12C97"/>
    <w:rsid w:val="00F1754D"/>
    <w:rsid w:val="00F2046F"/>
    <w:rsid w:val="00F204E0"/>
    <w:rsid w:val="00F21786"/>
    <w:rsid w:val="00F21BEB"/>
    <w:rsid w:val="00F21F55"/>
    <w:rsid w:val="00F2393A"/>
    <w:rsid w:val="00F23EF8"/>
    <w:rsid w:val="00F245A8"/>
    <w:rsid w:val="00F24615"/>
    <w:rsid w:val="00F25438"/>
    <w:rsid w:val="00F27300"/>
    <w:rsid w:val="00F2746B"/>
    <w:rsid w:val="00F2764C"/>
    <w:rsid w:val="00F30272"/>
    <w:rsid w:val="00F30932"/>
    <w:rsid w:val="00F3138B"/>
    <w:rsid w:val="00F3180D"/>
    <w:rsid w:val="00F3198E"/>
    <w:rsid w:val="00F32E33"/>
    <w:rsid w:val="00F335D4"/>
    <w:rsid w:val="00F34BAD"/>
    <w:rsid w:val="00F34D58"/>
    <w:rsid w:val="00F34FF5"/>
    <w:rsid w:val="00F355C9"/>
    <w:rsid w:val="00F35C89"/>
    <w:rsid w:val="00F3681B"/>
    <w:rsid w:val="00F370EB"/>
    <w:rsid w:val="00F3742B"/>
    <w:rsid w:val="00F37638"/>
    <w:rsid w:val="00F40E07"/>
    <w:rsid w:val="00F41896"/>
    <w:rsid w:val="00F41FDB"/>
    <w:rsid w:val="00F42F33"/>
    <w:rsid w:val="00F43398"/>
    <w:rsid w:val="00F43C0F"/>
    <w:rsid w:val="00F44D67"/>
    <w:rsid w:val="00F44EFB"/>
    <w:rsid w:val="00F45EB9"/>
    <w:rsid w:val="00F46653"/>
    <w:rsid w:val="00F46AC1"/>
    <w:rsid w:val="00F50E91"/>
    <w:rsid w:val="00F516D0"/>
    <w:rsid w:val="00F52FCD"/>
    <w:rsid w:val="00F53C18"/>
    <w:rsid w:val="00F549D2"/>
    <w:rsid w:val="00F56D63"/>
    <w:rsid w:val="00F572E2"/>
    <w:rsid w:val="00F57471"/>
    <w:rsid w:val="00F578F9"/>
    <w:rsid w:val="00F602A2"/>
    <w:rsid w:val="00F6070B"/>
    <w:rsid w:val="00F609A9"/>
    <w:rsid w:val="00F62952"/>
    <w:rsid w:val="00F629A0"/>
    <w:rsid w:val="00F6313F"/>
    <w:rsid w:val="00F638D5"/>
    <w:rsid w:val="00F64345"/>
    <w:rsid w:val="00F65384"/>
    <w:rsid w:val="00F6689A"/>
    <w:rsid w:val="00F67342"/>
    <w:rsid w:val="00F67614"/>
    <w:rsid w:val="00F67C96"/>
    <w:rsid w:val="00F7047F"/>
    <w:rsid w:val="00F71189"/>
    <w:rsid w:val="00F71811"/>
    <w:rsid w:val="00F72363"/>
    <w:rsid w:val="00F723E2"/>
    <w:rsid w:val="00F725D3"/>
    <w:rsid w:val="00F72AEF"/>
    <w:rsid w:val="00F72EA1"/>
    <w:rsid w:val="00F761DE"/>
    <w:rsid w:val="00F804C9"/>
    <w:rsid w:val="00F807B1"/>
    <w:rsid w:val="00F80C4D"/>
    <w:rsid w:val="00F80C99"/>
    <w:rsid w:val="00F80F87"/>
    <w:rsid w:val="00F8115F"/>
    <w:rsid w:val="00F832C5"/>
    <w:rsid w:val="00F8339F"/>
    <w:rsid w:val="00F83E8D"/>
    <w:rsid w:val="00F83F65"/>
    <w:rsid w:val="00F85BEF"/>
    <w:rsid w:val="00F85DCC"/>
    <w:rsid w:val="00F867EC"/>
    <w:rsid w:val="00F86ACD"/>
    <w:rsid w:val="00F918B0"/>
    <w:rsid w:val="00F91B2B"/>
    <w:rsid w:val="00F93DE9"/>
    <w:rsid w:val="00F93F3D"/>
    <w:rsid w:val="00F96516"/>
    <w:rsid w:val="00F96C3E"/>
    <w:rsid w:val="00F975D2"/>
    <w:rsid w:val="00F978DA"/>
    <w:rsid w:val="00FA0664"/>
    <w:rsid w:val="00FA0C3C"/>
    <w:rsid w:val="00FA1B98"/>
    <w:rsid w:val="00FA2ED1"/>
    <w:rsid w:val="00FA31FA"/>
    <w:rsid w:val="00FA44E6"/>
    <w:rsid w:val="00FA4648"/>
    <w:rsid w:val="00FA50EC"/>
    <w:rsid w:val="00FA68BB"/>
    <w:rsid w:val="00FA79DB"/>
    <w:rsid w:val="00FB196B"/>
    <w:rsid w:val="00FB1B7E"/>
    <w:rsid w:val="00FB1F2D"/>
    <w:rsid w:val="00FB3344"/>
    <w:rsid w:val="00FB3485"/>
    <w:rsid w:val="00FB4A4B"/>
    <w:rsid w:val="00FB4AD6"/>
    <w:rsid w:val="00FB5F29"/>
    <w:rsid w:val="00FB7FAB"/>
    <w:rsid w:val="00FC03CD"/>
    <w:rsid w:val="00FC0646"/>
    <w:rsid w:val="00FC14C8"/>
    <w:rsid w:val="00FC183A"/>
    <w:rsid w:val="00FC19D1"/>
    <w:rsid w:val="00FC1FE2"/>
    <w:rsid w:val="00FC2408"/>
    <w:rsid w:val="00FC47AF"/>
    <w:rsid w:val="00FC4B2F"/>
    <w:rsid w:val="00FC53D1"/>
    <w:rsid w:val="00FC5564"/>
    <w:rsid w:val="00FC56DD"/>
    <w:rsid w:val="00FC612A"/>
    <w:rsid w:val="00FC68B7"/>
    <w:rsid w:val="00FC6CC7"/>
    <w:rsid w:val="00FC7080"/>
    <w:rsid w:val="00FD0FCF"/>
    <w:rsid w:val="00FD1123"/>
    <w:rsid w:val="00FD1815"/>
    <w:rsid w:val="00FD1FD9"/>
    <w:rsid w:val="00FD5A7C"/>
    <w:rsid w:val="00FD7310"/>
    <w:rsid w:val="00FE0788"/>
    <w:rsid w:val="00FE09FB"/>
    <w:rsid w:val="00FE0ACD"/>
    <w:rsid w:val="00FE0C93"/>
    <w:rsid w:val="00FE0CCD"/>
    <w:rsid w:val="00FE157A"/>
    <w:rsid w:val="00FE1DD2"/>
    <w:rsid w:val="00FE1F3E"/>
    <w:rsid w:val="00FE253A"/>
    <w:rsid w:val="00FE6579"/>
    <w:rsid w:val="00FE6985"/>
    <w:rsid w:val="00FE7955"/>
    <w:rsid w:val="00FF108F"/>
    <w:rsid w:val="00FF1737"/>
    <w:rsid w:val="00FF23D4"/>
    <w:rsid w:val="00FF2A27"/>
    <w:rsid w:val="00FF4421"/>
    <w:rsid w:val="00FF4650"/>
    <w:rsid w:val="00FF4F8C"/>
    <w:rsid w:val="00FF6160"/>
    <w:rsid w:val="00FF68B2"/>
    <w:rsid w:val="00FF76EB"/>
    <w:rsid w:val="00FF7D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65E0E18A"/>
  <w15:docId w15:val="{A64FD3BC-A312-475C-A40A-305D564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314C42"/>
    <w:rPr>
      <w:lang w:eastAsia="en-US"/>
    </w:rPr>
  </w:style>
  <w:style w:type="paragraph" w:styleId="CommentSubject">
    <w:name w:val="annotation subject"/>
    <w:basedOn w:val="CommentText"/>
    <w:next w:val="CommentText"/>
    <w:link w:val="CommentSubjectChar"/>
    <w:semiHidden/>
    <w:unhideWhenUsed/>
    <w:rsid w:val="00066320"/>
    <w:pPr>
      <w:spacing w:line="240" w:lineRule="auto"/>
    </w:pPr>
    <w:rPr>
      <w:b/>
      <w:bCs/>
    </w:rPr>
  </w:style>
  <w:style w:type="character" w:customStyle="1" w:styleId="CommentSubjectChar">
    <w:name w:val="Comment Subject Char"/>
    <w:basedOn w:val="CommentTextChar"/>
    <w:link w:val="CommentSubject"/>
    <w:semiHidden/>
    <w:rsid w:val="000663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89008">
      <w:bodyDiv w:val="1"/>
      <w:marLeft w:val="0"/>
      <w:marRight w:val="0"/>
      <w:marTop w:val="0"/>
      <w:marBottom w:val="0"/>
      <w:divBdr>
        <w:top w:val="none" w:sz="0" w:space="0" w:color="auto"/>
        <w:left w:val="none" w:sz="0" w:space="0" w:color="auto"/>
        <w:bottom w:val="none" w:sz="0" w:space="0" w:color="auto"/>
        <w:right w:val="none" w:sz="0" w:space="0" w:color="auto"/>
      </w:divBdr>
    </w:div>
    <w:div w:id="739640243">
      <w:bodyDiv w:val="1"/>
      <w:marLeft w:val="0"/>
      <w:marRight w:val="0"/>
      <w:marTop w:val="0"/>
      <w:marBottom w:val="0"/>
      <w:divBdr>
        <w:top w:val="none" w:sz="0" w:space="0" w:color="auto"/>
        <w:left w:val="none" w:sz="0" w:space="0" w:color="auto"/>
        <w:bottom w:val="none" w:sz="0" w:space="0" w:color="auto"/>
        <w:right w:val="none" w:sz="0" w:space="0" w:color="auto"/>
      </w:divBdr>
    </w:div>
    <w:div w:id="855853284">
      <w:bodyDiv w:val="1"/>
      <w:marLeft w:val="0"/>
      <w:marRight w:val="0"/>
      <w:marTop w:val="0"/>
      <w:marBottom w:val="0"/>
      <w:divBdr>
        <w:top w:val="none" w:sz="0" w:space="0" w:color="auto"/>
        <w:left w:val="none" w:sz="0" w:space="0" w:color="auto"/>
        <w:bottom w:val="none" w:sz="0" w:space="0" w:color="auto"/>
        <w:right w:val="none" w:sz="0" w:space="0" w:color="auto"/>
      </w:divBdr>
    </w:div>
    <w:div w:id="999189906">
      <w:bodyDiv w:val="1"/>
      <w:marLeft w:val="0"/>
      <w:marRight w:val="0"/>
      <w:marTop w:val="0"/>
      <w:marBottom w:val="0"/>
      <w:divBdr>
        <w:top w:val="none" w:sz="0" w:space="0" w:color="auto"/>
        <w:left w:val="none" w:sz="0" w:space="0" w:color="auto"/>
        <w:bottom w:val="none" w:sz="0" w:space="0" w:color="auto"/>
        <w:right w:val="none" w:sz="0" w:space="0" w:color="auto"/>
      </w:divBdr>
    </w:div>
    <w:div w:id="1126850362">
      <w:bodyDiv w:val="1"/>
      <w:marLeft w:val="0"/>
      <w:marRight w:val="0"/>
      <w:marTop w:val="0"/>
      <w:marBottom w:val="0"/>
      <w:divBdr>
        <w:top w:val="none" w:sz="0" w:space="0" w:color="auto"/>
        <w:left w:val="none" w:sz="0" w:space="0" w:color="auto"/>
        <w:bottom w:val="none" w:sz="0" w:space="0" w:color="auto"/>
        <w:right w:val="none" w:sz="0" w:space="0" w:color="auto"/>
      </w:divBdr>
    </w:div>
    <w:div w:id="1339381257">
      <w:bodyDiv w:val="1"/>
      <w:marLeft w:val="0"/>
      <w:marRight w:val="0"/>
      <w:marTop w:val="0"/>
      <w:marBottom w:val="0"/>
      <w:divBdr>
        <w:top w:val="none" w:sz="0" w:space="0" w:color="auto"/>
        <w:left w:val="none" w:sz="0" w:space="0" w:color="auto"/>
        <w:bottom w:val="none" w:sz="0" w:space="0" w:color="auto"/>
        <w:right w:val="none" w:sz="0" w:space="0" w:color="auto"/>
      </w:divBdr>
    </w:div>
    <w:div w:id="1357656460">
      <w:bodyDiv w:val="1"/>
      <w:marLeft w:val="0"/>
      <w:marRight w:val="0"/>
      <w:marTop w:val="0"/>
      <w:marBottom w:val="0"/>
      <w:divBdr>
        <w:top w:val="none" w:sz="0" w:space="0" w:color="auto"/>
        <w:left w:val="none" w:sz="0" w:space="0" w:color="auto"/>
        <w:bottom w:val="none" w:sz="0" w:space="0" w:color="auto"/>
        <w:right w:val="none" w:sz="0" w:space="0" w:color="auto"/>
      </w:divBdr>
    </w:div>
    <w:div w:id="1505973851">
      <w:bodyDiv w:val="1"/>
      <w:marLeft w:val="0"/>
      <w:marRight w:val="0"/>
      <w:marTop w:val="0"/>
      <w:marBottom w:val="0"/>
      <w:divBdr>
        <w:top w:val="none" w:sz="0" w:space="0" w:color="auto"/>
        <w:left w:val="none" w:sz="0" w:space="0" w:color="auto"/>
        <w:bottom w:val="none" w:sz="0" w:space="0" w:color="auto"/>
        <w:right w:val="none" w:sz="0" w:space="0" w:color="auto"/>
      </w:divBdr>
    </w:div>
    <w:div w:id="1544094683">
      <w:bodyDiv w:val="1"/>
      <w:marLeft w:val="0"/>
      <w:marRight w:val="0"/>
      <w:marTop w:val="0"/>
      <w:marBottom w:val="0"/>
      <w:divBdr>
        <w:top w:val="none" w:sz="0" w:space="0" w:color="auto"/>
        <w:left w:val="none" w:sz="0" w:space="0" w:color="auto"/>
        <w:bottom w:val="none" w:sz="0" w:space="0" w:color="auto"/>
        <w:right w:val="none" w:sz="0" w:space="0" w:color="auto"/>
      </w:divBdr>
    </w:div>
    <w:div w:id="1658605341">
      <w:bodyDiv w:val="1"/>
      <w:marLeft w:val="0"/>
      <w:marRight w:val="0"/>
      <w:marTop w:val="0"/>
      <w:marBottom w:val="0"/>
      <w:divBdr>
        <w:top w:val="none" w:sz="0" w:space="0" w:color="auto"/>
        <w:left w:val="none" w:sz="0" w:space="0" w:color="auto"/>
        <w:bottom w:val="none" w:sz="0" w:space="0" w:color="auto"/>
        <w:right w:val="none" w:sz="0" w:space="0" w:color="auto"/>
      </w:divBdr>
    </w:div>
    <w:div w:id="1851678327">
      <w:bodyDiv w:val="1"/>
      <w:marLeft w:val="0"/>
      <w:marRight w:val="0"/>
      <w:marTop w:val="0"/>
      <w:marBottom w:val="0"/>
      <w:divBdr>
        <w:top w:val="none" w:sz="0" w:space="0" w:color="auto"/>
        <w:left w:val="none" w:sz="0" w:space="0" w:color="auto"/>
        <w:bottom w:val="none" w:sz="0" w:space="0" w:color="auto"/>
        <w:right w:val="none" w:sz="0" w:space="0" w:color="auto"/>
      </w:divBdr>
    </w:div>
    <w:div w:id="19556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D032-52C1-4B5F-A97C-FDDEAA21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2330</TotalTime>
  <Pages>14</Pages>
  <Words>3881</Words>
  <Characters>20885</Characters>
  <Application>Microsoft Office Word</Application>
  <DocSecurity>0</DocSecurity>
  <Lines>454</Lines>
  <Paragraphs>291</Paragraphs>
  <ScaleCrop>false</ScaleCrop>
  <HeadingPairs>
    <vt:vector size="2" baseType="variant">
      <vt:variant>
        <vt:lpstr>Title</vt:lpstr>
      </vt:variant>
      <vt:variant>
        <vt:i4>1</vt:i4>
      </vt:variant>
    </vt:vector>
  </HeadingPairs>
  <TitlesOfParts>
    <vt:vector size="1" baseType="lpstr">
      <vt:lpstr>1622034</vt:lpstr>
    </vt:vector>
  </TitlesOfParts>
  <Company>CSD</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1622034</dc:title>
  <dc:subject>ST/SG/AC.10/C.3/100</dc:subject>
  <dc:creator>Berthet</dc:creator>
  <cp:lastModifiedBy>Laurence Berthet</cp:lastModifiedBy>
  <cp:revision>95</cp:revision>
  <cp:lastPrinted>2018-12-20T15:36:00Z</cp:lastPrinted>
  <dcterms:created xsi:type="dcterms:W3CDTF">2018-11-16T10:20:00Z</dcterms:created>
  <dcterms:modified xsi:type="dcterms:W3CDTF">2018-12-20T15:49:00Z</dcterms:modified>
</cp:coreProperties>
</file>