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14:paraId="30F4B8BB" w14:textId="77777777" w:rsidTr="006D12B1">
        <w:trPr>
          <w:trHeight w:val="851"/>
        </w:trPr>
        <w:tc>
          <w:tcPr>
            <w:tcW w:w="1259" w:type="dxa"/>
            <w:tcBorders>
              <w:top w:val="nil"/>
              <w:left w:val="nil"/>
              <w:bottom w:val="single" w:sz="4" w:space="0" w:color="auto"/>
              <w:right w:val="nil"/>
            </w:tcBorders>
            <w:shd w:val="clear" w:color="auto" w:fill="auto"/>
          </w:tcPr>
          <w:p w14:paraId="459EB9A1" w14:textId="77777777" w:rsidR="00446DE4" w:rsidRPr="006500BA" w:rsidRDefault="00446DE4" w:rsidP="006D12B1">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14:paraId="7544317F" w14:textId="77777777"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542BD770" w14:textId="54AD8C1B" w:rsidR="006D12B1" w:rsidRPr="006500BA" w:rsidRDefault="006D12B1" w:rsidP="00241CD4">
            <w:pPr>
              <w:jc w:val="right"/>
            </w:pPr>
            <w:r w:rsidRPr="006D12B1">
              <w:rPr>
                <w:sz w:val="40"/>
              </w:rPr>
              <w:t>ST</w:t>
            </w:r>
            <w:r>
              <w:t>/SG/AC.10/C.3/201</w:t>
            </w:r>
            <w:r w:rsidR="00241CD4">
              <w:t>8</w:t>
            </w:r>
            <w:r>
              <w:t>/</w:t>
            </w:r>
            <w:r w:rsidR="00B363F9">
              <w:t>9</w:t>
            </w:r>
            <w:r w:rsidR="00E91FEA">
              <w:t>5</w:t>
            </w:r>
          </w:p>
        </w:tc>
      </w:tr>
      <w:tr w:rsidR="003107FA" w:rsidRPr="006500BA" w14:paraId="03152768" w14:textId="77777777" w:rsidTr="006D12B1">
        <w:trPr>
          <w:trHeight w:val="2835"/>
        </w:trPr>
        <w:tc>
          <w:tcPr>
            <w:tcW w:w="1259" w:type="dxa"/>
            <w:tcBorders>
              <w:top w:val="single" w:sz="4" w:space="0" w:color="auto"/>
              <w:left w:val="nil"/>
              <w:bottom w:val="single" w:sz="12" w:space="0" w:color="auto"/>
              <w:right w:val="nil"/>
            </w:tcBorders>
            <w:shd w:val="clear" w:color="auto" w:fill="auto"/>
          </w:tcPr>
          <w:p w14:paraId="375FBDFE" w14:textId="77777777" w:rsidR="003107FA" w:rsidRPr="006500BA" w:rsidRDefault="00A9451B" w:rsidP="006D12B1">
            <w:pPr>
              <w:spacing w:before="120"/>
              <w:jc w:val="center"/>
            </w:pPr>
            <w:r>
              <w:rPr>
                <w:noProof/>
                <w:lang w:val="en-US"/>
              </w:rPr>
              <w:drawing>
                <wp:inline distT="0" distB="0" distL="0" distR="0" wp14:anchorId="560FFDEB" wp14:editId="3E8CFB56">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6F088DDD" w14:textId="77777777" w:rsidR="003107FA" w:rsidRPr="006D12B1" w:rsidRDefault="00922550" w:rsidP="006D12B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36375A43" w14:textId="77777777" w:rsidR="003107FA" w:rsidRDefault="006D12B1" w:rsidP="006D12B1">
            <w:pPr>
              <w:spacing w:before="240" w:line="240" w:lineRule="exact"/>
            </w:pPr>
            <w:r>
              <w:t>Distr.: General</w:t>
            </w:r>
          </w:p>
          <w:p w14:paraId="048E834D" w14:textId="7C746AA4" w:rsidR="006D12B1" w:rsidRDefault="00E91FEA" w:rsidP="006D12B1">
            <w:pPr>
              <w:spacing w:line="240" w:lineRule="exact"/>
            </w:pPr>
            <w:r>
              <w:t>3 September</w:t>
            </w:r>
            <w:r w:rsidR="00E103A7" w:rsidRPr="00757735">
              <w:t xml:space="preserve"> 2018</w:t>
            </w:r>
          </w:p>
          <w:p w14:paraId="6A4FD4F8" w14:textId="77777777" w:rsidR="006D12B1" w:rsidRDefault="006D12B1" w:rsidP="006D12B1">
            <w:pPr>
              <w:spacing w:line="240" w:lineRule="exact"/>
            </w:pPr>
          </w:p>
          <w:p w14:paraId="13AA308C" w14:textId="77777777" w:rsidR="006D12B1" w:rsidRPr="006500BA" w:rsidRDefault="006D12B1" w:rsidP="006D12B1">
            <w:pPr>
              <w:spacing w:line="240" w:lineRule="exact"/>
            </w:pPr>
            <w:r>
              <w:t>Original: English</w:t>
            </w:r>
          </w:p>
        </w:tc>
      </w:tr>
    </w:tbl>
    <w:p w14:paraId="5D956B44" w14:textId="77777777" w:rsidR="009F0F06"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9B371C" w14:paraId="7D3E02D0" w14:textId="77777777" w:rsidTr="009B371C">
        <w:tc>
          <w:tcPr>
            <w:tcW w:w="9639" w:type="dxa"/>
            <w:shd w:val="clear" w:color="auto" w:fill="auto"/>
          </w:tcPr>
          <w:p w14:paraId="4840E92B" w14:textId="77777777" w:rsidR="009B371C" w:rsidRPr="006D12B1" w:rsidRDefault="009B371C" w:rsidP="00963F4E">
            <w:pPr>
              <w:spacing w:before="120" w:after="120"/>
              <w:ind w:right="57"/>
              <w:rPr>
                <w:b/>
              </w:rPr>
            </w:pPr>
            <w:r w:rsidRPr="006D12B1">
              <w:rPr>
                <w:b/>
              </w:rPr>
              <w:t xml:space="preserve">Sub-Committee of Experts on the Transport of Dangerous Goods </w:t>
            </w:r>
          </w:p>
        </w:tc>
      </w:tr>
      <w:tr w:rsidR="009B371C" w:rsidRPr="00876878" w14:paraId="256ACED0" w14:textId="77777777" w:rsidTr="009B371C">
        <w:tc>
          <w:tcPr>
            <w:tcW w:w="9639" w:type="dxa"/>
            <w:shd w:val="clear" w:color="auto" w:fill="auto"/>
          </w:tcPr>
          <w:p w14:paraId="4EFEF0DB" w14:textId="4C154464" w:rsidR="009B371C" w:rsidRPr="00876878" w:rsidRDefault="009B371C" w:rsidP="004C4CFD">
            <w:pPr>
              <w:spacing w:after="120"/>
              <w:ind w:right="57"/>
              <w:rPr>
                <w:b/>
              </w:rPr>
            </w:pPr>
            <w:r w:rsidRPr="00876878">
              <w:rPr>
                <w:b/>
              </w:rPr>
              <w:t>F</w:t>
            </w:r>
            <w:r w:rsidR="001F2D80">
              <w:rPr>
                <w:b/>
              </w:rPr>
              <w:t>ifty-</w:t>
            </w:r>
            <w:r w:rsidR="004C4CFD">
              <w:rPr>
                <w:b/>
              </w:rPr>
              <w:t>fourth</w:t>
            </w:r>
            <w:r>
              <w:rPr>
                <w:b/>
              </w:rPr>
              <w:t xml:space="preserve"> </w:t>
            </w:r>
            <w:r w:rsidRPr="00876878">
              <w:rPr>
                <w:b/>
              </w:rPr>
              <w:t>session</w:t>
            </w:r>
          </w:p>
        </w:tc>
      </w:tr>
      <w:tr w:rsidR="009B371C" w:rsidRPr="00CE57DA" w14:paraId="010A20FC" w14:textId="77777777" w:rsidTr="009B371C">
        <w:tc>
          <w:tcPr>
            <w:tcW w:w="9639" w:type="dxa"/>
            <w:shd w:val="clear" w:color="auto" w:fill="auto"/>
          </w:tcPr>
          <w:p w14:paraId="0D8CBF75" w14:textId="77777777" w:rsidR="009B371C" w:rsidRPr="00876878" w:rsidRDefault="009B371C" w:rsidP="004E05DD">
            <w:pPr>
              <w:ind w:right="57"/>
            </w:pPr>
            <w:r w:rsidRPr="00876878">
              <w:t xml:space="preserve">Geneva, </w:t>
            </w:r>
            <w:r w:rsidR="001F2D80">
              <w:t>2</w:t>
            </w:r>
            <w:r w:rsidR="00241CD4">
              <w:t>5</w:t>
            </w:r>
            <w:r w:rsidR="001F2D80">
              <w:t xml:space="preserve"> </w:t>
            </w:r>
            <w:r w:rsidR="00241CD4">
              <w:t>June</w:t>
            </w:r>
            <w:r>
              <w:t>-</w:t>
            </w:r>
            <w:r w:rsidR="00241CD4">
              <w:t>4</w:t>
            </w:r>
            <w:r w:rsidR="001F2D80">
              <w:t xml:space="preserve"> </w:t>
            </w:r>
            <w:r w:rsidR="00241CD4">
              <w:t>July</w:t>
            </w:r>
            <w:r w:rsidR="001F2D80">
              <w:t xml:space="preserve"> 201</w:t>
            </w:r>
            <w:r w:rsidR="00241CD4">
              <w:t>8</w:t>
            </w:r>
          </w:p>
          <w:p w14:paraId="6B99A053" w14:textId="42014167" w:rsidR="00CE1125" w:rsidRPr="00963F4E" w:rsidRDefault="00CE1125" w:rsidP="00CE1125">
            <w:pPr>
              <w:rPr>
                <w:b/>
              </w:rPr>
            </w:pPr>
            <w:r w:rsidRPr="007B2B1F">
              <w:t xml:space="preserve">Item </w:t>
            </w:r>
            <w:r w:rsidR="00E91FEA">
              <w:t>2 (c)</w:t>
            </w:r>
            <w:r w:rsidRPr="007B2B1F">
              <w:t xml:space="preserve"> of the provisional agenda</w:t>
            </w:r>
            <w:r w:rsidRPr="007B2B1F">
              <w:rPr>
                <w:b/>
              </w:rPr>
              <w:t xml:space="preserve"> </w:t>
            </w:r>
            <w:r w:rsidRPr="007B2B1F">
              <w:rPr>
                <w:b/>
              </w:rPr>
              <w:br/>
            </w:r>
            <w:r w:rsidR="00E91FEA" w:rsidRPr="00E91FEA">
              <w:rPr>
                <w:b/>
                <w:bCs/>
              </w:rPr>
              <w:t xml:space="preserve">Recommendations made by the Sub-Committee on its fifty-first, </w:t>
            </w:r>
            <w:r w:rsidR="00E91FEA" w:rsidRPr="00E91FEA">
              <w:rPr>
                <w:b/>
                <w:bCs/>
              </w:rPr>
              <w:br/>
              <w:t>fifty-second and fifty-third sessions and pending issues:</w:t>
            </w:r>
            <w:r w:rsidR="00E91FEA" w:rsidRPr="00E91FEA">
              <w:rPr>
                <w:b/>
                <w:bCs/>
              </w:rPr>
              <w:br/>
              <w:t>listing, classification and packing</w:t>
            </w:r>
          </w:p>
          <w:p w14:paraId="7FA89286" w14:textId="77777777" w:rsidR="009B371C" w:rsidRPr="00530504" w:rsidRDefault="009B371C" w:rsidP="004A7D33">
            <w:pPr>
              <w:rPr>
                <w:b/>
              </w:rPr>
            </w:pPr>
          </w:p>
        </w:tc>
      </w:tr>
    </w:tbl>
    <w:p w14:paraId="70C5B791" w14:textId="77777777" w:rsidR="00E91FEA" w:rsidRDefault="00E91FEA" w:rsidP="00E91FEA">
      <w:pPr>
        <w:pStyle w:val="HChG"/>
      </w:pPr>
      <w:r w:rsidRPr="009D1290">
        <w:tab/>
      </w:r>
      <w:r w:rsidRPr="009D1290">
        <w:tab/>
      </w:r>
      <w:r>
        <w:rPr>
          <w:lang w:val="en-US"/>
        </w:rPr>
        <w:t>Technical names for environmentally hazardous goods of Class 9 (UN 3077 and UN 3082)</w:t>
      </w:r>
    </w:p>
    <w:p w14:paraId="6C20216C" w14:textId="77777777" w:rsidR="00E91FEA" w:rsidRDefault="00E91FEA" w:rsidP="00E91FEA">
      <w:pPr>
        <w:pStyle w:val="H1G"/>
      </w:pPr>
      <w:r>
        <w:rPr>
          <w:rFonts w:eastAsia="MS Mincho"/>
        </w:rPr>
        <w:tab/>
      </w:r>
      <w:r>
        <w:rPr>
          <w:rFonts w:eastAsia="MS Mincho"/>
        </w:rPr>
        <w:tab/>
      </w:r>
      <w:r>
        <w:t xml:space="preserve">Transmitted by the </w:t>
      </w:r>
      <w:r>
        <w:rPr>
          <w:rFonts w:eastAsia="MS Mincho"/>
        </w:rPr>
        <w:t>International Paint and Printing Ink Council (IPPIC)</w:t>
      </w:r>
      <w:r>
        <w:rPr>
          <w:rStyle w:val="FootnoteReference"/>
        </w:rPr>
        <w:footnoteReference w:id="2"/>
      </w:r>
    </w:p>
    <w:p w14:paraId="27AF0DDE" w14:textId="77777777" w:rsidR="00E91FEA" w:rsidRDefault="00E91FEA" w:rsidP="00E91FEA">
      <w:pPr>
        <w:pStyle w:val="HChG"/>
      </w:pPr>
      <w:r>
        <w:tab/>
      </w:r>
      <w:r>
        <w:tab/>
        <w:t>Introduction and background</w:t>
      </w:r>
    </w:p>
    <w:p w14:paraId="01B3CB34" w14:textId="77777777" w:rsidR="00E91FEA" w:rsidRDefault="00E91FEA" w:rsidP="00E91FEA">
      <w:pPr>
        <w:pStyle w:val="SingleTxtG"/>
      </w:pPr>
      <w:r>
        <w:t>1.</w:t>
      </w:r>
      <w:r>
        <w:tab/>
        <w:t xml:space="preserve">Paints and printing inks are extremely high volume commodities in the global marketplace. With the move towards water-based formulations (estimated to represent some 50% of liquid products overall) and other non-solvent-borne products such as powder coatings, a high percentage of these goods is now regulated in Class 9 due to environmental hazards and thus transported under entries UN 3077 or UN 3082 of the Dangerous Goods List (“ENVIRONMENTALLY HAZARDOUS SUBSTANCE, SOLID/LIQUID, N.O.S.”).  </w:t>
      </w:r>
    </w:p>
    <w:p w14:paraId="69873D4A" w14:textId="77777777" w:rsidR="00E91FEA" w:rsidRDefault="00E91FEA" w:rsidP="00E91FEA">
      <w:pPr>
        <w:pStyle w:val="SingleTxtG"/>
      </w:pPr>
      <w:r>
        <w:t>2.</w:t>
      </w:r>
      <w:r>
        <w:tab/>
        <w:t xml:space="preserve">This classification creates a number of issues related to documentation and marking, such as a lack of clear information on the exact nature of the dangerous goods (which can hinder the task of emergency responders and cause consignments to be delayed or stopped pending clarification) and practical difficulties in appending long, and often incomprehensible, technical names to the proper shipping name.  IPPIC has been working to identify solutions which would mitigate these problems and make the regulatory requirements more commensurate with the hazard.  </w:t>
      </w:r>
    </w:p>
    <w:p w14:paraId="63B6BFF8" w14:textId="77777777" w:rsidR="00E91FEA" w:rsidRDefault="00E91FEA">
      <w:pPr>
        <w:suppressAutoHyphens w:val="0"/>
        <w:spacing w:line="240" w:lineRule="auto"/>
      </w:pPr>
      <w:r>
        <w:br w:type="page"/>
      </w:r>
    </w:p>
    <w:p w14:paraId="044730F5" w14:textId="65152CC1" w:rsidR="00E91FEA" w:rsidRDefault="00E91FEA" w:rsidP="00E91FEA">
      <w:pPr>
        <w:pStyle w:val="SingleTxtG"/>
      </w:pPr>
      <w:r>
        <w:lastRenderedPageBreak/>
        <w:t>3.</w:t>
      </w:r>
      <w:r>
        <w:tab/>
        <w:t>At its forty-third session in June 2013, the Sub-Committee considered a proposal from IPPIC (document ST/SG/AC.10/C.3/2013/29) to create new entries in the Dangerous Goods List for environmentally hazardous paints, printing inks and similar commodities.  Whilst some experts expressed support for this idea, others were reluctant to add new entries and suggested that the problems described would be better addressed by looking at the requirements of special provision 274, which is assigned to UN 3077 and UN 3082.</w:t>
      </w:r>
    </w:p>
    <w:p w14:paraId="3A2DCECB" w14:textId="6D505EA5" w:rsidR="00E91FEA" w:rsidRDefault="00E91FEA" w:rsidP="00E91FEA">
      <w:pPr>
        <w:pStyle w:val="SingleTxtG"/>
      </w:pPr>
      <w:r>
        <w:t>4.</w:t>
      </w:r>
      <w:r>
        <w:tab/>
        <w:t>At the fifty-third session in June 2018, IPPIC presented an informal document (INF.26) proposing the deletion of special provision 274 for UN 3077 and UN 3082, as the technical name did not appear to have great immediate value for emergency response but could cause the aforementioned problems.  Whilst some experts expressed sympathy for the arguments made, the Sub-Committee did not support the proposal as presented since the technical name was considered to provide relevant information in the case of a spillage.  It was however pointed out that the Model Regulations already allow the use of generic or chemical family names for clearer communication, and one expert suggested that the use of generic names such as “ink” or “paint” could be considered in this context.</w:t>
      </w:r>
    </w:p>
    <w:p w14:paraId="0A630689" w14:textId="5B4A8F8D" w:rsidR="00E91FEA" w:rsidRDefault="00E91FEA" w:rsidP="00E91FEA">
      <w:pPr>
        <w:pStyle w:val="SingleTxtG"/>
      </w:pPr>
      <w:r>
        <w:t>5.</w:t>
      </w:r>
      <w:r>
        <w:tab/>
        <w:t>For generic/simplified chemical or chemical family names, there is some existing experience in industry (from dangerous goods and other regulatory requirements) which can be drawn upon to develop suitable guidance for members.  It is however not clear that the Model Regulations currently allow the use of generic commodity names such as “paint” or “printing ink” as technical names, although these would be beneficial in conveying clear information about the properties of the dangerous goods to emergency responders and transport handlers.  Section 3.1.2.8 requires “technical or chemical group names” and 3.1.2.8.1.1 begins as follows:</w:t>
      </w:r>
    </w:p>
    <w:p w14:paraId="13FE5F82" w14:textId="77777777" w:rsidR="00E91FEA" w:rsidRDefault="00E91FEA" w:rsidP="00E91FEA">
      <w:pPr>
        <w:pStyle w:val="SingleTxtG"/>
        <w:ind w:left="1701"/>
      </w:pPr>
      <w:r>
        <w:t>“The technical name shall be a recognized chemical or biological name, or other name currently used in scientific and technical handbooks, journals and texts.  Trade names shall not be used for this purpose.”</w:t>
      </w:r>
    </w:p>
    <w:p w14:paraId="20A2B860" w14:textId="6BCCA803" w:rsidR="00E91FEA" w:rsidRPr="002032FE" w:rsidRDefault="00E91FEA" w:rsidP="00E91FEA">
      <w:pPr>
        <w:pStyle w:val="SingleTxtG"/>
      </w:pPr>
      <w:r>
        <w:t>6.</w:t>
      </w:r>
      <w:r>
        <w:tab/>
        <w:t>It would be desirable to amend the Model Regulations to permit the use of recognised generic commodity names as technical names in the context of special provision 274 for UN 3077 and UN 3082.  IPPIC is proposing the following solution to achieve this, through use of a new special provision explicitly identifying generic names in the Dangerous Goods List which would be considered appropriate in this regard.</w:t>
      </w:r>
    </w:p>
    <w:p w14:paraId="1D87EC8E" w14:textId="77777777" w:rsidR="00E91FEA" w:rsidRDefault="00E91FEA" w:rsidP="00E91FEA">
      <w:pPr>
        <w:pStyle w:val="HChG"/>
      </w:pPr>
      <w:r>
        <w:tab/>
      </w:r>
      <w:r>
        <w:tab/>
        <w:t>Proposal</w:t>
      </w:r>
    </w:p>
    <w:p w14:paraId="028AC77A" w14:textId="77777777" w:rsidR="00E91FEA" w:rsidRPr="002032FE" w:rsidRDefault="00E91FEA" w:rsidP="00E91FEA">
      <w:pPr>
        <w:pStyle w:val="SingleTxtG"/>
      </w:pPr>
      <w:r>
        <w:t>7</w:t>
      </w:r>
      <w:r w:rsidRPr="00141DF7">
        <w:t>.</w:t>
      </w:r>
      <w:r w:rsidRPr="00141DF7">
        <w:tab/>
      </w:r>
      <w:r w:rsidRPr="002032FE">
        <w:t xml:space="preserve">In </w:t>
      </w:r>
      <w:r w:rsidRPr="00A03370">
        <w:t>Chapter</w:t>
      </w:r>
      <w:r w:rsidRPr="002032FE">
        <w:t xml:space="preserve"> 3.3, </w:t>
      </w:r>
      <w:r>
        <w:t>insert a new special p</w:t>
      </w:r>
      <w:r w:rsidRPr="002032FE">
        <w:t>rovision as follows:</w:t>
      </w:r>
    </w:p>
    <w:p w14:paraId="2113362A" w14:textId="77777777" w:rsidR="00E91FEA" w:rsidRDefault="00E91FEA" w:rsidP="00E91FEA">
      <w:pPr>
        <w:pStyle w:val="SingleTxtG"/>
        <w:ind w:left="1701"/>
      </w:pPr>
      <w:r>
        <w:t>“[XXX]</w:t>
      </w:r>
      <w:r>
        <w:tab/>
        <w:t>The proper shipping name given in Column 2 of this entry may be used as the technical name for UN 3077 or UN 3082 in accordance with special provision 274.”</w:t>
      </w:r>
    </w:p>
    <w:p w14:paraId="7911AE7E" w14:textId="77777777" w:rsidR="00E91FEA" w:rsidRDefault="00E91FEA" w:rsidP="00E91FEA">
      <w:pPr>
        <w:pStyle w:val="SingleTxtG"/>
      </w:pPr>
      <w:r>
        <w:t>8.</w:t>
      </w:r>
      <w:r>
        <w:tab/>
        <w:t xml:space="preserve">Amend the text of 3.1.2.8.1.1 accordingly as follows (additions </w:t>
      </w:r>
      <w:r>
        <w:rPr>
          <w:u w:val="single"/>
        </w:rPr>
        <w:t>underlined</w:t>
      </w:r>
      <w:r>
        <w:t>):</w:t>
      </w:r>
    </w:p>
    <w:p w14:paraId="36600253" w14:textId="1B159A5D" w:rsidR="00E91FEA" w:rsidRDefault="00E91FEA" w:rsidP="00E91FEA">
      <w:pPr>
        <w:pStyle w:val="SingleTxtG"/>
        <w:ind w:left="1701"/>
      </w:pPr>
      <w:r>
        <w:t>“</w:t>
      </w:r>
      <w:r w:rsidRPr="006F5265">
        <w:t>3.1.2.8.1.1 The technical name shall be a recognized chemical or biological name, or other name</w:t>
      </w:r>
      <w:r>
        <w:t xml:space="preserve"> </w:t>
      </w:r>
      <w:r w:rsidRPr="006F5265">
        <w:t xml:space="preserve">currently used in scientific and technical handbooks, journals and texts. </w:t>
      </w:r>
      <w:r>
        <w:t xml:space="preserve"> </w:t>
      </w:r>
      <w:r w:rsidRPr="006F5265">
        <w:t>Trade names shall not be used for</w:t>
      </w:r>
      <w:r>
        <w:t xml:space="preserve"> </w:t>
      </w:r>
      <w:r w:rsidRPr="006F5265">
        <w:t xml:space="preserve">this purpose. </w:t>
      </w:r>
      <w:r>
        <w:t xml:space="preserve"> </w:t>
      </w:r>
      <w:r w:rsidRPr="006F5265">
        <w:t>In the case of pesticides, only ISO common name(s), other name(s) in the World Health</w:t>
      </w:r>
      <w:r>
        <w:t xml:space="preserve"> </w:t>
      </w:r>
      <w:r w:rsidRPr="006F5265">
        <w:t>Organisation (WHO) Recommended Classification of Pesticides by Hazard and Guidelines to Classification,</w:t>
      </w:r>
      <w:r>
        <w:t xml:space="preserve"> </w:t>
      </w:r>
      <w:r w:rsidRPr="006F5265">
        <w:t>or the name(s) of the active substance(s) may be used.</w:t>
      </w:r>
      <w:r>
        <w:t xml:space="preserve">  </w:t>
      </w:r>
      <w:r>
        <w:rPr>
          <w:u w:val="single"/>
        </w:rPr>
        <w:t>For UN 3077 and UN 3082 only, generic names may be used as identified in accordance with special provision [XXX].</w:t>
      </w:r>
      <w:r>
        <w:t>”</w:t>
      </w:r>
    </w:p>
    <w:p w14:paraId="1C45E905" w14:textId="77777777" w:rsidR="00E91FEA" w:rsidRDefault="00E91FEA" w:rsidP="001E0FCD">
      <w:pPr>
        <w:pStyle w:val="SingleTxtG"/>
        <w:keepNext/>
        <w:keepLines/>
      </w:pPr>
      <w:r>
        <w:lastRenderedPageBreak/>
        <w:t>9.</w:t>
      </w:r>
      <w:r>
        <w:tab/>
        <w:t>Insert the following new note in special provision 274 after the existing text:</w:t>
      </w:r>
    </w:p>
    <w:p w14:paraId="41092781" w14:textId="26CFA573" w:rsidR="00E91FEA" w:rsidRPr="00AE699D" w:rsidRDefault="00E91FEA" w:rsidP="00E91FEA">
      <w:pPr>
        <w:pStyle w:val="SingleTxtG"/>
        <w:ind w:left="1701"/>
      </w:pPr>
      <w:r>
        <w:t>“</w:t>
      </w:r>
      <w:r w:rsidRPr="006B7F6D">
        <w:rPr>
          <w:b/>
          <w:i/>
        </w:rPr>
        <w:t>NOTE:</w:t>
      </w:r>
      <w:r>
        <w:tab/>
      </w:r>
      <w:r w:rsidRPr="006B7F6D">
        <w:rPr>
          <w:i/>
        </w:rPr>
        <w:t xml:space="preserve">Special provision [XXX] may be applied </w:t>
      </w:r>
      <w:r>
        <w:rPr>
          <w:i/>
        </w:rPr>
        <w:t>for</w:t>
      </w:r>
      <w:r w:rsidRPr="006B7F6D">
        <w:rPr>
          <w:i/>
        </w:rPr>
        <w:t xml:space="preserve"> UN 3077 and UN 3082 </w:t>
      </w:r>
      <w:r>
        <w:rPr>
          <w:i/>
        </w:rPr>
        <w:t>i</w:t>
      </w:r>
      <w:r w:rsidRPr="006B7F6D">
        <w:rPr>
          <w:i/>
        </w:rPr>
        <w:t>n the context of this provision</w:t>
      </w:r>
      <w:r>
        <w:rPr>
          <w:i/>
        </w:rPr>
        <w:t>, as described in 3.1.2.8.1.1.”</w:t>
      </w:r>
    </w:p>
    <w:p w14:paraId="173D4CAB" w14:textId="5625499F" w:rsidR="00E91FEA" w:rsidRDefault="00E91FEA" w:rsidP="00E91FEA">
      <w:pPr>
        <w:pStyle w:val="SingleTxtG"/>
      </w:pPr>
      <w:r>
        <w:t>10.</w:t>
      </w:r>
      <w:r>
        <w:tab/>
        <w:t xml:space="preserve">Assign the new special provision </w:t>
      </w:r>
      <w:r w:rsidRPr="00E91FEA">
        <w:rPr>
          <w:iCs/>
        </w:rPr>
        <w:t>[XXX]</w:t>
      </w:r>
      <w:r>
        <w:rPr>
          <w:i/>
        </w:rPr>
        <w:t xml:space="preserve"> </w:t>
      </w:r>
      <w:r>
        <w:t xml:space="preserve">to the following entries in column (6) of the Dangerous Goods List: </w:t>
      </w:r>
    </w:p>
    <w:p w14:paraId="25B2F691" w14:textId="77777777" w:rsidR="00E91FEA" w:rsidRDefault="00E91FEA" w:rsidP="00E91FEA">
      <w:pPr>
        <w:pStyle w:val="SingleTxtG"/>
        <w:spacing w:after="0"/>
        <w:ind w:left="1701"/>
      </w:pPr>
      <w:r>
        <w:t>UN 1210</w:t>
      </w:r>
      <w:r>
        <w:tab/>
        <w:t>PRINTING INK or PRINTING INK RELATED MATERIAL</w:t>
      </w:r>
    </w:p>
    <w:p w14:paraId="5DA9E63A" w14:textId="77777777" w:rsidR="00E91FEA" w:rsidRDefault="00E91FEA" w:rsidP="00E91FEA">
      <w:pPr>
        <w:pStyle w:val="SingleTxtG"/>
        <w:spacing w:after="0"/>
        <w:ind w:left="1701"/>
      </w:pPr>
      <w:r>
        <w:t>UN 1263</w:t>
      </w:r>
      <w:r>
        <w:tab/>
        <w:t>PAINT or PAINT RELATED MATERIAL</w:t>
      </w:r>
    </w:p>
    <w:p w14:paraId="59F218D5" w14:textId="77777777" w:rsidR="00E91FEA" w:rsidRDefault="00E91FEA" w:rsidP="00E91FEA">
      <w:pPr>
        <w:pStyle w:val="SingleTxtG"/>
        <w:ind w:left="1701"/>
      </w:pPr>
      <w:r>
        <w:t>UN 3066</w:t>
      </w:r>
      <w:r>
        <w:tab/>
        <w:t>PAINT or PAINT RELATED MATERIAL</w:t>
      </w:r>
    </w:p>
    <w:p w14:paraId="76F8A89F" w14:textId="77777777" w:rsidR="00E91FEA" w:rsidRDefault="00E91FEA" w:rsidP="00E91FEA">
      <w:pPr>
        <w:pStyle w:val="SingleTxtG"/>
        <w:spacing w:before="240"/>
      </w:pPr>
      <w:r>
        <w:t>Example of transport document entry showing technical name assigned as above:</w:t>
      </w:r>
    </w:p>
    <w:p w14:paraId="2EE0891B" w14:textId="3C69D778" w:rsidR="00E91FEA" w:rsidRPr="009C2E43" w:rsidRDefault="00E91FEA" w:rsidP="00E91FEA">
      <w:pPr>
        <w:pStyle w:val="SingleTxtG"/>
        <w:spacing w:after="0"/>
      </w:pPr>
      <w:r w:rsidRPr="00210C14">
        <w:rPr>
          <w:lang w:val="fr-FR"/>
        </w:rPr>
        <w:t>UN3082, ENVIRONMENTALLY HAZARDOUS SUBSTANCE, LIQUID, N.O.S. (Paint), 9, III</w:t>
      </w:r>
    </w:p>
    <w:p w14:paraId="65DEB6EC" w14:textId="77777777" w:rsidR="00E91FEA" w:rsidRPr="00201260" w:rsidRDefault="00E91FEA" w:rsidP="00E91FEA">
      <w:pPr>
        <w:pStyle w:val="HChG"/>
        <w:spacing w:before="240" w:after="120"/>
      </w:pPr>
      <w:r>
        <w:tab/>
      </w:r>
      <w:r>
        <w:tab/>
      </w:r>
      <w:r w:rsidRPr="00201260">
        <w:t>Justification</w:t>
      </w:r>
    </w:p>
    <w:p w14:paraId="2C1C6FF3" w14:textId="77777777" w:rsidR="00E91FEA" w:rsidRDefault="00E91FEA" w:rsidP="00E91FEA">
      <w:pPr>
        <w:pStyle w:val="SingleTxtG"/>
      </w:pPr>
      <w:r>
        <w:t>11</w:t>
      </w:r>
      <w:r w:rsidRPr="002032FE">
        <w:t>.</w:t>
      </w:r>
      <w:r w:rsidRPr="002032FE">
        <w:tab/>
      </w:r>
      <w:r>
        <w:t>Rather than a vague blanket indication concerning the ability to use generic names as technical names, the proposed special provision enables the Sub-Committee to identify names within the Model Regulations which are considered to provide clear and valuable information to transport handlers and emergency responders, and to permit their use on an individual basis.</w:t>
      </w:r>
    </w:p>
    <w:p w14:paraId="59FF8C8D" w14:textId="77777777" w:rsidR="00E91FEA" w:rsidRDefault="00E91FEA" w:rsidP="00E91FEA">
      <w:pPr>
        <w:pStyle w:val="SingleTxtG"/>
      </w:pPr>
      <w:r>
        <w:t>12.</w:t>
      </w:r>
      <w:r>
        <w:tab/>
        <w:t>The new special provision can be allocated to Dangerous Goods List entries (existing or new) at any time as required, on the basis of a proposal to the Sub-Committee.  This avoids both the need to establish a complete list immediately and the risk of inadvertently allowing names which would not be appropriate in the context of UN 3077 or UN 3082.</w:t>
      </w:r>
    </w:p>
    <w:p w14:paraId="3BBFDDCE" w14:textId="355F53D2" w:rsidR="00E91FEA" w:rsidRPr="00E91FEA" w:rsidRDefault="00E91FEA" w:rsidP="00E91FEA">
      <w:pPr>
        <w:spacing w:before="240"/>
        <w:ind w:left="1134" w:right="1134"/>
        <w:jc w:val="center"/>
        <w:rPr>
          <w:u w:val="single"/>
        </w:rPr>
      </w:pPr>
      <w:r>
        <w:rPr>
          <w:u w:val="single"/>
        </w:rPr>
        <w:tab/>
      </w:r>
      <w:r>
        <w:rPr>
          <w:u w:val="single"/>
        </w:rPr>
        <w:tab/>
      </w:r>
      <w:r>
        <w:rPr>
          <w:u w:val="single"/>
        </w:rPr>
        <w:tab/>
      </w:r>
    </w:p>
    <w:p w14:paraId="41101D26" w14:textId="223B1A6A" w:rsidR="00E91FEA" w:rsidRDefault="00E91FEA" w:rsidP="00E91FEA">
      <w:pPr>
        <w:suppressAutoHyphens w:val="0"/>
        <w:spacing w:line="240" w:lineRule="auto"/>
      </w:pPr>
    </w:p>
    <w:p w14:paraId="507125A8" w14:textId="1FBE6D02" w:rsidR="00E91FEA" w:rsidRDefault="00E91FEA" w:rsidP="00E91FEA">
      <w:pPr>
        <w:suppressAutoHyphens w:val="0"/>
        <w:spacing w:line="240" w:lineRule="auto"/>
      </w:pPr>
    </w:p>
    <w:p w14:paraId="6768AA6F" w14:textId="77777777" w:rsidR="00E91FEA" w:rsidRDefault="00E91FEA" w:rsidP="00E91FEA">
      <w:pPr>
        <w:suppressAutoHyphens w:val="0"/>
        <w:spacing w:line="240" w:lineRule="auto"/>
      </w:pPr>
    </w:p>
    <w:sectPr w:rsidR="00E91FEA" w:rsidSect="001D31FD">
      <w:headerReference w:type="even" r:id="rId10"/>
      <w:headerReference w:type="default" r:id="rId11"/>
      <w:footerReference w:type="even" r:id="rId12"/>
      <w:footerReference w:type="default" r:id="rId13"/>
      <w:headerReference w:type="first" r:id="rId14"/>
      <w:footnotePr>
        <w:numFmt w:val="chicago"/>
      </w:footnotePr>
      <w:endnotePr>
        <w:numFmt w:val="decimal"/>
      </w:endnotePr>
      <w:pgSz w:w="11907" w:h="16840" w:code="9"/>
      <w:pgMar w:top="1701" w:right="1134" w:bottom="1701"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82E63" w14:textId="77777777" w:rsidR="00CE1125" w:rsidRDefault="00CE1125"/>
  </w:endnote>
  <w:endnote w:type="continuationSeparator" w:id="0">
    <w:p w14:paraId="5976BCC7" w14:textId="77777777" w:rsidR="00CE1125" w:rsidRDefault="00CE1125"/>
  </w:endnote>
  <w:endnote w:type="continuationNotice" w:id="1">
    <w:p w14:paraId="7CE32235" w14:textId="77777777" w:rsidR="00CE1125" w:rsidRDefault="00CE1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C08A6" w14:textId="77777777" w:rsidR="00CE1125" w:rsidRPr="006D12B1" w:rsidRDefault="00CE112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2969F9">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EA62" w14:textId="77777777" w:rsidR="00CE1125" w:rsidRPr="006D12B1" w:rsidRDefault="00CE112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AB76C3">
      <w:rPr>
        <w:b/>
        <w:noProof/>
        <w:sz w:val="18"/>
      </w:rPr>
      <w:t>3</w:t>
    </w:r>
    <w:r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302F3" w14:textId="77777777" w:rsidR="00CE1125" w:rsidRPr="000B175B" w:rsidRDefault="00CE1125" w:rsidP="000B175B">
      <w:pPr>
        <w:tabs>
          <w:tab w:val="right" w:pos="2155"/>
        </w:tabs>
        <w:spacing w:after="80"/>
        <w:ind w:left="680"/>
        <w:rPr>
          <w:u w:val="single"/>
        </w:rPr>
      </w:pPr>
      <w:r>
        <w:rPr>
          <w:u w:val="single"/>
        </w:rPr>
        <w:tab/>
      </w:r>
    </w:p>
  </w:footnote>
  <w:footnote w:type="continuationSeparator" w:id="0">
    <w:p w14:paraId="08E20A90" w14:textId="77777777" w:rsidR="00CE1125" w:rsidRPr="00FC68B7" w:rsidRDefault="00CE1125" w:rsidP="00FC68B7">
      <w:pPr>
        <w:tabs>
          <w:tab w:val="left" w:pos="2155"/>
        </w:tabs>
        <w:spacing w:after="80"/>
        <w:ind w:left="680"/>
        <w:rPr>
          <w:u w:val="single"/>
        </w:rPr>
      </w:pPr>
      <w:r>
        <w:rPr>
          <w:u w:val="single"/>
        </w:rPr>
        <w:tab/>
      </w:r>
    </w:p>
  </w:footnote>
  <w:footnote w:type="continuationNotice" w:id="1">
    <w:p w14:paraId="5F01B0AC" w14:textId="77777777" w:rsidR="00CE1125" w:rsidRDefault="00CE1125"/>
  </w:footnote>
  <w:footnote w:id="2">
    <w:p w14:paraId="24AE3571" w14:textId="77777777" w:rsidR="00E91FEA" w:rsidRPr="00141DF7" w:rsidRDefault="00E91FEA" w:rsidP="00E91FEA">
      <w:pPr>
        <w:pStyle w:val="FootnoteText"/>
        <w:tabs>
          <w:tab w:val="left" w:pos="1418"/>
        </w:tabs>
        <w:ind w:firstLine="0"/>
        <w:rPr>
          <w:lang w:val="fr-CH"/>
        </w:rPr>
      </w:pPr>
      <w:r>
        <w:rPr>
          <w:rStyle w:val="FootnoteReference"/>
        </w:rPr>
        <w:footnoteRef/>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B639" w14:textId="0EDDB87D" w:rsidR="00CE1125" w:rsidRPr="006D12B1" w:rsidRDefault="00963F4E">
    <w:pPr>
      <w:pStyle w:val="Header"/>
    </w:pPr>
    <w:r w:rsidRPr="003F000B">
      <w:t>ST/SG/AC.10/C.3/201</w:t>
    </w:r>
    <w:r w:rsidR="00241CD4" w:rsidRPr="003F000B">
      <w:t>8</w:t>
    </w:r>
    <w:r w:rsidRPr="003F000B">
      <w:t>/</w:t>
    </w:r>
    <w:r w:rsidR="00E91FEA">
      <w:t>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595B" w14:textId="5E2CE1D9" w:rsidR="00CE1125" w:rsidRPr="006D12B1" w:rsidRDefault="005E69F4" w:rsidP="006D12B1">
    <w:pPr>
      <w:pStyle w:val="Header"/>
      <w:jc w:val="right"/>
    </w:pPr>
    <w:r>
      <w:t>ST/SG/AC.10/C.3/201</w:t>
    </w:r>
    <w:r w:rsidR="00241CD4">
      <w:t>8</w:t>
    </w:r>
    <w:r>
      <w:t>/</w:t>
    </w:r>
    <w:r w:rsidR="00E91FEA">
      <w:t>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7FFC" w14:textId="77777777" w:rsidR="00CE1125" w:rsidRDefault="00CE1125" w:rsidP="001F4C6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C357C3"/>
    <w:multiLevelType w:val="hybridMultilevel"/>
    <w:tmpl w:val="40CE9B4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26D1DF0"/>
    <w:multiLevelType w:val="hybridMultilevel"/>
    <w:tmpl w:val="CB3EC580"/>
    <w:lvl w:ilvl="0" w:tplc="C1A8D9E6">
      <w:start w:val="1"/>
      <w:numFmt w:val="decimal"/>
      <w:lvlText w:val="%1."/>
      <w:lvlJc w:val="left"/>
      <w:pPr>
        <w:ind w:left="1694" w:hanging="5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7" w15:restartNumberingAfterBreak="0">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0" w15:restartNumberingAfterBreak="0">
    <w:nsid w:val="51E173BB"/>
    <w:multiLevelType w:val="hybridMultilevel"/>
    <w:tmpl w:val="3964FB00"/>
    <w:lvl w:ilvl="0" w:tplc="D17C35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5D937BF"/>
    <w:multiLevelType w:val="hybridMultilevel"/>
    <w:tmpl w:val="A96ABAC6"/>
    <w:lvl w:ilvl="0" w:tplc="7D1C435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EA663C9"/>
    <w:multiLevelType w:val="hybridMultilevel"/>
    <w:tmpl w:val="AD1CAFA2"/>
    <w:lvl w:ilvl="0" w:tplc="EA0A24AE">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372693C"/>
    <w:multiLevelType w:val="hybridMultilevel"/>
    <w:tmpl w:val="C7CECE98"/>
    <w:lvl w:ilvl="0" w:tplc="04090001">
      <w:start w:val="1"/>
      <w:numFmt w:val="bullet"/>
      <w:lvlText w:val=""/>
      <w:lvlJc w:val="left"/>
      <w:pPr>
        <w:ind w:left="2054" w:hanging="360"/>
      </w:pPr>
      <w:rPr>
        <w:rFonts w:ascii="Symbol" w:hAnsi="Symbol" w:hint="default"/>
      </w:rPr>
    </w:lvl>
    <w:lvl w:ilvl="1" w:tplc="04090019">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8" w15:restartNumberingAfterBreak="0">
    <w:nsid w:val="6FA9764C"/>
    <w:multiLevelType w:val="hybridMultilevel"/>
    <w:tmpl w:val="26027376"/>
    <w:lvl w:ilvl="0" w:tplc="7D1C4356">
      <w:start w:val="1"/>
      <w:numFmt w:val="decimal"/>
      <w:lvlText w:val="%1."/>
      <w:lvlJc w:val="left"/>
      <w:pPr>
        <w:ind w:left="1689" w:hanging="555"/>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4"/>
  </w:num>
  <w:num w:numId="13">
    <w:abstractNumId w:val="11"/>
  </w:num>
  <w:num w:numId="14">
    <w:abstractNumId w:val="26"/>
  </w:num>
  <w:num w:numId="15">
    <w:abstractNumId w:val="30"/>
  </w:num>
  <w:num w:numId="16">
    <w:abstractNumId w:val="15"/>
  </w:num>
  <w:num w:numId="17">
    <w:abstractNumId w:val="18"/>
  </w:num>
  <w:num w:numId="18">
    <w:abstractNumId w:val="17"/>
  </w:num>
  <w:num w:numId="19">
    <w:abstractNumId w:val="29"/>
  </w:num>
  <w:num w:numId="20">
    <w:abstractNumId w:val="23"/>
  </w:num>
  <w:num w:numId="21">
    <w:abstractNumId w:val="16"/>
  </w:num>
  <w:num w:numId="22">
    <w:abstractNumId w:val="10"/>
  </w:num>
  <w:num w:numId="23">
    <w:abstractNumId w:val="27"/>
  </w:num>
  <w:num w:numId="24">
    <w:abstractNumId w:val="19"/>
  </w:num>
  <w:num w:numId="25">
    <w:abstractNumId w:val="12"/>
  </w:num>
  <w:num w:numId="26">
    <w:abstractNumId w:val="21"/>
  </w:num>
  <w:num w:numId="27">
    <w:abstractNumId w:val="28"/>
  </w:num>
  <w:num w:numId="28">
    <w:abstractNumId w:val="13"/>
  </w:num>
  <w:num w:numId="29">
    <w:abstractNumId w:val="25"/>
  </w:num>
  <w:num w:numId="30">
    <w:abstractNumId w:val="22"/>
  </w:num>
  <w:num w:numId="3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782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B1"/>
    <w:rsid w:val="00003D68"/>
    <w:rsid w:val="00023F08"/>
    <w:rsid w:val="000279AE"/>
    <w:rsid w:val="00047D68"/>
    <w:rsid w:val="00047F82"/>
    <w:rsid w:val="000504CE"/>
    <w:rsid w:val="00050F6B"/>
    <w:rsid w:val="00052E64"/>
    <w:rsid w:val="00064FD7"/>
    <w:rsid w:val="00072C8C"/>
    <w:rsid w:val="00083B73"/>
    <w:rsid w:val="00091419"/>
    <w:rsid w:val="0009150D"/>
    <w:rsid w:val="000931C0"/>
    <w:rsid w:val="000A254F"/>
    <w:rsid w:val="000A5147"/>
    <w:rsid w:val="000B175B"/>
    <w:rsid w:val="000B3A0F"/>
    <w:rsid w:val="000B6007"/>
    <w:rsid w:val="000C2086"/>
    <w:rsid w:val="000D38D6"/>
    <w:rsid w:val="000D58F6"/>
    <w:rsid w:val="000E0415"/>
    <w:rsid w:val="000F7AB3"/>
    <w:rsid w:val="001051E9"/>
    <w:rsid w:val="00115C6E"/>
    <w:rsid w:val="00117787"/>
    <w:rsid w:val="001206C9"/>
    <w:rsid w:val="00130876"/>
    <w:rsid w:val="00131D42"/>
    <w:rsid w:val="001415D1"/>
    <w:rsid w:val="001549EA"/>
    <w:rsid w:val="001633FB"/>
    <w:rsid w:val="00167786"/>
    <w:rsid w:val="001A537C"/>
    <w:rsid w:val="001B42B4"/>
    <w:rsid w:val="001B4B04"/>
    <w:rsid w:val="001C0631"/>
    <w:rsid w:val="001C6663"/>
    <w:rsid w:val="001C7526"/>
    <w:rsid w:val="001C7895"/>
    <w:rsid w:val="001D26DF"/>
    <w:rsid w:val="001D2FDC"/>
    <w:rsid w:val="001D31FD"/>
    <w:rsid w:val="001D79DB"/>
    <w:rsid w:val="001E0FCD"/>
    <w:rsid w:val="001F2D80"/>
    <w:rsid w:val="001F3FA0"/>
    <w:rsid w:val="001F4C6A"/>
    <w:rsid w:val="001F56BD"/>
    <w:rsid w:val="002016FA"/>
    <w:rsid w:val="00205DB6"/>
    <w:rsid w:val="00210B9C"/>
    <w:rsid w:val="002114DD"/>
    <w:rsid w:val="00211E0B"/>
    <w:rsid w:val="00212DFA"/>
    <w:rsid w:val="00213AFD"/>
    <w:rsid w:val="00221E51"/>
    <w:rsid w:val="00222840"/>
    <w:rsid w:val="002309A7"/>
    <w:rsid w:val="00237785"/>
    <w:rsid w:val="00241466"/>
    <w:rsid w:val="00241743"/>
    <w:rsid w:val="00241CD4"/>
    <w:rsid w:val="002647C3"/>
    <w:rsid w:val="002656C7"/>
    <w:rsid w:val="00266652"/>
    <w:rsid w:val="00266A3E"/>
    <w:rsid w:val="002725CA"/>
    <w:rsid w:val="00274950"/>
    <w:rsid w:val="00280EB7"/>
    <w:rsid w:val="00286006"/>
    <w:rsid w:val="00286DC6"/>
    <w:rsid w:val="002969F9"/>
    <w:rsid w:val="002B1CDA"/>
    <w:rsid w:val="002C1AE8"/>
    <w:rsid w:val="002E2D14"/>
    <w:rsid w:val="002E3E7B"/>
    <w:rsid w:val="0030379C"/>
    <w:rsid w:val="00306458"/>
    <w:rsid w:val="003107FA"/>
    <w:rsid w:val="0032058E"/>
    <w:rsid w:val="003229D8"/>
    <w:rsid w:val="00337633"/>
    <w:rsid w:val="00341777"/>
    <w:rsid w:val="0034759C"/>
    <w:rsid w:val="003603DF"/>
    <w:rsid w:val="0036127B"/>
    <w:rsid w:val="0037352B"/>
    <w:rsid w:val="00373BF8"/>
    <w:rsid w:val="003770E6"/>
    <w:rsid w:val="0039277A"/>
    <w:rsid w:val="003931D8"/>
    <w:rsid w:val="00397267"/>
    <w:rsid w:val="003972E0"/>
    <w:rsid w:val="003A0C75"/>
    <w:rsid w:val="003A25EB"/>
    <w:rsid w:val="003A58B0"/>
    <w:rsid w:val="003B3726"/>
    <w:rsid w:val="003B6FA7"/>
    <w:rsid w:val="003C24C1"/>
    <w:rsid w:val="003C2CC4"/>
    <w:rsid w:val="003C7B41"/>
    <w:rsid w:val="003D4B23"/>
    <w:rsid w:val="003D6819"/>
    <w:rsid w:val="003E211B"/>
    <w:rsid w:val="003E3A99"/>
    <w:rsid w:val="003E5B28"/>
    <w:rsid w:val="003F000B"/>
    <w:rsid w:val="0042233A"/>
    <w:rsid w:val="004325CB"/>
    <w:rsid w:val="00437F3F"/>
    <w:rsid w:val="00442DF8"/>
    <w:rsid w:val="00446DE4"/>
    <w:rsid w:val="00454036"/>
    <w:rsid w:val="004633B2"/>
    <w:rsid w:val="00465AFB"/>
    <w:rsid w:val="00477705"/>
    <w:rsid w:val="00477D30"/>
    <w:rsid w:val="00481793"/>
    <w:rsid w:val="00483009"/>
    <w:rsid w:val="00485492"/>
    <w:rsid w:val="004A7D33"/>
    <w:rsid w:val="004B2C9D"/>
    <w:rsid w:val="004C1373"/>
    <w:rsid w:val="004C4CFD"/>
    <w:rsid w:val="004C6FBA"/>
    <w:rsid w:val="004D0D49"/>
    <w:rsid w:val="004D56C3"/>
    <w:rsid w:val="004E05DD"/>
    <w:rsid w:val="004E596F"/>
    <w:rsid w:val="004F0881"/>
    <w:rsid w:val="004F3384"/>
    <w:rsid w:val="004F7921"/>
    <w:rsid w:val="00510FBF"/>
    <w:rsid w:val="00527910"/>
    <w:rsid w:val="00530504"/>
    <w:rsid w:val="00534038"/>
    <w:rsid w:val="005420F2"/>
    <w:rsid w:val="005500DD"/>
    <w:rsid w:val="005501BE"/>
    <w:rsid w:val="00561D25"/>
    <w:rsid w:val="00563498"/>
    <w:rsid w:val="005649C7"/>
    <w:rsid w:val="00566C4F"/>
    <w:rsid w:val="00575122"/>
    <w:rsid w:val="00590144"/>
    <w:rsid w:val="00590E9D"/>
    <w:rsid w:val="00591271"/>
    <w:rsid w:val="0059588D"/>
    <w:rsid w:val="005B03C6"/>
    <w:rsid w:val="005B151F"/>
    <w:rsid w:val="005B3DB3"/>
    <w:rsid w:val="005B77F6"/>
    <w:rsid w:val="005C7602"/>
    <w:rsid w:val="005E3071"/>
    <w:rsid w:val="005E69F4"/>
    <w:rsid w:val="005F7326"/>
    <w:rsid w:val="00600B82"/>
    <w:rsid w:val="00606F29"/>
    <w:rsid w:val="00610208"/>
    <w:rsid w:val="00611FC4"/>
    <w:rsid w:val="00616108"/>
    <w:rsid w:val="00616A14"/>
    <w:rsid w:val="006176FB"/>
    <w:rsid w:val="00625E3D"/>
    <w:rsid w:val="00630C9C"/>
    <w:rsid w:val="00632868"/>
    <w:rsid w:val="0063419C"/>
    <w:rsid w:val="00640B26"/>
    <w:rsid w:val="0064599F"/>
    <w:rsid w:val="00647BAC"/>
    <w:rsid w:val="006500BA"/>
    <w:rsid w:val="00653F4C"/>
    <w:rsid w:val="006547FF"/>
    <w:rsid w:val="00665835"/>
    <w:rsid w:val="006663B4"/>
    <w:rsid w:val="00666A12"/>
    <w:rsid w:val="00666C9B"/>
    <w:rsid w:val="00666E76"/>
    <w:rsid w:val="006737B3"/>
    <w:rsid w:val="00674956"/>
    <w:rsid w:val="0069140A"/>
    <w:rsid w:val="006949CA"/>
    <w:rsid w:val="006A7392"/>
    <w:rsid w:val="006B20F6"/>
    <w:rsid w:val="006B4FE4"/>
    <w:rsid w:val="006C0D34"/>
    <w:rsid w:val="006C604A"/>
    <w:rsid w:val="006D12B1"/>
    <w:rsid w:val="006E1652"/>
    <w:rsid w:val="006E564B"/>
    <w:rsid w:val="006F2F51"/>
    <w:rsid w:val="00704CDB"/>
    <w:rsid w:val="00711C13"/>
    <w:rsid w:val="007221B3"/>
    <w:rsid w:val="00724B47"/>
    <w:rsid w:val="0072632A"/>
    <w:rsid w:val="00744314"/>
    <w:rsid w:val="0074549D"/>
    <w:rsid w:val="00755330"/>
    <w:rsid w:val="00755888"/>
    <w:rsid w:val="00757735"/>
    <w:rsid w:val="007703E2"/>
    <w:rsid w:val="00771A17"/>
    <w:rsid w:val="00774A4F"/>
    <w:rsid w:val="00774DC9"/>
    <w:rsid w:val="00790791"/>
    <w:rsid w:val="0079329B"/>
    <w:rsid w:val="00796AE1"/>
    <w:rsid w:val="007A022A"/>
    <w:rsid w:val="007B08A0"/>
    <w:rsid w:val="007B14D9"/>
    <w:rsid w:val="007B1A7E"/>
    <w:rsid w:val="007B6BA5"/>
    <w:rsid w:val="007B77FB"/>
    <w:rsid w:val="007C2411"/>
    <w:rsid w:val="007C3390"/>
    <w:rsid w:val="007C4F4B"/>
    <w:rsid w:val="007D653D"/>
    <w:rsid w:val="007E79E3"/>
    <w:rsid w:val="007F6611"/>
    <w:rsid w:val="00800367"/>
    <w:rsid w:val="00802FA3"/>
    <w:rsid w:val="008053FC"/>
    <w:rsid w:val="008175E9"/>
    <w:rsid w:val="00823B1A"/>
    <w:rsid w:val="008242D7"/>
    <w:rsid w:val="00824C37"/>
    <w:rsid w:val="00824D1C"/>
    <w:rsid w:val="0084115F"/>
    <w:rsid w:val="00854C15"/>
    <w:rsid w:val="008650F3"/>
    <w:rsid w:val="00871FD5"/>
    <w:rsid w:val="008748EB"/>
    <w:rsid w:val="00876878"/>
    <w:rsid w:val="00884FD0"/>
    <w:rsid w:val="008910B9"/>
    <w:rsid w:val="00895E97"/>
    <w:rsid w:val="00897198"/>
    <w:rsid w:val="0089721D"/>
    <w:rsid w:val="008979B1"/>
    <w:rsid w:val="008A3016"/>
    <w:rsid w:val="008A3543"/>
    <w:rsid w:val="008A6B25"/>
    <w:rsid w:val="008A6C4F"/>
    <w:rsid w:val="008B0D40"/>
    <w:rsid w:val="008D53CE"/>
    <w:rsid w:val="008E071B"/>
    <w:rsid w:val="008E0E46"/>
    <w:rsid w:val="008F79EE"/>
    <w:rsid w:val="00903A6B"/>
    <w:rsid w:val="00904B37"/>
    <w:rsid w:val="009169CB"/>
    <w:rsid w:val="009215A5"/>
    <w:rsid w:val="00922550"/>
    <w:rsid w:val="009255A2"/>
    <w:rsid w:val="00936B10"/>
    <w:rsid w:val="009434B3"/>
    <w:rsid w:val="00945A5D"/>
    <w:rsid w:val="00946A04"/>
    <w:rsid w:val="0095534D"/>
    <w:rsid w:val="0095690E"/>
    <w:rsid w:val="00957117"/>
    <w:rsid w:val="00963CBA"/>
    <w:rsid w:val="00963F4E"/>
    <w:rsid w:val="009854F2"/>
    <w:rsid w:val="0099124E"/>
    <w:rsid w:val="00991261"/>
    <w:rsid w:val="009A2287"/>
    <w:rsid w:val="009A7613"/>
    <w:rsid w:val="009B3350"/>
    <w:rsid w:val="009B371C"/>
    <w:rsid w:val="009B4C36"/>
    <w:rsid w:val="009C4C96"/>
    <w:rsid w:val="009D1AAE"/>
    <w:rsid w:val="009D21EA"/>
    <w:rsid w:val="009D2254"/>
    <w:rsid w:val="009E523D"/>
    <w:rsid w:val="009F0F06"/>
    <w:rsid w:val="009F4BF2"/>
    <w:rsid w:val="00A1427D"/>
    <w:rsid w:val="00A3012E"/>
    <w:rsid w:val="00A310BE"/>
    <w:rsid w:val="00A357CC"/>
    <w:rsid w:val="00A36924"/>
    <w:rsid w:val="00A43917"/>
    <w:rsid w:val="00A45E39"/>
    <w:rsid w:val="00A50007"/>
    <w:rsid w:val="00A5175F"/>
    <w:rsid w:val="00A60C34"/>
    <w:rsid w:val="00A72F22"/>
    <w:rsid w:val="00A73040"/>
    <w:rsid w:val="00A748A6"/>
    <w:rsid w:val="00A74A73"/>
    <w:rsid w:val="00A74EF3"/>
    <w:rsid w:val="00A75B6F"/>
    <w:rsid w:val="00A75EC9"/>
    <w:rsid w:val="00A8523D"/>
    <w:rsid w:val="00A879A4"/>
    <w:rsid w:val="00A90303"/>
    <w:rsid w:val="00A93914"/>
    <w:rsid w:val="00A93EFD"/>
    <w:rsid w:val="00A9451B"/>
    <w:rsid w:val="00AA46EC"/>
    <w:rsid w:val="00AA6ADE"/>
    <w:rsid w:val="00AB76C3"/>
    <w:rsid w:val="00AC12E0"/>
    <w:rsid w:val="00AC4017"/>
    <w:rsid w:val="00AE06E2"/>
    <w:rsid w:val="00AF17E0"/>
    <w:rsid w:val="00AF523B"/>
    <w:rsid w:val="00AF7238"/>
    <w:rsid w:val="00B30179"/>
    <w:rsid w:val="00B3094C"/>
    <w:rsid w:val="00B3317B"/>
    <w:rsid w:val="00B363F9"/>
    <w:rsid w:val="00B4226A"/>
    <w:rsid w:val="00B431FF"/>
    <w:rsid w:val="00B5451D"/>
    <w:rsid w:val="00B5654F"/>
    <w:rsid w:val="00B707EC"/>
    <w:rsid w:val="00B70E59"/>
    <w:rsid w:val="00B81E12"/>
    <w:rsid w:val="00B85A05"/>
    <w:rsid w:val="00B93068"/>
    <w:rsid w:val="00B94CD7"/>
    <w:rsid w:val="00BB0133"/>
    <w:rsid w:val="00BB027F"/>
    <w:rsid w:val="00BC603D"/>
    <w:rsid w:val="00BC74E9"/>
    <w:rsid w:val="00BD36F7"/>
    <w:rsid w:val="00BD450C"/>
    <w:rsid w:val="00BE618E"/>
    <w:rsid w:val="00BF169C"/>
    <w:rsid w:val="00BF7DE7"/>
    <w:rsid w:val="00C32725"/>
    <w:rsid w:val="00C44E98"/>
    <w:rsid w:val="00C463DD"/>
    <w:rsid w:val="00C5304E"/>
    <w:rsid w:val="00C62F76"/>
    <w:rsid w:val="00C6648A"/>
    <w:rsid w:val="00C667E3"/>
    <w:rsid w:val="00C745C3"/>
    <w:rsid w:val="00C7487E"/>
    <w:rsid w:val="00C97788"/>
    <w:rsid w:val="00CA2FB6"/>
    <w:rsid w:val="00CB64AE"/>
    <w:rsid w:val="00CC0534"/>
    <w:rsid w:val="00CC5473"/>
    <w:rsid w:val="00CC5FB1"/>
    <w:rsid w:val="00CD3225"/>
    <w:rsid w:val="00CD5FED"/>
    <w:rsid w:val="00CE1125"/>
    <w:rsid w:val="00CE46BA"/>
    <w:rsid w:val="00CE4A8F"/>
    <w:rsid w:val="00CE57DA"/>
    <w:rsid w:val="00CF03B5"/>
    <w:rsid w:val="00CF5E82"/>
    <w:rsid w:val="00CF7E49"/>
    <w:rsid w:val="00D032AF"/>
    <w:rsid w:val="00D1626A"/>
    <w:rsid w:val="00D2031B"/>
    <w:rsid w:val="00D23A46"/>
    <w:rsid w:val="00D24605"/>
    <w:rsid w:val="00D25FE2"/>
    <w:rsid w:val="00D327F7"/>
    <w:rsid w:val="00D35BDD"/>
    <w:rsid w:val="00D36689"/>
    <w:rsid w:val="00D43252"/>
    <w:rsid w:val="00D46231"/>
    <w:rsid w:val="00D625F6"/>
    <w:rsid w:val="00D71E33"/>
    <w:rsid w:val="00D729F2"/>
    <w:rsid w:val="00D753D8"/>
    <w:rsid w:val="00D828D0"/>
    <w:rsid w:val="00D83B2B"/>
    <w:rsid w:val="00D905CF"/>
    <w:rsid w:val="00D96CC5"/>
    <w:rsid w:val="00D978C6"/>
    <w:rsid w:val="00DA67AD"/>
    <w:rsid w:val="00DA6954"/>
    <w:rsid w:val="00DB2840"/>
    <w:rsid w:val="00DD62B9"/>
    <w:rsid w:val="00DD66D0"/>
    <w:rsid w:val="00DE504B"/>
    <w:rsid w:val="00DF103A"/>
    <w:rsid w:val="00DF18E3"/>
    <w:rsid w:val="00E06AF8"/>
    <w:rsid w:val="00E103A7"/>
    <w:rsid w:val="00E130AB"/>
    <w:rsid w:val="00E1345B"/>
    <w:rsid w:val="00E1679E"/>
    <w:rsid w:val="00E207EC"/>
    <w:rsid w:val="00E5644E"/>
    <w:rsid w:val="00E7260F"/>
    <w:rsid w:val="00E81230"/>
    <w:rsid w:val="00E8430E"/>
    <w:rsid w:val="00E84766"/>
    <w:rsid w:val="00E8535A"/>
    <w:rsid w:val="00E91FEA"/>
    <w:rsid w:val="00E933C4"/>
    <w:rsid w:val="00E96386"/>
    <w:rsid w:val="00E96630"/>
    <w:rsid w:val="00E96952"/>
    <w:rsid w:val="00EA34E1"/>
    <w:rsid w:val="00EA6E78"/>
    <w:rsid w:val="00EA772F"/>
    <w:rsid w:val="00EB6832"/>
    <w:rsid w:val="00EC271A"/>
    <w:rsid w:val="00EC4D9F"/>
    <w:rsid w:val="00ED14CB"/>
    <w:rsid w:val="00ED4A3F"/>
    <w:rsid w:val="00ED7A2A"/>
    <w:rsid w:val="00EE7FDC"/>
    <w:rsid w:val="00EF1D7F"/>
    <w:rsid w:val="00F0135D"/>
    <w:rsid w:val="00F22FBC"/>
    <w:rsid w:val="00F37510"/>
    <w:rsid w:val="00F40E75"/>
    <w:rsid w:val="00F46C61"/>
    <w:rsid w:val="00F52545"/>
    <w:rsid w:val="00F54674"/>
    <w:rsid w:val="00F608CD"/>
    <w:rsid w:val="00F845FF"/>
    <w:rsid w:val="00F9331F"/>
    <w:rsid w:val="00FB7353"/>
    <w:rsid w:val="00FC4A05"/>
    <w:rsid w:val="00FC68B7"/>
    <w:rsid w:val="00FD15C1"/>
    <w:rsid w:val="00FD6B2B"/>
    <w:rsid w:val="00FF03BB"/>
    <w:rsid w:val="00FF52D7"/>
    <w:rsid w:val="00FF5FC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3B8CED7"/>
  <w15:docId w15:val="{CCF10B4F-5D34-4376-84F1-28E3824A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sid w:val="00724B47"/>
    <w:rPr>
      <w:sz w:val="6"/>
    </w:rPr>
  </w:style>
  <w:style w:type="paragraph" w:styleId="CommentText">
    <w:name w:val="annotation text"/>
    <w:basedOn w:val="Normal"/>
    <w:link w:val="CommentTextChar"/>
    <w:semiHidden/>
    <w:rsid w:val="00724B47"/>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qFormat/>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72"/>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 w:type="paragraph" w:customStyle="1" w:styleId="Default">
    <w:name w:val="Default"/>
    <w:rsid w:val="00963F4E"/>
    <w:pPr>
      <w:autoSpaceDE w:val="0"/>
      <w:autoSpaceDN w:val="0"/>
      <w:adjustRightInd w:val="0"/>
    </w:pPr>
    <w:rPr>
      <w:color w:val="000000"/>
      <w:sz w:val="24"/>
      <w:szCs w:val="24"/>
      <w:lang w:val="de-DE" w:eastAsia="de-DE"/>
    </w:rPr>
  </w:style>
  <w:style w:type="paragraph" w:styleId="NoSpacing">
    <w:name w:val="No Spacing"/>
    <w:uiPriority w:val="1"/>
    <w:qFormat/>
    <w:rsid w:val="00E8430E"/>
    <w:rPr>
      <w:rFonts w:eastAsia="Calibri"/>
      <w:color w:val="000000"/>
      <w:sz w:val="24"/>
      <w:szCs w:val="24"/>
      <w:lang w:val="en-US" w:eastAsia="en-US"/>
    </w:rPr>
  </w:style>
  <w:style w:type="paragraph" w:styleId="CommentSubject">
    <w:name w:val="annotation subject"/>
    <w:basedOn w:val="CommentText"/>
    <w:next w:val="CommentText"/>
    <w:link w:val="CommentSubjectChar"/>
    <w:semiHidden/>
    <w:unhideWhenUsed/>
    <w:rsid w:val="0084115F"/>
    <w:pPr>
      <w:spacing w:line="240" w:lineRule="auto"/>
    </w:pPr>
    <w:rPr>
      <w:b/>
      <w:bCs/>
    </w:rPr>
  </w:style>
  <w:style w:type="character" w:customStyle="1" w:styleId="CommentTextChar">
    <w:name w:val="Comment Text Char"/>
    <w:basedOn w:val="DefaultParagraphFont"/>
    <w:link w:val="CommentText"/>
    <w:semiHidden/>
    <w:rsid w:val="0084115F"/>
    <w:rPr>
      <w:lang w:val="en-GB" w:eastAsia="en-US"/>
    </w:rPr>
  </w:style>
  <w:style w:type="character" w:customStyle="1" w:styleId="CommentSubjectChar">
    <w:name w:val="Comment Subject Char"/>
    <w:basedOn w:val="CommentTextChar"/>
    <w:link w:val="CommentSubject"/>
    <w:semiHidden/>
    <w:rsid w:val="0084115F"/>
    <w:rPr>
      <w:b/>
      <w:bCs/>
      <w:lang w:val="en-GB" w:eastAsia="en-US"/>
    </w:rPr>
  </w:style>
  <w:style w:type="character" w:customStyle="1" w:styleId="FooterChar">
    <w:name w:val="Footer Char"/>
    <w:aliases w:val="3_G Char"/>
    <w:basedOn w:val="DefaultParagraphFont"/>
    <w:link w:val="Footer"/>
    <w:uiPriority w:val="99"/>
    <w:rsid w:val="00E103A7"/>
    <w:rPr>
      <w:sz w:val="16"/>
      <w:lang w:val="en-GB" w:eastAsia="en-US"/>
    </w:rPr>
  </w:style>
  <w:style w:type="character" w:customStyle="1" w:styleId="SingleTxtGZchn">
    <w:name w:val="_ Single Txt_G Zchn"/>
    <w:rsid w:val="00B363F9"/>
    <w:rPr>
      <w:rFonts w:ascii="Times New Roman" w:eastAsia="Times New Roman" w:hAnsi="Times New Roman" w:cs="Times New Roman"/>
      <w:sz w:val="20"/>
      <w:szCs w:val="20"/>
      <w:lang w:val="en-GB"/>
    </w:rPr>
  </w:style>
  <w:style w:type="character" w:customStyle="1" w:styleId="HeaderChar">
    <w:name w:val="Header Char"/>
    <w:aliases w:val="6_G Char"/>
    <w:basedOn w:val="DefaultParagraphFont"/>
    <w:link w:val="Header"/>
    <w:rsid w:val="00B363F9"/>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7608">
      <w:bodyDiv w:val="1"/>
      <w:marLeft w:val="0"/>
      <w:marRight w:val="0"/>
      <w:marTop w:val="0"/>
      <w:marBottom w:val="0"/>
      <w:divBdr>
        <w:top w:val="none" w:sz="0" w:space="0" w:color="auto"/>
        <w:left w:val="none" w:sz="0" w:space="0" w:color="auto"/>
        <w:bottom w:val="none" w:sz="0" w:space="0" w:color="auto"/>
        <w:right w:val="none" w:sz="0" w:space="0" w:color="auto"/>
      </w:divBdr>
    </w:div>
    <w:div w:id="115610299">
      <w:bodyDiv w:val="1"/>
      <w:marLeft w:val="0"/>
      <w:marRight w:val="0"/>
      <w:marTop w:val="0"/>
      <w:marBottom w:val="0"/>
      <w:divBdr>
        <w:top w:val="none" w:sz="0" w:space="0" w:color="auto"/>
        <w:left w:val="none" w:sz="0" w:space="0" w:color="auto"/>
        <w:bottom w:val="none" w:sz="0" w:space="0" w:color="auto"/>
        <w:right w:val="none" w:sz="0" w:space="0" w:color="auto"/>
      </w:divBdr>
    </w:div>
    <w:div w:id="368995066">
      <w:bodyDiv w:val="1"/>
      <w:marLeft w:val="0"/>
      <w:marRight w:val="0"/>
      <w:marTop w:val="0"/>
      <w:marBottom w:val="0"/>
      <w:divBdr>
        <w:top w:val="none" w:sz="0" w:space="0" w:color="auto"/>
        <w:left w:val="none" w:sz="0" w:space="0" w:color="auto"/>
        <w:bottom w:val="none" w:sz="0" w:space="0" w:color="auto"/>
        <w:right w:val="none" w:sz="0" w:space="0" w:color="auto"/>
      </w:divBdr>
    </w:div>
    <w:div w:id="560990764">
      <w:bodyDiv w:val="1"/>
      <w:marLeft w:val="0"/>
      <w:marRight w:val="0"/>
      <w:marTop w:val="0"/>
      <w:marBottom w:val="0"/>
      <w:divBdr>
        <w:top w:val="none" w:sz="0" w:space="0" w:color="auto"/>
        <w:left w:val="none" w:sz="0" w:space="0" w:color="auto"/>
        <w:bottom w:val="none" w:sz="0" w:space="0" w:color="auto"/>
        <w:right w:val="none" w:sz="0" w:space="0" w:color="auto"/>
      </w:divBdr>
    </w:div>
    <w:div w:id="749349926">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 w:id="1490441742">
      <w:bodyDiv w:val="1"/>
      <w:marLeft w:val="0"/>
      <w:marRight w:val="0"/>
      <w:marTop w:val="0"/>
      <w:marBottom w:val="0"/>
      <w:divBdr>
        <w:top w:val="none" w:sz="0" w:space="0" w:color="auto"/>
        <w:left w:val="none" w:sz="0" w:space="0" w:color="auto"/>
        <w:bottom w:val="none" w:sz="0" w:space="0" w:color="auto"/>
        <w:right w:val="none" w:sz="0" w:space="0" w:color="auto"/>
      </w:divBdr>
    </w:div>
    <w:div w:id="1668751743">
      <w:bodyDiv w:val="1"/>
      <w:marLeft w:val="0"/>
      <w:marRight w:val="0"/>
      <w:marTop w:val="0"/>
      <w:marBottom w:val="0"/>
      <w:divBdr>
        <w:top w:val="none" w:sz="0" w:space="0" w:color="auto"/>
        <w:left w:val="none" w:sz="0" w:space="0" w:color="auto"/>
        <w:bottom w:val="none" w:sz="0" w:space="0" w:color="auto"/>
        <w:right w:val="none" w:sz="0" w:space="0" w:color="auto"/>
      </w:divBdr>
    </w:div>
    <w:div w:id="1672684134">
      <w:bodyDiv w:val="1"/>
      <w:marLeft w:val="0"/>
      <w:marRight w:val="0"/>
      <w:marTop w:val="0"/>
      <w:marBottom w:val="0"/>
      <w:divBdr>
        <w:top w:val="none" w:sz="0" w:space="0" w:color="auto"/>
        <w:left w:val="none" w:sz="0" w:space="0" w:color="auto"/>
        <w:bottom w:val="none" w:sz="0" w:space="0" w:color="auto"/>
        <w:right w:val="none" w:sz="0" w:space="0" w:color="auto"/>
      </w:divBdr>
    </w:div>
    <w:div w:id="21232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570A00AC-58C4-48CE-8E1D-A591A80A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3</Pages>
  <Words>991</Words>
  <Characters>5649</Characters>
  <Application>Microsoft Office Word</Application>
  <DocSecurity>4</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6627</CharactersWithSpaces>
  <SharedDoc>false</SharedDoc>
  <HLinks>
    <vt:vector size="6" baseType="variant">
      <vt:variant>
        <vt:i4>3080270</vt:i4>
      </vt:variant>
      <vt:variant>
        <vt:i4>0</vt:i4>
      </vt:variant>
      <vt:variant>
        <vt:i4>0</vt:i4>
      </vt:variant>
      <vt:variant>
        <vt:i4>5</vt:i4>
      </vt:variant>
      <vt:variant>
        <vt:lpwstr>mailto:Christian.michot@ineris.fr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2</cp:revision>
  <cp:lastPrinted>2018-09-03T13:57:00Z</cp:lastPrinted>
  <dcterms:created xsi:type="dcterms:W3CDTF">2018-09-19T06:57:00Z</dcterms:created>
  <dcterms:modified xsi:type="dcterms:W3CDTF">2018-09-19T06:57:00Z</dcterms:modified>
</cp:coreProperties>
</file>