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7704FB">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7704FB" w:rsidP="007704FB">
            <w:pPr>
              <w:jc w:val="right"/>
            </w:pPr>
            <w:r w:rsidRPr="007704FB">
              <w:rPr>
                <w:sz w:val="40"/>
              </w:rPr>
              <w:t>ST</w:t>
            </w:r>
            <w:r>
              <w:t>/SG/AC.10/C.3/2018/86</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7704FB" w:rsidP="00F01738">
            <w:pPr>
              <w:spacing w:before="240"/>
            </w:pPr>
            <w:r>
              <w:t xml:space="preserve">Distr. </w:t>
            </w:r>
            <w:proofErr w:type="gramStart"/>
            <w:r>
              <w:t>générale</w:t>
            </w:r>
            <w:proofErr w:type="gramEnd"/>
          </w:p>
          <w:p w:rsidR="007704FB" w:rsidRDefault="007704FB" w:rsidP="007704FB">
            <w:pPr>
              <w:spacing w:line="240" w:lineRule="exact"/>
            </w:pPr>
            <w:r>
              <w:t>5 septembre 2018</w:t>
            </w:r>
          </w:p>
          <w:p w:rsidR="007704FB" w:rsidRDefault="007704FB" w:rsidP="007704FB">
            <w:pPr>
              <w:spacing w:line="240" w:lineRule="exact"/>
            </w:pPr>
            <w:r>
              <w:t>Français</w:t>
            </w:r>
          </w:p>
          <w:p w:rsidR="007704FB" w:rsidRPr="00DB58B5" w:rsidRDefault="007704FB" w:rsidP="007704FB">
            <w:pPr>
              <w:spacing w:line="240" w:lineRule="exact"/>
            </w:pPr>
            <w:r>
              <w:t>Original : anglais</w:t>
            </w:r>
          </w:p>
        </w:tc>
      </w:tr>
    </w:tbl>
    <w:p w:rsidR="007704FB" w:rsidRPr="00CA0680" w:rsidRDefault="007704FB"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7704FB" w:rsidRPr="00CA0680" w:rsidRDefault="007704FB" w:rsidP="000305D3">
      <w:pPr>
        <w:spacing w:before="120"/>
        <w:rPr>
          <w:b/>
        </w:rPr>
      </w:pPr>
      <w:r w:rsidRPr="00CA0680">
        <w:rPr>
          <w:b/>
        </w:rPr>
        <w:t>Sous</w:t>
      </w:r>
      <w:r>
        <w:rPr>
          <w:b/>
        </w:rPr>
        <w:t>-</w:t>
      </w:r>
      <w:r w:rsidRPr="00CA0680">
        <w:rPr>
          <w:b/>
        </w:rPr>
        <w:t>Comité d’experts du transport des marchandises dangereuses</w:t>
      </w:r>
    </w:p>
    <w:p w:rsidR="007704FB" w:rsidRDefault="007704FB" w:rsidP="000305D3">
      <w:pPr>
        <w:spacing w:before="120"/>
        <w:rPr>
          <w:b/>
        </w:rPr>
      </w:pPr>
      <w:r>
        <w:rPr>
          <w:b/>
          <w:bCs/>
          <w:lang w:val="fr-FR"/>
        </w:rPr>
        <w:t>Cinquante-quatrième</w:t>
      </w:r>
      <w:r>
        <w:rPr>
          <w:b/>
        </w:rPr>
        <w:t xml:space="preserve"> </w:t>
      </w:r>
      <w:r w:rsidRPr="00CA0680">
        <w:rPr>
          <w:b/>
        </w:rPr>
        <w:t>session</w:t>
      </w:r>
    </w:p>
    <w:p w:rsidR="007704FB" w:rsidRDefault="007704FB" w:rsidP="000305D3">
      <w:r>
        <w:t xml:space="preserve">Genève, </w:t>
      </w:r>
      <w:r>
        <w:rPr>
          <w:lang w:val="fr-FR"/>
        </w:rPr>
        <w:t>26 novembre-4 décembre 2018</w:t>
      </w:r>
    </w:p>
    <w:p w:rsidR="007704FB" w:rsidRDefault="007704FB" w:rsidP="000305D3">
      <w:r>
        <w:t>Point 2 a) de l’ordre du jour provisoire</w:t>
      </w:r>
    </w:p>
    <w:p w:rsidR="007704FB" w:rsidRPr="007704FB" w:rsidRDefault="007704FB" w:rsidP="00AC3823">
      <w:pPr>
        <w:rPr>
          <w:b/>
        </w:rPr>
      </w:pPr>
      <w:r w:rsidRPr="007704FB">
        <w:rPr>
          <w:b/>
          <w:bCs/>
          <w:lang w:val="fr-FR"/>
        </w:rPr>
        <w:t xml:space="preserve">Recommandations du Sous-Comité formulées à ses cinquante et unième, </w:t>
      </w:r>
      <w:r>
        <w:rPr>
          <w:b/>
          <w:bCs/>
          <w:lang w:val="fr-FR"/>
        </w:rPr>
        <w:br/>
      </w:r>
      <w:r w:rsidRPr="007704FB">
        <w:rPr>
          <w:b/>
          <w:bCs/>
          <w:lang w:val="fr-FR"/>
        </w:rPr>
        <w:t xml:space="preserve">cinquante-deuxième et cinquante-troisième sessions et questions en suspens : </w:t>
      </w:r>
      <w:r>
        <w:rPr>
          <w:b/>
          <w:bCs/>
          <w:lang w:val="fr-FR"/>
        </w:rPr>
        <w:br/>
      </w:r>
      <w:r w:rsidRPr="007704FB">
        <w:rPr>
          <w:b/>
          <w:bCs/>
          <w:lang w:val="fr-FR"/>
        </w:rPr>
        <w:t>Examen des projets d’amendements déjà adoptés durant la période biennale</w:t>
      </w:r>
    </w:p>
    <w:p w:rsidR="007704FB" w:rsidRPr="007704FB" w:rsidRDefault="007704FB" w:rsidP="007704FB">
      <w:pPr>
        <w:pStyle w:val="HChG"/>
        <w:rPr>
          <w:lang w:val="fr-FR"/>
        </w:rPr>
      </w:pPr>
      <w:r w:rsidRPr="007704FB">
        <w:rPr>
          <w:lang w:val="fr-FR"/>
        </w:rPr>
        <w:tab/>
      </w:r>
      <w:r w:rsidRPr="007704FB">
        <w:rPr>
          <w:lang w:val="fr-FR"/>
        </w:rPr>
        <w:tab/>
        <w:t xml:space="preserve">Suppression du groupe d’emballage I pour le </w:t>
      </w:r>
      <w:r w:rsidR="00D470E5">
        <w:rPr>
          <w:lang w:val="fr-FR"/>
        </w:rPr>
        <w:t>No</w:t>
      </w:r>
      <w:r w:rsidR="005556CA">
        <w:rPr>
          <w:lang w:val="fr-FR"/>
        </w:rPr>
        <w:t> ONU </w:t>
      </w:r>
      <w:r w:rsidRPr="007704FB">
        <w:rPr>
          <w:lang w:val="fr-FR"/>
        </w:rPr>
        <w:t>1390 (Amidures de métaux alcalins)</w:t>
      </w:r>
    </w:p>
    <w:p w:rsidR="007704FB" w:rsidRPr="007704FB" w:rsidRDefault="007704FB" w:rsidP="007704FB">
      <w:pPr>
        <w:pStyle w:val="H1G"/>
        <w:rPr>
          <w:lang w:val="fr-FR"/>
        </w:rPr>
      </w:pPr>
      <w:r w:rsidRPr="007704FB">
        <w:rPr>
          <w:lang w:val="fr-FR"/>
        </w:rPr>
        <w:tab/>
      </w:r>
      <w:r w:rsidRPr="007704FB">
        <w:rPr>
          <w:lang w:val="fr-FR"/>
        </w:rPr>
        <w:tab/>
        <w:t>Communication de l’expert des États-Unis d’Amérique</w:t>
      </w:r>
      <w:r w:rsidRPr="005556CA">
        <w:rPr>
          <w:rStyle w:val="FootnoteReference"/>
          <w:b w:val="0"/>
          <w:sz w:val="20"/>
          <w:vertAlign w:val="baseline"/>
        </w:rPr>
        <w:footnoteReference w:customMarkFollows="1" w:id="2"/>
        <w:t>*</w:t>
      </w:r>
    </w:p>
    <w:p w:rsidR="007704FB" w:rsidRPr="007704FB" w:rsidRDefault="007704FB" w:rsidP="007704FB">
      <w:pPr>
        <w:pStyle w:val="HChG"/>
        <w:rPr>
          <w:lang w:val="fr-FR"/>
        </w:rPr>
      </w:pPr>
      <w:r w:rsidRPr="007704FB">
        <w:rPr>
          <w:lang w:val="fr-FR"/>
        </w:rPr>
        <w:tab/>
      </w:r>
      <w:r w:rsidRPr="007704FB">
        <w:rPr>
          <w:lang w:val="fr-FR"/>
        </w:rPr>
        <w:tab/>
        <w:t>Historique</w:t>
      </w:r>
    </w:p>
    <w:p w:rsidR="007704FB" w:rsidRPr="007704FB" w:rsidRDefault="007704FB" w:rsidP="007704FB">
      <w:pPr>
        <w:pStyle w:val="SingleTxtG"/>
        <w:rPr>
          <w:lang w:val="fr-FR"/>
        </w:rPr>
      </w:pPr>
      <w:r w:rsidRPr="007704FB">
        <w:rPr>
          <w:lang w:val="fr-FR"/>
        </w:rPr>
        <w:t>1.</w:t>
      </w:r>
      <w:r w:rsidRPr="007704FB">
        <w:rPr>
          <w:lang w:val="fr-FR"/>
        </w:rPr>
        <w:tab/>
        <w:t>À la cinquante-deuxième session, tenue en décembre 2017, le Sous-Comité a décidé d’ajouter le groupe d’</w:t>
      </w:r>
      <w:r w:rsidR="005556CA">
        <w:rPr>
          <w:lang w:val="fr-FR"/>
        </w:rPr>
        <w:t>emballage I (GE </w:t>
      </w:r>
      <w:r w:rsidRPr="007704FB">
        <w:rPr>
          <w:lang w:val="fr-FR"/>
        </w:rPr>
        <w:t xml:space="preserve">I) dans la colonne appropriée de la liste des marchandises dangereuses, pour le </w:t>
      </w:r>
      <w:r w:rsidR="005556CA">
        <w:rPr>
          <w:lang w:val="fr-FR"/>
        </w:rPr>
        <w:t>No</w:t>
      </w:r>
      <w:r w:rsidRPr="007704FB">
        <w:rPr>
          <w:lang w:val="fr-FR"/>
        </w:rPr>
        <w:t> ONU 1390 (Amidures de métaux alcalins), sur la foi des données obtenues en soumettant l’amidure de sodium à l’épreuve N.5. Jusqu’alors, dans la liste des marchandises dangereuses, seul le GE II était spécifié pour cette rubrique. Cette décision a été prise sur la base des informations contenues dans le document ST/SG/AC.10/C.3/2017/38. Elle est mentionnée à l’</w:t>
      </w:r>
      <w:r w:rsidR="000462F1">
        <w:rPr>
          <w:lang w:val="fr-FR"/>
        </w:rPr>
        <w:t>annexe </w:t>
      </w:r>
      <w:r w:rsidRPr="007704FB">
        <w:rPr>
          <w:lang w:val="fr-FR"/>
        </w:rPr>
        <w:t>II du document ST/SG/AC.10/C.3/104/Add.1, à propos de</w:t>
      </w:r>
      <w:r w:rsidR="000462F1">
        <w:rPr>
          <w:lang w:val="fr-FR"/>
        </w:rPr>
        <w:t>s amendements au chapitre </w:t>
      </w:r>
      <w:r w:rsidRPr="007704FB">
        <w:rPr>
          <w:lang w:val="fr-FR"/>
        </w:rPr>
        <w:t>3.2.</w:t>
      </w:r>
    </w:p>
    <w:p w:rsidR="007704FB" w:rsidRPr="007704FB" w:rsidRDefault="007704FB" w:rsidP="007704FB">
      <w:pPr>
        <w:pStyle w:val="SingleTxtG"/>
        <w:rPr>
          <w:lang w:val="fr-FR"/>
        </w:rPr>
      </w:pPr>
      <w:r w:rsidRPr="007704FB">
        <w:rPr>
          <w:lang w:val="fr-FR"/>
        </w:rPr>
        <w:t>2.</w:t>
      </w:r>
      <w:r w:rsidRPr="007704FB">
        <w:rPr>
          <w:lang w:val="fr-FR"/>
        </w:rPr>
        <w:tab/>
        <w:t>Les amidures de métaux alcalins sont classé</w:t>
      </w:r>
      <w:r w:rsidR="000462F1">
        <w:rPr>
          <w:lang w:val="fr-FR"/>
        </w:rPr>
        <w:t>s dans la division </w:t>
      </w:r>
      <w:r w:rsidRPr="007704FB">
        <w:rPr>
          <w:lang w:val="fr-FR"/>
        </w:rPr>
        <w:t>4.3 (</w:t>
      </w:r>
      <w:r w:rsidRPr="007704FB">
        <w:rPr>
          <w:i/>
          <w:iCs/>
          <w:lang w:val="fr-FR"/>
        </w:rPr>
        <w:t>Matières qui, au contact de l’eau, dégagent des gaz inflammables</w:t>
      </w:r>
      <w:r w:rsidRPr="000462F1">
        <w:rPr>
          <w:iCs/>
          <w:lang w:val="fr-FR"/>
        </w:rPr>
        <w:t>)</w:t>
      </w:r>
      <w:r w:rsidRPr="007704FB">
        <w:rPr>
          <w:lang w:val="fr-FR"/>
        </w:rPr>
        <w:t>. La réaction chimique entre ces matières et l’eau produit de l’ammoniac et de l’hydroxyde métallique [voir (1)]</w:t>
      </w:r>
      <w:r w:rsidR="000462F1">
        <w:rPr>
          <w:lang w:val="fr-FR"/>
        </w:rPr>
        <w:t>.</w:t>
      </w:r>
      <w:r w:rsidRPr="007704FB">
        <w:rPr>
          <w:lang w:val="fr-FR"/>
        </w:rPr>
        <w:t xml:space="preserve"> La plage d’inflammabilité de l’ammoniac aux conditions ambiantes ne satisfait pas aux conditions d’affectation à la catégorie des gaz inflammables énoncées au 2.2.2.1 parce que l’ammoniac n’est </w:t>
      </w:r>
      <w:r w:rsidR="000462F1">
        <w:rPr>
          <w:lang w:val="fr-FR"/>
        </w:rPr>
        <w:t>pas inflammable en mélange à 13 </w:t>
      </w:r>
      <w:r w:rsidRPr="007704FB">
        <w:rPr>
          <w:lang w:val="fr-FR"/>
        </w:rPr>
        <w:t>% ou moins avec l’air et que sa plage d’inflammabilité est d’une étendue inférieure à 12 points (elle se situe entre 16</w:t>
      </w:r>
      <w:r w:rsidR="000462F1">
        <w:rPr>
          <w:lang w:val="fr-FR"/>
        </w:rPr>
        <w:t>,</w:t>
      </w:r>
      <w:r w:rsidRPr="007704FB">
        <w:rPr>
          <w:lang w:val="fr-FR"/>
        </w:rPr>
        <w:t>5 % et 27</w:t>
      </w:r>
      <w:r w:rsidR="000462F1">
        <w:rPr>
          <w:lang w:val="fr-FR"/>
        </w:rPr>
        <w:t>,</w:t>
      </w:r>
      <w:r w:rsidRPr="007704FB">
        <w:rPr>
          <w:lang w:val="fr-FR"/>
        </w:rPr>
        <w:t>2 %)</w:t>
      </w:r>
      <w:r w:rsidR="000462F1">
        <w:rPr>
          <w:rStyle w:val="FootnoteReference"/>
        </w:rPr>
        <w:footnoteReference w:id="3"/>
      </w:r>
      <w:r w:rsidRPr="007704FB">
        <w:rPr>
          <w:lang w:val="fr-FR"/>
        </w:rPr>
        <w:t>.</w:t>
      </w:r>
    </w:p>
    <w:p w:rsidR="007704FB" w:rsidRPr="007704FB" w:rsidRDefault="000A7753" w:rsidP="007704FB">
      <w:pPr>
        <w:pStyle w:val="SingleTxtG"/>
        <w:rPr>
          <w:i/>
          <w:iCs/>
          <w:lang w:val="fr-FR"/>
        </w:rPr>
      </w:pPr>
      <m:oMath>
        <m:sSub>
          <m:sSubPr>
            <m:ctrlPr>
              <w:rPr>
                <w:rFonts w:ascii="Cambria Math" w:hAnsi="Cambria Math"/>
                <w:b/>
                <w:i/>
                <w:iCs/>
                <w:lang w:val="en-US"/>
              </w:rPr>
            </m:ctrlPr>
          </m:sSubPr>
          <m:e>
            <m:r>
              <m:rPr>
                <m:sty m:val="bi"/>
              </m:rPr>
              <w:rPr>
                <w:rFonts w:ascii="Cambria Math" w:hAnsi="Cambria Math"/>
                <w:lang w:val="en-US"/>
              </w:rPr>
              <m:t>NaNH</m:t>
            </m:r>
          </m:e>
          <m:sub>
            <m:r>
              <m:rPr>
                <m:sty m:val="bi"/>
              </m:rPr>
              <w:rPr>
                <w:rFonts w:ascii="Cambria Math" w:hAnsi="Cambria Math"/>
                <w:lang w:val="en-US"/>
              </w:rPr>
              <m:t>2</m:t>
            </m:r>
            <m:r>
              <m:rPr>
                <m:sty m:val="bi"/>
              </m:rPr>
              <w:rPr>
                <w:rFonts w:ascii="Cambria Math" w:hAnsi="Cambria Math"/>
                <w:lang w:val="fr-FR"/>
              </w:rPr>
              <m:t>(</m:t>
            </m:r>
            <m:r>
              <m:rPr>
                <m:sty m:val="bi"/>
              </m:rPr>
              <w:rPr>
                <w:rFonts w:ascii="Cambria Math" w:hAnsi="Cambria Math"/>
                <w:lang w:val="en-US"/>
              </w:rPr>
              <m:t>S</m:t>
            </m:r>
            <m:r>
              <m:rPr>
                <m:sty m:val="bi"/>
              </m:rPr>
              <w:rPr>
                <w:rFonts w:ascii="Cambria Math" w:hAnsi="Cambria Math"/>
                <w:lang w:val="fr-FR"/>
              </w:rPr>
              <m:t>)</m:t>
            </m:r>
          </m:sub>
        </m:sSub>
        <m:r>
          <m:rPr>
            <m:sty m:val="bi"/>
          </m:rPr>
          <w:rPr>
            <w:rFonts w:ascii="Cambria Math" w:hAnsi="Cambria Math"/>
            <w:lang w:val="fr-FR"/>
          </w:rPr>
          <m:t>+</m:t>
        </m:r>
        <m:sSub>
          <m:sSubPr>
            <m:ctrlPr>
              <w:rPr>
                <w:rFonts w:ascii="Cambria Math" w:hAnsi="Cambria Math"/>
                <w:b/>
                <w:i/>
                <w:iCs/>
                <w:lang w:val="en-US"/>
              </w:rPr>
            </m:ctrlPr>
          </m:sSubPr>
          <m:e>
            <m:r>
              <m:rPr>
                <m:sty m:val="bi"/>
              </m:rPr>
              <w:rPr>
                <w:rFonts w:ascii="Cambria Math" w:hAnsi="Cambria Math"/>
                <w:lang w:val="en-US"/>
              </w:rPr>
              <m:t>H</m:t>
            </m:r>
          </m:e>
          <m:sub>
            <m:r>
              <m:rPr>
                <m:sty m:val="bi"/>
              </m:rPr>
              <w:rPr>
                <w:rFonts w:ascii="Cambria Math" w:hAnsi="Cambria Math"/>
                <w:lang w:val="en-US"/>
              </w:rPr>
              <m:t>2</m:t>
            </m:r>
          </m:sub>
        </m:sSub>
        <m:sSub>
          <m:sSubPr>
            <m:ctrlPr>
              <w:rPr>
                <w:rFonts w:ascii="Cambria Math" w:hAnsi="Cambria Math"/>
                <w:b/>
                <w:i/>
                <w:iCs/>
                <w:lang w:val="en-US"/>
              </w:rPr>
            </m:ctrlPr>
          </m:sSubPr>
          <m:e>
            <m:r>
              <m:rPr>
                <m:sty m:val="bi"/>
              </m:rPr>
              <w:rPr>
                <w:rFonts w:ascii="Cambria Math" w:hAnsi="Cambria Math"/>
                <w:lang w:val="en-US"/>
              </w:rPr>
              <m:t>O</m:t>
            </m:r>
          </m:e>
          <m:sub>
            <m:r>
              <m:rPr>
                <m:sty m:val="bi"/>
              </m:rPr>
              <w:rPr>
                <w:rFonts w:ascii="Cambria Math" w:hAnsi="Cambria Math"/>
                <w:lang w:val="fr-FR"/>
              </w:rPr>
              <m:t>(</m:t>
            </m:r>
            <m:r>
              <m:rPr>
                <m:sty m:val="bi"/>
              </m:rPr>
              <w:rPr>
                <w:rFonts w:ascii="Cambria Math" w:hAnsi="Cambria Math"/>
                <w:lang w:val="en-US"/>
              </w:rPr>
              <m:t>l</m:t>
            </m:r>
            <m:r>
              <m:rPr>
                <m:sty m:val="bi"/>
              </m:rPr>
              <w:rPr>
                <w:rFonts w:ascii="Cambria Math" w:hAnsi="Cambria Math"/>
                <w:lang w:val="fr-FR"/>
              </w:rPr>
              <m:t>)</m:t>
            </m:r>
          </m:sub>
        </m:sSub>
        <m:r>
          <m:rPr>
            <m:sty m:val="bi"/>
          </m:rPr>
          <w:rPr>
            <w:rFonts w:ascii="Cambria Math" w:hAnsi="Cambria Math"/>
            <w:lang w:val="fr-FR"/>
          </w:rPr>
          <m:t xml:space="preserve"> →</m:t>
        </m:r>
        <m:sSub>
          <m:sSubPr>
            <m:ctrlPr>
              <w:rPr>
                <w:rFonts w:ascii="Cambria Math" w:hAnsi="Cambria Math"/>
                <w:b/>
                <w:i/>
                <w:iCs/>
                <w:lang w:val="en-US"/>
              </w:rPr>
            </m:ctrlPr>
          </m:sSubPr>
          <m:e>
            <m:r>
              <m:rPr>
                <m:sty m:val="bi"/>
              </m:rPr>
              <w:rPr>
                <w:rFonts w:ascii="Cambria Math" w:hAnsi="Cambria Math"/>
                <w:lang w:val="en-US"/>
              </w:rPr>
              <m:t>NH</m:t>
            </m:r>
          </m:e>
          <m:sub>
            <m:r>
              <m:rPr>
                <m:sty m:val="bi"/>
              </m:rPr>
              <w:rPr>
                <w:rFonts w:ascii="Cambria Math" w:hAnsi="Cambria Math"/>
                <w:lang w:val="en-US"/>
              </w:rPr>
              <m:t>3</m:t>
            </m:r>
            <m:r>
              <m:rPr>
                <m:sty m:val="bi"/>
              </m:rPr>
              <w:rPr>
                <w:rFonts w:ascii="Cambria Math" w:hAnsi="Cambria Math"/>
                <w:lang w:val="fr-FR"/>
              </w:rPr>
              <m:t>(</m:t>
            </m:r>
            <m:r>
              <m:rPr>
                <m:sty m:val="bi"/>
              </m:rPr>
              <w:rPr>
                <w:rFonts w:ascii="Cambria Math" w:hAnsi="Cambria Math"/>
                <w:lang w:val="en-US"/>
              </w:rPr>
              <m:t>g</m:t>
            </m:r>
            <m:r>
              <m:rPr>
                <m:sty m:val="bi"/>
              </m:rPr>
              <w:rPr>
                <w:rFonts w:ascii="Cambria Math" w:hAnsi="Cambria Math"/>
                <w:lang w:val="fr-FR"/>
              </w:rPr>
              <m:t>)</m:t>
            </m:r>
          </m:sub>
        </m:sSub>
        <m:r>
          <m:rPr>
            <m:sty m:val="bi"/>
          </m:rPr>
          <w:rPr>
            <w:rFonts w:ascii="Cambria Math" w:hAnsi="Cambria Math"/>
            <w:lang w:val="fr-FR"/>
          </w:rPr>
          <m:t>+</m:t>
        </m:r>
        <m:sSub>
          <m:sSubPr>
            <m:ctrlPr>
              <w:rPr>
                <w:rFonts w:ascii="Cambria Math" w:hAnsi="Cambria Math"/>
                <w:b/>
                <w:i/>
                <w:iCs/>
                <w:lang w:val="en-US"/>
              </w:rPr>
            </m:ctrlPr>
          </m:sSubPr>
          <m:e>
            <m:r>
              <m:rPr>
                <m:sty m:val="bi"/>
              </m:rPr>
              <w:rPr>
                <w:rFonts w:ascii="Cambria Math" w:hAnsi="Cambria Math"/>
                <w:lang w:val="en-US"/>
              </w:rPr>
              <m:t>NaOH</m:t>
            </m:r>
          </m:e>
          <m:sub>
            <m:r>
              <m:rPr>
                <m:sty m:val="bi"/>
              </m:rPr>
              <w:rPr>
                <w:rFonts w:ascii="Cambria Math" w:hAnsi="Cambria Math"/>
                <w:lang w:val="fr-FR"/>
              </w:rPr>
              <m:t>(</m:t>
            </m:r>
            <m:r>
              <m:rPr>
                <m:sty m:val="bi"/>
              </m:rPr>
              <w:rPr>
                <w:rFonts w:ascii="Cambria Math" w:hAnsi="Cambria Math"/>
                <w:lang w:val="en-US"/>
              </w:rPr>
              <m:t>aq</m:t>
            </m:r>
            <m:r>
              <m:rPr>
                <m:sty m:val="bi"/>
              </m:rPr>
              <w:rPr>
                <w:rFonts w:ascii="Cambria Math" w:hAnsi="Cambria Math"/>
                <w:lang w:val="fr-FR"/>
              </w:rPr>
              <m:t>)</m:t>
            </m:r>
          </m:sub>
        </m:sSub>
        <m:r>
          <m:rPr>
            <m:sty m:val="bi"/>
          </m:rPr>
          <w:rPr>
            <w:rFonts w:ascii="Cambria Math" w:hAnsi="Cambria Math"/>
            <w:lang w:val="fr-FR"/>
          </w:rPr>
          <m:t xml:space="preserve"> </m:t>
        </m:r>
      </m:oMath>
      <w:r w:rsidR="007704FB" w:rsidRPr="007704FB">
        <w:rPr>
          <w:lang w:val="fr-FR"/>
        </w:rPr>
        <w:tab/>
      </w:r>
      <w:r w:rsidR="007704FB" w:rsidRPr="007704FB">
        <w:rPr>
          <w:i/>
          <w:iCs/>
          <w:lang w:val="fr-FR"/>
        </w:rPr>
        <w:t>(1)</w:t>
      </w:r>
    </w:p>
    <w:p w:rsidR="007704FB" w:rsidRPr="007704FB" w:rsidRDefault="007704FB" w:rsidP="007704FB">
      <w:pPr>
        <w:pStyle w:val="SingleTxtG"/>
        <w:rPr>
          <w:lang w:val="fr-FR"/>
        </w:rPr>
      </w:pPr>
      <w:r w:rsidRPr="007704FB">
        <w:rPr>
          <w:lang w:val="fr-FR"/>
        </w:rPr>
        <w:lastRenderedPageBreak/>
        <w:br w:type="page"/>
      </w:r>
      <w:r w:rsidRPr="007704FB">
        <w:rPr>
          <w:lang w:val="fr-FR"/>
        </w:rPr>
        <w:lastRenderedPageBreak/>
        <w:t>3.</w:t>
      </w:r>
      <w:r w:rsidRPr="007704FB">
        <w:rPr>
          <w:lang w:val="fr-FR"/>
        </w:rPr>
        <w:tab/>
        <w:t xml:space="preserve">Étant donné que les gaz résultant de l’introduction d’eau dans les amidures de métaux alcalins ne sont pas considérés comme des </w:t>
      </w:r>
      <w:r w:rsidR="00B872A4">
        <w:rPr>
          <w:lang w:val="fr-FR"/>
        </w:rPr>
        <w:t>« </w:t>
      </w:r>
      <w:r w:rsidRPr="007704FB">
        <w:rPr>
          <w:lang w:val="fr-FR"/>
        </w:rPr>
        <w:t>gaz inflammables</w:t>
      </w:r>
      <w:r w:rsidR="00B872A4">
        <w:rPr>
          <w:lang w:val="fr-FR"/>
        </w:rPr>
        <w:t> »</w:t>
      </w:r>
      <w:r w:rsidRPr="007704FB">
        <w:rPr>
          <w:lang w:val="fr-FR"/>
        </w:rPr>
        <w:t xml:space="preserve"> selon les critères du 2.2.2.1, la vitesse de dégagement du gaz n’est pas pertinente aux fins du classement. L’affectation de cette rubrique au groupe d’emballage II correspond davantage aux conditions énoncées dans la disposition spéciale 279 ou dans la 23. En effet, la disposition spéciale 279 énonce qu’une matière est classée ou affectée à un groupe d’emballage en fonction de ses effets connus sur l’homme plutôt que de l’application stricte des critères définis, et la disposition spéciale 23 [affectée au </w:t>
      </w:r>
      <w:r w:rsidR="00B872A4">
        <w:rPr>
          <w:lang w:val="fr-FR"/>
        </w:rPr>
        <w:t>No</w:t>
      </w:r>
      <w:r w:rsidRPr="007704FB">
        <w:rPr>
          <w:lang w:val="fr-FR"/>
        </w:rPr>
        <w:t xml:space="preserve"> ONU 3318 (ammoniac en solution aqueuse)] s’applique à une matière qui présente un danger d’inflammabilité, lequel ne se manifeste qu’en cas d’incendie très violent dans un espace confiné. </w:t>
      </w:r>
    </w:p>
    <w:p w:rsidR="007704FB" w:rsidRPr="007704FB" w:rsidRDefault="007704FB" w:rsidP="002F0320">
      <w:pPr>
        <w:pStyle w:val="HChG"/>
        <w:rPr>
          <w:lang w:val="fr-FR"/>
        </w:rPr>
      </w:pPr>
      <w:r w:rsidRPr="007704FB">
        <w:rPr>
          <w:lang w:val="fr-FR"/>
        </w:rPr>
        <w:tab/>
      </w:r>
      <w:r w:rsidRPr="007704FB">
        <w:rPr>
          <w:lang w:val="fr-FR"/>
        </w:rPr>
        <w:tab/>
        <w:t>Proposition</w:t>
      </w:r>
    </w:p>
    <w:p w:rsidR="00446FE5" w:rsidRDefault="007704FB" w:rsidP="007704FB">
      <w:pPr>
        <w:pStyle w:val="SingleTxtG"/>
        <w:rPr>
          <w:lang w:val="fr-FR"/>
        </w:rPr>
      </w:pPr>
      <w:r w:rsidRPr="007704FB">
        <w:rPr>
          <w:lang w:val="fr-FR"/>
        </w:rPr>
        <w:t>4.</w:t>
      </w:r>
      <w:r w:rsidRPr="007704FB">
        <w:rPr>
          <w:lang w:val="fr-FR"/>
        </w:rPr>
        <w:tab/>
        <w:t xml:space="preserve">Il est proposé de retirer la mention du groupe d’emballage I de la rubrique de la liste des marchandises dangereuses correspondant au </w:t>
      </w:r>
      <w:r w:rsidR="002F0320">
        <w:rPr>
          <w:lang w:val="fr-FR"/>
        </w:rPr>
        <w:t>No</w:t>
      </w:r>
      <w:r w:rsidRPr="007704FB">
        <w:rPr>
          <w:lang w:val="fr-FR"/>
        </w:rPr>
        <w:t> ONU 1390 (Amidures de métaux alcalins) adoptée à la cinquante-deuxième session (voir l’annexe</w:t>
      </w:r>
      <w:r w:rsidR="002F0320">
        <w:rPr>
          <w:lang w:val="fr-FR"/>
        </w:rPr>
        <w:t> </w:t>
      </w:r>
      <w:r w:rsidRPr="007704FB">
        <w:rPr>
          <w:lang w:val="fr-FR"/>
        </w:rPr>
        <w:t>II du ST/SG/AC.10/C.3/104/Add.1 et la liste récapitulative des amendements à la vingtième édition révisée du Règlement type dans le ST/SG/AC.10/C.3/2018/65).</w:t>
      </w:r>
    </w:p>
    <w:p w:rsidR="007704FB" w:rsidRPr="007704FB" w:rsidRDefault="007704FB" w:rsidP="007704FB">
      <w:pPr>
        <w:pStyle w:val="SingleTxtG"/>
        <w:spacing w:before="240" w:after="0"/>
        <w:jc w:val="center"/>
        <w:rPr>
          <w:u w:val="single"/>
        </w:rPr>
      </w:pPr>
      <w:r>
        <w:rPr>
          <w:u w:val="single"/>
        </w:rPr>
        <w:tab/>
      </w:r>
      <w:r>
        <w:rPr>
          <w:u w:val="single"/>
        </w:rPr>
        <w:tab/>
      </w:r>
      <w:r>
        <w:rPr>
          <w:u w:val="single"/>
        </w:rPr>
        <w:tab/>
      </w:r>
    </w:p>
    <w:sectPr w:rsidR="007704FB" w:rsidRPr="007704FB" w:rsidSect="007704F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9C9" w:rsidRDefault="008829C9" w:rsidP="00F95C08">
      <w:pPr>
        <w:spacing w:line="240" w:lineRule="auto"/>
      </w:pPr>
    </w:p>
  </w:endnote>
  <w:endnote w:type="continuationSeparator" w:id="0">
    <w:p w:rsidR="008829C9" w:rsidRPr="00AC3823" w:rsidRDefault="008829C9" w:rsidP="00AC3823">
      <w:pPr>
        <w:pStyle w:val="Footer"/>
      </w:pPr>
    </w:p>
  </w:endnote>
  <w:endnote w:type="continuationNotice" w:id="1">
    <w:p w:rsidR="008829C9" w:rsidRDefault="008829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4FB" w:rsidRPr="007704FB" w:rsidRDefault="007704FB" w:rsidP="007704FB">
    <w:pPr>
      <w:pStyle w:val="Footer"/>
      <w:tabs>
        <w:tab w:val="right" w:pos="9638"/>
      </w:tabs>
    </w:pPr>
    <w:r w:rsidRPr="007704FB">
      <w:rPr>
        <w:b/>
        <w:sz w:val="18"/>
      </w:rPr>
      <w:fldChar w:fldCharType="begin"/>
    </w:r>
    <w:r w:rsidRPr="007704FB">
      <w:rPr>
        <w:b/>
        <w:sz w:val="18"/>
      </w:rPr>
      <w:instrText xml:space="preserve"> PAGE  \* MERGEFORMAT </w:instrText>
    </w:r>
    <w:r w:rsidRPr="007704FB">
      <w:rPr>
        <w:b/>
        <w:sz w:val="18"/>
      </w:rPr>
      <w:fldChar w:fldCharType="separate"/>
    </w:r>
    <w:r w:rsidR="00197DCD">
      <w:rPr>
        <w:b/>
        <w:noProof/>
        <w:sz w:val="18"/>
      </w:rPr>
      <w:t>2</w:t>
    </w:r>
    <w:r w:rsidRPr="007704FB">
      <w:rPr>
        <w:b/>
        <w:sz w:val="18"/>
      </w:rPr>
      <w:fldChar w:fldCharType="end"/>
    </w:r>
    <w:r>
      <w:rPr>
        <w:b/>
        <w:sz w:val="18"/>
      </w:rPr>
      <w:tab/>
    </w:r>
    <w:r>
      <w:t>GE.18-14689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4FB" w:rsidRPr="007704FB" w:rsidRDefault="007704FB" w:rsidP="007704FB">
    <w:pPr>
      <w:pStyle w:val="Footer"/>
      <w:tabs>
        <w:tab w:val="right" w:pos="9638"/>
      </w:tabs>
      <w:rPr>
        <w:b/>
        <w:sz w:val="18"/>
      </w:rPr>
    </w:pPr>
    <w:r>
      <w:t>GE.18-14689</w:t>
    </w:r>
    <w:r>
      <w:tab/>
    </w:r>
    <w:r w:rsidRPr="007704FB">
      <w:rPr>
        <w:b/>
        <w:sz w:val="18"/>
      </w:rPr>
      <w:fldChar w:fldCharType="begin"/>
    </w:r>
    <w:r w:rsidRPr="007704FB">
      <w:rPr>
        <w:b/>
        <w:sz w:val="18"/>
      </w:rPr>
      <w:instrText xml:space="preserve"> PAGE  \* MERGEFORMAT </w:instrText>
    </w:r>
    <w:r w:rsidRPr="007704FB">
      <w:rPr>
        <w:b/>
        <w:sz w:val="18"/>
      </w:rPr>
      <w:fldChar w:fldCharType="separate"/>
    </w:r>
    <w:r w:rsidR="000462F1">
      <w:rPr>
        <w:b/>
        <w:noProof/>
        <w:sz w:val="18"/>
      </w:rPr>
      <w:t>3</w:t>
    </w:r>
    <w:r w:rsidRPr="007704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7704FB" w:rsidRDefault="007704FB" w:rsidP="007704FB">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14689  (</w:t>
    </w:r>
    <w:proofErr w:type="gramEnd"/>
    <w:r>
      <w:rPr>
        <w:sz w:val="20"/>
      </w:rPr>
      <w:t>F)    081018    091018</w:t>
    </w:r>
    <w:r>
      <w:rPr>
        <w:sz w:val="20"/>
      </w:rPr>
      <w:br/>
    </w:r>
    <w:r w:rsidRPr="007704FB">
      <w:rPr>
        <w:rFonts w:ascii="C39T30Lfz" w:hAnsi="C39T30Lfz"/>
        <w:sz w:val="56"/>
      </w:rPr>
      <w:t></w:t>
    </w:r>
    <w:r w:rsidRPr="007704FB">
      <w:rPr>
        <w:rFonts w:ascii="C39T30Lfz" w:hAnsi="C39T30Lfz"/>
        <w:sz w:val="56"/>
      </w:rPr>
      <w:t></w:t>
    </w:r>
    <w:r w:rsidRPr="007704FB">
      <w:rPr>
        <w:rFonts w:ascii="C39T30Lfz" w:hAnsi="C39T30Lfz"/>
        <w:sz w:val="56"/>
      </w:rPr>
      <w:t></w:t>
    </w:r>
    <w:r w:rsidRPr="007704FB">
      <w:rPr>
        <w:rFonts w:ascii="C39T30Lfz" w:hAnsi="C39T30Lfz"/>
        <w:sz w:val="56"/>
      </w:rPr>
      <w:t></w:t>
    </w:r>
    <w:r w:rsidRPr="007704FB">
      <w:rPr>
        <w:rFonts w:ascii="C39T30Lfz" w:hAnsi="C39T30Lfz"/>
        <w:sz w:val="56"/>
      </w:rPr>
      <w:t></w:t>
    </w:r>
    <w:r w:rsidRPr="007704FB">
      <w:rPr>
        <w:rFonts w:ascii="C39T30Lfz" w:hAnsi="C39T30Lfz"/>
        <w:sz w:val="56"/>
      </w:rPr>
      <w:t></w:t>
    </w:r>
    <w:r w:rsidRPr="007704FB">
      <w:rPr>
        <w:rFonts w:ascii="C39T30Lfz" w:hAnsi="C39T30Lfz"/>
        <w:sz w:val="56"/>
      </w:rPr>
      <w:t></w:t>
    </w:r>
    <w:r w:rsidRPr="007704FB">
      <w:rPr>
        <w:rFonts w:ascii="C39T30Lfz" w:hAnsi="C39T30Lfz"/>
        <w:sz w:val="56"/>
      </w:rPr>
      <w:t></w:t>
    </w:r>
    <w:r w:rsidRPr="007704F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8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8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9C9" w:rsidRPr="00AC3823" w:rsidRDefault="008829C9" w:rsidP="00AC3823">
      <w:pPr>
        <w:pStyle w:val="Footer"/>
        <w:tabs>
          <w:tab w:val="right" w:pos="2155"/>
        </w:tabs>
        <w:spacing w:after="80" w:line="240" w:lineRule="atLeast"/>
        <w:ind w:left="680"/>
        <w:rPr>
          <w:u w:val="single"/>
        </w:rPr>
      </w:pPr>
      <w:r>
        <w:rPr>
          <w:u w:val="single"/>
        </w:rPr>
        <w:tab/>
      </w:r>
    </w:p>
  </w:footnote>
  <w:footnote w:type="continuationSeparator" w:id="0">
    <w:p w:rsidR="008829C9" w:rsidRPr="00AC3823" w:rsidRDefault="008829C9" w:rsidP="00AC3823">
      <w:pPr>
        <w:pStyle w:val="Footer"/>
        <w:tabs>
          <w:tab w:val="right" w:pos="2155"/>
        </w:tabs>
        <w:spacing w:after="80" w:line="240" w:lineRule="atLeast"/>
        <w:ind w:left="680"/>
        <w:rPr>
          <w:u w:val="single"/>
        </w:rPr>
      </w:pPr>
      <w:r>
        <w:rPr>
          <w:u w:val="single"/>
        </w:rPr>
        <w:tab/>
      </w:r>
    </w:p>
  </w:footnote>
  <w:footnote w:type="continuationNotice" w:id="1">
    <w:p w:rsidR="008829C9" w:rsidRPr="00AC3823" w:rsidRDefault="008829C9">
      <w:pPr>
        <w:spacing w:line="240" w:lineRule="auto"/>
        <w:rPr>
          <w:sz w:val="2"/>
          <w:szCs w:val="2"/>
        </w:rPr>
      </w:pPr>
    </w:p>
  </w:footnote>
  <w:footnote w:id="2">
    <w:p w:rsidR="007704FB" w:rsidRPr="00154599" w:rsidRDefault="005556CA" w:rsidP="005556CA">
      <w:pPr>
        <w:pStyle w:val="FootnoteText"/>
        <w:rPr>
          <w:lang w:val="fr-FR"/>
        </w:rPr>
      </w:pPr>
      <w:r>
        <w:rPr>
          <w:lang w:val="fr-FR"/>
        </w:rPr>
        <w:tab/>
      </w:r>
      <w:r w:rsidR="007704FB" w:rsidRPr="005556CA">
        <w:rPr>
          <w:sz w:val="20"/>
          <w:lang w:val="fr-FR"/>
        </w:rPr>
        <w:t>*</w:t>
      </w:r>
      <w:r w:rsidR="007704FB">
        <w:rPr>
          <w:lang w:val="fr-FR"/>
        </w:rPr>
        <w:tab/>
        <w:t xml:space="preserve">Conformément au programme de travail du Sous-Comité pour la période biennale 2017-2018, approuvé par le Comité à sa huitième session </w:t>
      </w:r>
      <w:r>
        <w:rPr>
          <w:lang w:val="fr-FR"/>
        </w:rPr>
        <w:t>(voir ST/SG/AC.10/C.3/100, par. 98, et ST/SG/AC.10/44, par. </w:t>
      </w:r>
      <w:r w:rsidR="007704FB">
        <w:rPr>
          <w:lang w:val="fr-FR"/>
        </w:rPr>
        <w:t>14).</w:t>
      </w:r>
    </w:p>
  </w:footnote>
  <w:footnote w:id="3">
    <w:p w:rsidR="000462F1" w:rsidRPr="000462F1" w:rsidRDefault="000462F1">
      <w:pPr>
        <w:pStyle w:val="FootnoteText"/>
        <w:rPr>
          <w:lang w:val="en-US"/>
        </w:rPr>
      </w:pPr>
      <w:r>
        <w:rPr>
          <w:lang w:val="en-US"/>
        </w:rPr>
        <w:tab/>
      </w:r>
      <w:r>
        <w:rPr>
          <w:rStyle w:val="FootnoteReference"/>
        </w:rPr>
        <w:footnoteRef/>
      </w:r>
      <w:r>
        <w:rPr>
          <w:lang w:val="en-US"/>
        </w:rPr>
        <w:tab/>
      </w:r>
      <w:r w:rsidRPr="00154599">
        <w:rPr>
          <w:lang w:val="en-US"/>
        </w:rPr>
        <w:t xml:space="preserve">Harris, G. F. </w:t>
      </w:r>
      <w:proofErr w:type="gramStart"/>
      <w:r w:rsidRPr="00154599">
        <w:rPr>
          <w:lang w:val="en-US"/>
        </w:rPr>
        <w:t>P.</w:t>
      </w:r>
      <w:r w:rsidR="00B872A4">
        <w:rPr>
          <w:lang w:val="en-US"/>
        </w:rPr>
        <w:t> </w:t>
      </w:r>
      <w:r w:rsidRPr="00154599">
        <w:rPr>
          <w:lang w:val="en-US"/>
        </w:rPr>
        <w:t>;</w:t>
      </w:r>
      <w:proofErr w:type="gramEnd"/>
      <w:r w:rsidRPr="00154599">
        <w:rPr>
          <w:lang w:val="en-US"/>
        </w:rPr>
        <w:t xml:space="preserve"> MacDermott, P. E. Flammability and Explosibility of Ammonia. </w:t>
      </w:r>
      <w:r w:rsidRPr="000462F1">
        <w:rPr>
          <w:lang w:val="en-US"/>
        </w:rPr>
        <w:t xml:space="preserve">In </w:t>
      </w:r>
      <w:r w:rsidRPr="000462F1">
        <w:rPr>
          <w:i/>
          <w:iCs/>
          <w:lang w:val="en-US"/>
        </w:rPr>
        <w:t xml:space="preserve">Hazards VI: IChemE Symposium </w:t>
      </w:r>
      <w:proofErr w:type="gramStart"/>
      <w:r w:rsidRPr="000462F1">
        <w:rPr>
          <w:i/>
          <w:iCs/>
          <w:lang w:val="en-US"/>
        </w:rPr>
        <w:t>Series</w:t>
      </w:r>
      <w:r w:rsidR="00B872A4">
        <w:rPr>
          <w:i/>
          <w:iCs/>
          <w:lang w:val="en-US"/>
        </w:rPr>
        <w:t> </w:t>
      </w:r>
      <w:r w:rsidRPr="000462F1">
        <w:rPr>
          <w:lang w:val="en-US"/>
        </w:rPr>
        <w:t>;</w:t>
      </w:r>
      <w:proofErr w:type="gramEnd"/>
      <w:r w:rsidRPr="000462F1">
        <w:rPr>
          <w:lang w:val="en-US"/>
        </w:rPr>
        <w:t xml:space="preserve"> 1977</w:t>
      </w:r>
      <w:r w:rsidR="00B872A4">
        <w:rPr>
          <w:lang w:val="en-US"/>
        </w:rPr>
        <w:t> ; Vol. </w:t>
      </w:r>
      <w:r w:rsidRPr="000462F1">
        <w:rPr>
          <w:lang w:val="en-US"/>
        </w:rPr>
        <w:t>49, p</w:t>
      </w:r>
      <w:r w:rsidR="00B872A4">
        <w:rPr>
          <w:lang w:val="en-US"/>
        </w:rPr>
        <w:t>.</w:t>
      </w:r>
      <w:r w:rsidRPr="000462F1">
        <w:rPr>
          <w:lang w:val="en-US"/>
        </w:rPr>
        <w:t xml:space="preserve"> 29037.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4FB" w:rsidRPr="007704FB" w:rsidRDefault="000A7753">
    <w:pPr>
      <w:pStyle w:val="Header"/>
    </w:pPr>
    <w:r>
      <w:fldChar w:fldCharType="begin"/>
    </w:r>
    <w:r>
      <w:instrText xml:space="preserve"> TITLE  \* MERG</w:instrText>
    </w:r>
    <w:r>
      <w:instrText xml:space="preserve">EFORMAT </w:instrText>
    </w:r>
    <w:r>
      <w:fldChar w:fldCharType="separate"/>
    </w:r>
    <w:r>
      <w:t>ST/SG/AC.10/C.3/2018/86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4FB" w:rsidRPr="007704FB" w:rsidRDefault="000A7753" w:rsidP="007704FB">
    <w:pPr>
      <w:pStyle w:val="Header"/>
      <w:jc w:val="right"/>
    </w:pPr>
    <w:r>
      <w:fldChar w:fldCharType="begin"/>
    </w:r>
    <w:r>
      <w:instrText xml:space="preserve"> TITLE  \* MERGEFORMAT </w:instrText>
    </w:r>
    <w:r>
      <w:fldChar w:fldCharType="separate"/>
    </w:r>
    <w:r>
      <w:t>ST/SG/AC.10/C.3/2018/86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C9"/>
    <w:rsid w:val="00017F94"/>
    <w:rsid w:val="00023842"/>
    <w:rsid w:val="000305D3"/>
    <w:rsid w:val="000334F9"/>
    <w:rsid w:val="000462F1"/>
    <w:rsid w:val="0007796D"/>
    <w:rsid w:val="000A410C"/>
    <w:rsid w:val="000A7753"/>
    <w:rsid w:val="000B7790"/>
    <w:rsid w:val="00111F2F"/>
    <w:rsid w:val="00132EA9"/>
    <w:rsid w:val="0014365E"/>
    <w:rsid w:val="00176178"/>
    <w:rsid w:val="00197DCD"/>
    <w:rsid w:val="001F525A"/>
    <w:rsid w:val="00223272"/>
    <w:rsid w:val="0024779E"/>
    <w:rsid w:val="00283190"/>
    <w:rsid w:val="002832AC"/>
    <w:rsid w:val="002D7C93"/>
    <w:rsid w:val="002F0320"/>
    <w:rsid w:val="00333C10"/>
    <w:rsid w:val="00441C3B"/>
    <w:rsid w:val="00446FE5"/>
    <w:rsid w:val="00452396"/>
    <w:rsid w:val="00486B96"/>
    <w:rsid w:val="004E468C"/>
    <w:rsid w:val="005505B7"/>
    <w:rsid w:val="005556CA"/>
    <w:rsid w:val="00573BE5"/>
    <w:rsid w:val="00584DC4"/>
    <w:rsid w:val="00586ED3"/>
    <w:rsid w:val="00596AA9"/>
    <w:rsid w:val="0068456F"/>
    <w:rsid w:val="0071601D"/>
    <w:rsid w:val="007704FB"/>
    <w:rsid w:val="007A62E6"/>
    <w:rsid w:val="0080684C"/>
    <w:rsid w:val="00871C75"/>
    <w:rsid w:val="008776DC"/>
    <w:rsid w:val="008829C9"/>
    <w:rsid w:val="008B40CD"/>
    <w:rsid w:val="009705C8"/>
    <w:rsid w:val="009C1CF4"/>
    <w:rsid w:val="00A30353"/>
    <w:rsid w:val="00AC3823"/>
    <w:rsid w:val="00AE323C"/>
    <w:rsid w:val="00B00181"/>
    <w:rsid w:val="00B00B0D"/>
    <w:rsid w:val="00B765F7"/>
    <w:rsid w:val="00B872A4"/>
    <w:rsid w:val="00BA0CA9"/>
    <w:rsid w:val="00C02897"/>
    <w:rsid w:val="00D3439C"/>
    <w:rsid w:val="00D470E5"/>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7F6BF0-2203-416F-A55D-F279E991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E5DF2-7984-4C98-BD85-92321037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ST/SG/AC.10/C.3/2018/86</vt:lpstr>
      <vt:lpstr>ST/SG/AC.10/C.3/2018/86</vt:lpstr>
    </vt:vector>
  </TitlesOfParts>
  <Company>DCM</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ST/SG/AC.10/C.3/2018/86</dc:title>
  <dc:subject/>
  <dc:creator>Sandrine CLERE</dc:creator>
  <cp:keywords/>
  <cp:lastModifiedBy>Laurence Berthet</cp:lastModifiedBy>
  <cp:revision>3</cp:revision>
  <cp:lastPrinted>2018-10-09T08:05:00Z</cp:lastPrinted>
  <dcterms:created xsi:type="dcterms:W3CDTF">2018-10-09T08:05:00Z</dcterms:created>
  <dcterms:modified xsi:type="dcterms:W3CDTF">2018-10-09T08:05:00Z</dcterms:modified>
</cp:coreProperties>
</file>