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471F2" w:rsidRPr="004471F2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4471F2" w:rsidRDefault="00132EA9" w:rsidP="004471F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4471F2" w:rsidRDefault="00132EA9" w:rsidP="00F01738">
            <w:pPr>
              <w:spacing w:after="80" w:line="300" w:lineRule="exact"/>
              <w:rPr>
                <w:sz w:val="28"/>
              </w:rPr>
            </w:pPr>
            <w:r w:rsidRPr="004471F2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4471F2" w:rsidRDefault="004471F2" w:rsidP="004471F2">
            <w:pPr>
              <w:jc w:val="right"/>
            </w:pPr>
            <w:r w:rsidRPr="004471F2">
              <w:rPr>
                <w:sz w:val="40"/>
              </w:rPr>
              <w:t>ST</w:t>
            </w:r>
            <w:r w:rsidRPr="004471F2">
              <w:t>/SG/AC.10/C.3/2018/77</w:t>
            </w:r>
          </w:p>
        </w:tc>
      </w:tr>
      <w:tr w:rsidR="004471F2" w:rsidRPr="004471F2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4471F2" w:rsidRDefault="00132EA9" w:rsidP="00F01738">
            <w:pPr>
              <w:spacing w:before="120"/>
              <w:jc w:val="center"/>
            </w:pPr>
            <w:r w:rsidRPr="004471F2">
              <w:rPr>
                <w:noProof/>
                <w:lang w:eastAsia="fr-CH"/>
              </w:rPr>
              <w:drawing>
                <wp:inline distT="0" distB="0" distL="0" distR="0" wp14:anchorId="28ADD570" wp14:editId="2FE1E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4471F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4471F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4471F2" w:rsidRDefault="004471F2" w:rsidP="00F01738">
            <w:pPr>
              <w:spacing w:before="240"/>
            </w:pPr>
            <w:r w:rsidRPr="004471F2">
              <w:t>Distr. générale</w:t>
            </w:r>
          </w:p>
          <w:p w:rsidR="004471F2" w:rsidRPr="004471F2" w:rsidRDefault="004471F2" w:rsidP="004471F2">
            <w:pPr>
              <w:spacing w:line="240" w:lineRule="exact"/>
            </w:pPr>
            <w:r w:rsidRPr="004471F2">
              <w:t>7 septembre 2018</w:t>
            </w:r>
          </w:p>
          <w:p w:rsidR="004471F2" w:rsidRPr="004471F2" w:rsidRDefault="004471F2" w:rsidP="004471F2">
            <w:pPr>
              <w:spacing w:line="240" w:lineRule="exact"/>
            </w:pPr>
            <w:r w:rsidRPr="004471F2">
              <w:t>Français</w:t>
            </w:r>
          </w:p>
          <w:p w:rsidR="004471F2" w:rsidRPr="004471F2" w:rsidRDefault="004471F2" w:rsidP="004471F2">
            <w:pPr>
              <w:spacing w:line="240" w:lineRule="exact"/>
            </w:pPr>
            <w:r w:rsidRPr="004471F2">
              <w:t>Original : anglais</w:t>
            </w:r>
          </w:p>
        </w:tc>
      </w:tr>
    </w:tbl>
    <w:p w:rsidR="004471F2" w:rsidRPr="004471F2" w:rsidRDefault="004471F2" w:rsidP="000305D3">
      <w:pPr>
        <w:spacing w:before="120"/>
        <w:rPr>
          <w:b/>
          <w:sz w:val="24"/>
          <w:szCs w:val="24"/>
        </w:rPr>
      </w:pPr>
      <w:r w:rsidRPr="004471F2">
        <w:rPr>
          <w:b/>
          <w:sz w:val="24"/>
          <w:szCs w:val="24"/>
        </w:rPr>
        <w:t>Comité d</w:t>
      </w:r>
      <w:r w:rsidR="00385721">
        <w:rPr>
          <w:b/>
          <w:sz w:val="24"/>
          <w:szCs w:val="24"/>
        </w:rPr>
        <w:t>’</w:t>
      </w:r>
      <w:r w:rsidRPr="004471F2">
        <w:rPr>
          <w:b/>
          <w:sz w:val="24"/>
          <w:szCs w:val="24"/>
        </w:rPr>
        <w:t>experts du transport des marchandises dangereuses</w:t>
      </w:r>
      <w:r w:rsidRPr="004471F2">
        <w:rPr>
          <w:b/>
          <w:sz w:val="24"/>
          <w:szCs w:val="24"/>
        </w:rPr>
        <w:br/>
        <w:t>et du Système général harmonisé de classification</w:t>
      </w:r>
      <w:r w:rsidRPr="004471F2">
        <w:rPr>
          <w:b/>
          <w:sz w:val="24"/>
          <w:szCs w:val="24"/>
        </w:rPr>
        <w:br/>
        <w:t>et d</w:t>
      </w:r>
      <w:r w:rsidR="00385721">
        <w:rPr>
          <w:b/>
          <w:sz w:val="24"/>
          <w:szCs w:val="24"/>
        </w:rPr>
        <w:t>’</w:t>
      </w:r>
      <w:r w:rsidRPr="004471F2">
        <w:rPr>
          <w:b/>
          <w:sz w:val="24"/>
          <w:szCs w:val="24"/>
        </w:rPr>
        <w:t>étiquetage des produits chimiques</w:t>
      </w:r>
    </w:p>
    <w:p w:rsidR="004471F2" w:rsidRPr="004471F2" w:rsidRDefault="004471F2" w:rsidP="000305D3">
      <w:pPr>
        <w:spacing w:before="120"/>
        <w:rPr>
          <w:b/>
        </w:rPr>
      </w:pPr>
      <w:r w:rsidRPr="004471F2">
        <w:rPr>
          <w:b/>
        </w:rPr>
        <w:t>Sous-Comité d</w:t>
      </w:r>
      <w:r w:rsidR="00385721">
        <w:rPr>
          <w:b/>
        </w:rPr>
        <w:t>’</w:t>
      </w:r>
      <w:r w:rsidRPr="004471F2">
        <w:rPr>
          <w:b/>
        </w:rPr>
        <w:t>experts du transport des marchandises dangereuses</w:t>
      </w:r>
    </w:p>
    <w:p w:rsidR="004471F2" w:rsidRPr="004471F2" w:rsidRDefault="004471F2" w:rsidP="000305D3">
      <w:pPr>
        <w:spacing w:before="120"/>
        <w:rPr>
          <w:b/>
        </w:rPr>
      </w:pPr>
      <w:r w:rsidRPr="004471F2">
        <w:rPr>
          <w:b/>
          <w:bCs/>
          <w:lang w:val="fr-FR"/>
        </w:rPr>
        <w:t>Cinquante-quatrième</w:t>
      </w:r>
      <w:r w:rsidRPr="004471F2">
        <w:rPr>
          <w:b/>
        </w:rPr>
        <w:t xml:space="preserve"> session</w:t>
      </w:r>
    </w:p>
    <w:p w:rsidR="004471F2" w:rsidRPr="004471F2" w:rsidRDefault="004471F2" w:rsidP="000305D3">
      <w:r w:rsidRPr="004471F2">
        <w:t xml:space="preserve">Genève, </w:t>
      </w:r>
      <w:r w:rsidRPr="004471F2">
        <w:rPr>
          <w:lang w:val="fr-FR"/>
        </w:rPr>
        <w:t>26 novembre-4 décembre 2018</w:t>
      </w:r>
    </w:p>
    <w:p w:rsidR="004471F2" w:rsidRPr="004471F2" w:rsidRDefault="004471F2" w:rsidP="000305D3">
      <w:r w:rsidRPr="004471F2">
        <w:t>Point 2 e) de l</w:t>
      </w:r>
      <w:r w:rsidR="00385721">
        <w:t>’</w:t>
      </w:r>
      <w:r w:rsidRPr="004471F2">
        <w:t>ordre du jour provisoire</w:t>
      </w:r>
    </w:p>
    <w:p w:rsidR="004471F2" w:rsidRPr="004471F2" w:rsidRDefault="004471F2" w:rsidP="00AC3823">
      <w:r w:rsidRPr="004471F2">
        <w:rPr>
          <w:b/>
          <w:bCs/>
          <w:lang w:val="fr-FR"/>
        </w:rPr>
        <w:t xml:space="preserve">Recommandations du Sous-Comité formulées à ses cinquante et unième, </w:t>
      </w:r>
      <w:r w:rsidRPr="004471F2">
        <w:rPr>
          <w:b/>
          <w:bCs/>
          <w:lang w:val="fr-FR"/>
        </w:rPr>
        <w:br/>
        <w:t xml:space="preserve">cinquante-deuxième et cinquante-troisième sessions et questions en suspens : </w:t>
      </w:r>
      <w:r w:rsidRPr="004471F2">
        <w:rPr>
          <w:b/>
          <w:bCs/>
          <w:lang w:val="fr-FR"/>
        </w:rPr>
        <w:br/>
        <w:t>Transport de gaz</w:t>
      </w:r>
    </w:p>
    <w:p w:rsidR="004471F2" w:rsidRPr="004471F2" w:rsidRDefault="004471F2" w:rsidP="004471F2">
      <w:pPr>
        <w:pStyle w:val="HChG"/>
      </w:pPr>
      <w:r w:rsidRPr="004471F2">
        <w:tab/>
      </w:r>
      <w:r w:rsidRPr="004471F2">
        <w:tab/>
        <w:t>Produits chimiques sous pression : Agents d</w:t>
      </w:r>
      <w:r w:rsidR="00385721">
        <w:t>’</w:t>
      </w:r>
      <w:r w:rsidRPr="004471F2">
        <w:t>extinction (No ONU 3500)</w:t>
      </w:r>
    </w:p>
    <w:p w:rsidR="004471F2" w:rsidRPr="004471F2" w:rsidRDefault="004471F2" w:rsidP="004471F2">
      <w:pPr>
        <w:pStyle w:val="H1G"/>
      </w:pPr>
      <w:r w:rsidRPr="004471F2">
        <w:tab/>
      </w:r>
      <w:r w:rsidRPr="004471F2">
        <w:tab/>
        <w:t>Communication du Conseil européen de l</w:t>
      </w:r>
      <w:r w:rsidR="00385721">
        <w:t>’</w:t>
      </w:r>
      <w:r w:rsidRPr="004471F2">
        <w:t>industrie chimique (CEFIC)</w:t>
      </w:r>
      <w:r w:rsidRPr="004471F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471F2" w:rsidRPr="004471F2" w:rsidRDefault="004471F2" w:rsidP="004471F2">
      <w:pPr>
        <w:pStyle w:val="HChG"/>
      </w:pPr>
      <w:r w:rsidRPr="004471F2">
        <w:tab/>
      </w:r>
      <w:r w:rsidRPr="004471F2">
        <w:tab/>
        <w:t>Situation</w:t>
      </w:r>
    </w:p>
    <w:p w:rsidR="004471F2" w:rsidRPr="004471F2" w:rsidRDefault="004471F2" w:rsidP="004471F2">
      <w:pPr>
        <w:pStyle w:val="SingleTxtG"/>
      </w:pPr>
      <w:r w:rsidRPr="004471F2">
        <w:t>1.</w:t>
      </w:r>
      <w:r w:rsidRPr="004471F2">
        <w:tab/>
        <w:t>Les produits chimiques sous pression ne présentant pas de danger subsidiaire (</w:t>
      </w:r>
      <w:r>
        <w:t>No </w:t>
      </w:r>
      <w:r w:rsidRPr="004471F2">
        <w:t>ONU 3500) sont fréquemment utilisés dans les systèmes d</w:t>
      </w:r>
      <w:r w:rsidR="00385721">
        <w:t>’</w:t>
      </w:r>
      <w:r w:rsidRPr="004471F2">
        <w:t>extinction de feu par gaz (voir l</w:t>
      </w:r>
      <w:r w:rsidR="00385721">
        <w:t>’</w:t>
      </w:r>
      <w:r w:rsidRPr="004471F2">
        <w:t>annexe), ainsi que d</w:t>
      </w:r>
      <w:r w:rsidR="00385721">
        <w:t>’</w:t>
      </w:r>
      <w:r w:rsidRPr="004471F2">
        <w:t>autres produits utilisés dans la maîtrise du feu. Au départ, il a été envisagé d</w:t>
      </w:r>
      <w:r w:rsidR="00385721">
        <w:t>’</w:t>
      </w:r>
      <w:r w:rsidRPr="004471F2">
        <w:t xml:space="preserve">affecter </w:t>
      </w:r>
      <w:r>
        <w:t>le No </w:t>
      </w:r>
      <w:r w:rsidRPr="004471F2">
        <w:t>ONU 1044 (extincteurs) à ces produits. Toutefois, ce numéro ONU ne peut pas être utilisé pour ce type d</w:t>
      </w:r>
      <w:r w:rsidR="00385721">
        <w:t>’</w:t>
      </w:r>
      <w:r w:rsidRPr="004471F2">
        <w:t>agents d</w:t>
      </w:r>
      <w:r w:rsidR="00385721">
        <w:t>’</w:t>
      </w:r>
      <w:r w:rsidRPr="004471F2">
        <w:t>extinction étant donné que ceux-ci sont transportés séparément et correspondent aux dispositions du nota de la disposition spéciale</w:t>
      </w:r>
      <w:r>
        <w:t> </w:t>
      </w:r>
      <w:r w:rsidRPr="004471F2">
        <w:t xml:space="preserve">225, libellé comme suit : </w:t>
      </w:r>
    </w:p>
    <w:p w:rsidR="004471F2" w:rsidRPr="004471F2" w:rsidRDefault="004471F2" w:rsidP="00197F23">
      <w:pPr>
        <w:pStyle w:val="SingleTxtG"/>
        <w:ind w:left="1701"/>
      </w:pPr>
      <w:r>
        <w:t>« </w:t>
      </w:r>
      <w:r w:rsidRPr="004471F2">
        <w:t>Les récipients à pression contenant des gaz destinés à être utilisés dans les extincteurs susmentionnés ou dans des installations d</w:t>
      </w:r>
      <w:r w:rsidR="00385721">
        <w:t>’</w:t>
      </w:r>
      <w:r w:rsidRPr="004471F2">
        <w:t>extinction d</w:t>
      </w:r>
      <w:r w:rsidR="00385721">
        <w:t>’</w:t>
      </w:r>
      <w:r w:rsidRPr="004471F2">
        <w:t>incendie fixes doivent être conformes aux prescriptions du chapitre 6.2 et à toutes les prescriptions applicables aux marchandises dangereuses concernées lorsque ces récipients sont transportés séparément.</w:t>
      </w:r>
      <w:r>
        <w:t> ».</w:t>
      </w:r>
    </w:p>
    <w:p w:rsidR="004471F2" w:rsidRPr="004471F2" w:rsidRDefault="004471F2" w:rsidP="00197F23">
      <w:pPr>
        <w:pStyle w:val="SingleTxtG"/>
        <w:ind w:left="1701"/>
      </w:pPr>
      <w:r w:rsidRPr="004471F2">
        <w:t>Ces agents d</w:t>
      </w:r>
      <w:r w:rsidR="00385721">
        <w:t>’</w:t>
      </w:r>
      <w:r w:rsidRPr="004471F2">
        <w:t>extinction ne répondent donc pas à la définition de l</w:t>
      </w:r>
      <w:r w:rsidR="00385721">
        <w:t>’</w:t>
      </w:r>
      <w:r w:rsidR="000C7075">
        <w:t>extincteur.</w:t>
      </w:r>
    </w:p>
    <w:p w:rsidR="004471F2" w:rsidRPr="004471F2" w:rsidRDefault="004471F2" w:rsidP="004471F2">
      <w:pPr>
        <w:pStyle w:val="SingleTxtG"/>
      </w:pPr>
      <w:r w:rsidRPr="004471F2">
        <w:t>2.</w:t>
      </w:r>
      <w:r w:rsidRPr="004471F2">
        <w:tab/>
        <w:t>La plupart des produits utilisés dans les systèmes d</w:t>
      </w:r>
      <w:r w:rsidR="00385721">
        <w:t>’</w:t>
      </w:r>
      <w:r w:rsidRPr="004471F2">
        <w:t xml:space="preserve">extinction de feu par gaz sont affectés </w:t>
      </w:r>
      <w:r>
        <w:t>au No </w:t>
      </w:r>
      <w:r w:rsidRPr="004471F2">
        <w:t>ONU 1956 (gaz comprimé) car il s</w:t>
      </w:r>
      <w:r w:rsidR="00385721">
        <w:t>’</w:t>
      </w:r>
      <w:r w:rsidRPr="004471F2">
        <w:t>agit de gaz et de mélanges de gaz. La période maximale entre les épreuves pour l</w:t>
      </w:r>
      <w:r w:rsidR="00385721">
        <w:t>’</w:t>
      </w:r>
      <w:r w:rsidRPr="004471F2">
        <w:t xml:space="preserve">inspection périodique doit être de </w:t>
      </w:r>
      <w:r w:rsidR="00997210">
        <w:t>10 </w:t>
      </w:r>
      <w:r w:rsidRPr="004471F2">
        <w:t>ans pour ces produits, tandis que pour les systèmes utilisant des produits à l</w:t>
      </w:r>
      <w:r w:rsidR="00385721">
        <w:t>’</w:t>
      </w:r>
      <w:r w:rsidRPr="004471F2">
        <w:t>état liquide et des produits à l</w:t>
      </w:r>
      <w:r w:rsidR="00385721">
        <w:t>’</w:t>
      </w:r>
      <w:r w:rsidRPr="004471F2">
        <w:t xml:space="preserve">état gazeux, qui doivent être assignés au </w:t>
      </w:r>
      <w:r>
        <w:t>No </w:t>
      </w:r>
      <w:r w:rsidRPr="004471F2">
        <w:t xml:space="preserve">ONU 3500, la périodicité maximale des épreuves doit être de </w:t>
      </w:r>
      <w:r w:rsidR="00997210">
        <w:t>5 </w:t>
      </w:r>
      <w:r w:rsidRPr="004471F2">
        <w:t xml:space="preserve">ans bien que la pression dans le récipient contenant le </w:t>
      </w:r>
      <w:r w:rsidRPr="004471F2">
        <w:lastRenderedPageBreak/>
        <w:t xml:space="preserve">mélange liquide/gaz soit plus faible. Avant la mise en œuvre des numéros ONU correspondant aux produits chimiques sous pression, ces produits relevaient aussi du </w:t>
      </w:r>
      <w:r>
        <w:t>No </w:t>
      </w:r>
      <w:r w:rsidRPr="004471F2">
        <w:t>ONU 1956. Cela signifie que pour ces systèmes, la périodicité maximale des épreuves a été réduite de moitié.</w:t>
      </w:r>
    </w:p>
    <w:p w:rsidR="004471F2" w:rsidRPr="004471F2" w:rsidRDefault="004471F2" w:rsidP="004471F2">
      <w:pPr>
        <w:pStyle w:val="SingleTxtG"/>
      </w:pPr>
      <w:r w:rsidRPr="004471F2">
        <w:t>3.</w:t>
      </w:r>
      <w:r w:rsidRPr="004471F2">
        <w:tab/>
        <w:t>Ces dispositions ne sont pas logiques, du moins dans le cas des systèmes d</w:t>
      </w:r>
      <w:r w:rsidR="00385721">
        <w:t>’</w:t>
      </w:r>
      <w:r w:rsidRPr="004471F2">
        <w:t>extinction des incendies utilisant du gaz, dont on sait qu</w:t>
      </w:r>
      <w:r w:rsidR="00385721">
        <w:t>’</w:t>
      </w:r>
      <w:r w:rsidRPr="004471F2">
        <w:t>ils ne présen</w:t>
      </w:r>
      <w:r w:rsidR="000C7075">
        <w:t>tent pas de danger subsidiaire.</w:t>
      </w:r>
    </w:p>
    <w:p w:rsidR="004471F2" w:rsidRPr="004471F2" w:rsidRDefault="004471F2" w:rsidP="004471F2">
      <w:pPr>
        <w:pStyle w:val="SingleTxtG"/>
      </w:pPr>
      <w:r w:rsidRPr="004471F2">
        <w:t>4.</w:t>
      </w:r>
      <w:r w:rsidRPr="004471F2">
        <w:tab/>
        <w:t>Les produits en question sont généralement inertes et, d</w:t>
      </w:r>
      <w:r w:rsidR="00385721">
        <w:t>’</w:t>
      </w:r>
      <w:r w:rsidRPr="004471F2">
        <w:t>une manière générale, la pratique établie veut que les appareils contenant ces produits soient associés à des systèmes de stockage sécurisés nécessitant un minimum de manutention.</w:t>
      </w:r>
    </w:p>
    <w:p w:rsidR="004471F2" w:rsidRPr="004471F2" w:rsidRDefault="004471F2" w:rsidP="004471F2">
      <w:pPr>
        <w:pStyle w:val="SingleTxtG"/>
      </w:pPr>
      <w:r>
        <w:t>5.</w:t>
      </w:r>
      <w:r w:rsidRPr="004471F2">
        <w:tab/>
        <w:t>La combinaison de ces deux facteurs aboutit à une importante réduction</w:t>
      </w:r>
      <w:r>
        <w:t> </w:t>
      </w:r>
      <w:r w:rsidRPr="004471F2">
        <w:t>:</w:t>
      </w:r>
    </w:p>
    <w:p w:rsidR="004471F2" w:rsidRPr="004471F2" w:rsidRDefault="004471F2" w:rsidP="004471F2">
      <w:pPr>
        <w:pStyle w:val="SingleTxtG"/>
        <w:ind w:firstLine="567"/>
      </w:pPr>
      <w:r w:rsidRPr="004471F2">
        <w:t>a)</w:t>
      </w:r>
      <w:r w:rsidRPr="004471F2">
        <w:tab/>
        <w:t xml:space="preserve">De la corrosion interne, ainsi que de la détérioration des </w:t>
      </w:r>
      <w:r>
        <w:t>« </w:t>
      </w:r>
      <w:r w:rsidRPr="004471F2">
        <w:t>constituants mouillés</w:t>
      </w:r>
      <w:r>
        <w:t> »</w:t>
      </w:r>
      <w:r w:rsidRPr="004471F2">
        <w:t xml:space="preserve"> des appareils</w:t>
      </w:r>
      <w:r>
        <w:t> </w:t>
      </w:r>
      <w:r w:rsidRPr="004471F2">
        <w:t>;</w:t>
      </w:r>
    </w:p>
    <w:p w:rsidR="004471F2" w:rsidRPr="004471F2" w:rsidRDefault="004471F2" w:rsidP="004471F2">
      <w:pPr>
        <w:pStyle w:val="SingleTxtG"/>
        <w:ind w:firstLine="567"/>
      </w:pPr>
      <w:r w:rsidRPr="004471F2">
        <w:t>b)</w:t>
      </w:r>
      <w:r w:rsidRPr="004471F2">
        <w:tab/>
        <w:t>De l</w:t>
      </w:r>
      <w:r w:rsidR="00385721">
        <w:t>’</w:t>
      </w:r>
      <w:r w:rsidRPr="004471F2">
        <w:t>usure mécanique interne des robinets</w:t>
      </w:r>
      <w:r>
        <w:t> </w:t>
      </w:r>
      <w:r w:rsidRPr="004471F2">
        <w:t xml:space="preserve">; et </w:t>
      </w:r>
    </w:p>
    <w:p w:rsidR="004471F2" w:rsidRPr="004471F2" w:rsidRDefault="004471F2" w:rsidP="004471F2">
      <w:pPr>
        <w:pStyle w:val="SingleTxtG"/>
        <w:ind w:firstLine="567"/>
      </w:pPr>
      <w:r w:rsidRPr="004471F2">
        <w:t>c)</w:t>
      </w:r>
      <w:r w:rsidRPr="004471F2">
        <w:tab/>
        <w:t>Des dommages externes provoqués par les rayures, les marques d</w:t>
      </w:r>
      <w:r w:rsidR="00385721">
        <w:t>’</w:t>
      </w:r>
      <w:r w:rsidRPr="004471F2">
        <w:t>usure et l</w:t>
      </w:r>
      <w:r w:rsidR="00385721">
        <w:t>’</w:t>
      </w:r>
      <w:r w:rsidRPr="004471F2">
        <w:t>abrasion du récipient.</w:t>
      </w:r>
    </w:p>
    <w:p w:rsidR="004471F2" w:rsidRPr="004471F2" w:rsidRDefault="004471F2" w:rsidP="004471F2">
      <w:pPr>
        <w:pStyle w:val="SingleTxtG"/>
      </w:pPr>
      <w:r w:rsidRPr="004471F2">
        <w:t>6.</w:t>
      </w:r>
      <w:r w:rsidRPr="004471F2">
        <w:tab/>
        <w:t>Dans le cas des agents d</w:t>
      </w:r>
      <w:r w:rsidR="00385721">
        <w:t>’</w:t>
      </w:r>
      <w:r w:rsidRPr="004471F2">
        <w:t>extinction, on utilise aussi de très grands récipients à pression. Le Conseil européen de l</w:t>
      </w:r>
      <w:r w:rsidR="00385721">
        <w:t>’</w:t>
      </w:r>
      <w:r w:rsidRPr="004471F2">
        <w:t>industrie chimique (CEFIC) demande donc que les tubes d</w:t>
      </w:r>
      <w:r w:rsidR="00385721">
        <w:t>’</w:t>
      </w:r>
      <w:r w:rsidRPr="004471F2">
        <w:t>une capacité maximale en eau de 450 litres soient autorisés.</w:t>
      </w:r>
    </w:p>
    <w:p w:rsidR="004471F2" w:rsidRPr="004471F2" w:rsidRDefault="004471F2" w:rsidP="004471F2">
      <w:pPr>
        <w:pStyle w:val="SingleTxtG"/>
      </w:pPr>
      <w:r w:rsidRPr="004471F2">
        <w:t>7.</w:t>
      </w:r>
      <w:r w:rsidRPr="004471F2">
        <w:tab/>
        <w:t>Le CEFIC a soumis sa proposition dans le document informel INF.11 (</w:t>
      </w:r>
      <w:r w:rsidR="00B31C86">
        <w:t>cinquante-</w:t>
      </w:r>
      <w:r w:rsidRPr="004471F2">
        <w:t>troisième session). En ce qui concerne la modification de l</w:t>
      </w:r>
      <w:r w:rsidR="00385721">
        <w:t>’</w:t>
      </w:r>
      <w:r w:rsidRPr="004471F2">
        <w:t>instruction d</w:t>
      </w:r>
      <w:r w:rsidR="00385721">
        <w:t>’</w:t>
      </w:r>
      <w:r w:rsidRPr="004471F2">
        <w:t>emballage P206, il a proposé les deux solutions ci-après :</w:t>
      </w:r>
    </w:p>
    <w:p w:rsidR="004471F2" w:rsidRPr="004471F2" w:rsidRDefault="004471F2" w:rsidP="004471F2">
      <w:pPr>
        <w:pStyle w:val="Bullet1G"/>
      </w:pPr>
      <w:r w:rsidRPr="004471F2">
        <w:t>Solution 1</w:t>
      </w:r>
      <w:r>
        <w:t> </w:t>
      </w:r>
      <w:r w:rsidRPr="004471F2">
        <w:t>: Autoriser u</w:t>
      </w:r>
      <w:r w:rsidR="00B31C86">
        <w:t xml:space="preserve">ne périodicité des épreuves de </w:t>
      </w:r>
      <w:r w:rsidR="00997210">
        <w:t>10 </w:t>
      </w:r>
      <w:r w:rsidRPr="004471F2">
        <w:t>ans pour les produits assignés au numéro ONU 3500, ainsi que les tubes d</w:t>
      </w:r>
      <w:r w:rsidR="00385721">
        <w:t>’</w:t>
      </w:r>
      <w:r w:rsidRPr="004471F2">
        <w:t>une capacit</w:t>
      </w:r>
      <w:r>
        <w:t>é maximale en eau de 450 litres ;</w:t>
      </w:r>
    </w:p>
    <w:p w:rsidR="004471F2" w:rsidRPr="004471F2" w:rsidRDefault="004471F2" w:rsidP="004471F2">
      <w:pPr>
        <w:pStyle w:val="Bullet1G"/>
      </w:pPr>
      <w:r w:rsidRPr="004471F2">
        <w:t>Solution 2</w:t>
      </w:r>
      <w:r>
        <w:t> </w:t>
      </w:r>
      <w:r w:rsidRPr="004471F2">
        <w:t>: Créer une instruction spéciale d</w:t>
      </w:r>
      <w:r w:rsidR="00385721">
        <w:t>’</w:t>
      </w:r>
      <w:r w:rsidRPr="004471F2">
        <w:t>emballage relative aux agents d</w:t>
      </w:r>
      <w:r w:rsidR="00385721">
        <w:t>’</w:t>
      </w:r>
      <w:r w:rsidRPr="004471F2">
        <w:t xml:space="preserve">extinction ne remplissant pas les conditions énoncées dans le nota 2 de la disposition spéciale 225, qui porterait la périodicité des épreuves à </w:t>
      </w:r>
      <w:r w:rsidR="00997210">
        <w:t>10 </w:t>
      </w:r>
      <w:r w:rsidRPr="004471F2">
        <w:t>ans et autoriserait les tubes d</w:t>
      </w:r>
      <w:r w:rsidR="00385721">
        <w:t>’</w:t>
      </w:r>
      <w:r w:rsidRPr="004471F2">
        <w:t>une capacité maximale en eau de 450 litres.</w:t>
      </w:r>
    </w:p>
    <w:p w:rsidR="004471F2" w:rsidRPr="004471F2" w:rsidRDefault="004471F2" w:rsidP="004471F2">
      <w:pPr>
        <w:pStyle w:val="SingleTxtG"/>
      </w:pPr>
      <w:r w:rsidRPr="004471F2">
        <w:t>8.</w:t>
      </w:r>
      <w:r w:rsidRPr="004471F2">
        <w:tab/>
        <w:t>La solution 2 ayant bénéficié d</w:t>
      </w:r>
      <w:r w:rsidR="00385721">
        <w:t>’</w:t>
      </w:r>
      <w:r w:rsidRPr="004471F2">
        <w:t>un large appui, elle a été incorporée au texte de la proposition ci-après.</w:t>
      </w:r>
    </w:p>
    <w:p w:rsidR="004471F2" w:rsidRPr="004471F2" w:rsidRDefault="004471F2" w:rsidP="004471F2">
      <w:pPr>
        <w:pStyle w:val="HChG"/>
      </w:pPr>
      <w:r w:rsidRPr="004471F2">
        <w:tab/>
      </w:r>
      <w:r w:rsidRPr="004471F2">
        <w:tab/>
        <w:t xml:space="preserve">Proposition </w:t>
      </w:r>
    </w:p>
    <w:p w:rsidR="00997210" w:rsidRDefault="004471F2" w:rsidP="004471F2">
      <w:pPr>
        <w:pStyle w:val="SingleTxtG"/>
      </w:pPr>
      <w:r w:rsidRPr="004471F2">
        <w:t>9.</w:t>
      </w:r>
      <w:r w:rsidRPr="004471F2">
        <w:tab/>
        <w:t>Modifier l</w:t>
      </w:r>
      <w:r w:rsidR="00385721">
        <w:t>’</w:t>
      </w:r>
      <w:r w:rsidRPr="004471F2">
        <w:t>instruction d</w:t>
      </w:r>
      <w:r w:rsidR="00385721">
        <w:t>’</w:t>
      </w:r>
      <w:r w:rsidRPr="004471F2">
        <w:t xml:space="preserve">emballage P 206 comme suit </w:t>
      </w:r>
      <w:r w:rsidRPr="00B87AB6">
        <w:t>(</w:t>
      </w:r>
      <w:r w:rsidRPr="00B87AB6">
        <w:rPr>
          <w:i/>
        </w:rPr>
        <w:t xml:space="preserve">le texte supprimé est </w:t>
      </w:r>
      <w:r w:rsidRPr="00B87AB6">
        <w:rPr>
          <w:i/>
          <w:strike/>
        </w:rPr>
        <w:t>biffé</w:t>
      </w:r>
      <w:r w:rsidRPr="00B87AB6">
        <w:rPr>
          <w:i/>
        </w:rPr>
        <w:t xml:space="preserve"> et le texte nouveau est </w:t>
      </w:r>
      <w:r w:rsidRPr="00B87AB6">
        <w:rPr>
          <w:i/>
          <w:u w:val="single"/>
        </w:rPr>
        <w:t>souligné</w:t>
      </w:r>
      <w:r w:rsidRPr="00B87AB6">
        <w:t>) </w:t>
      </w:r>
      <w:r w:rsidRPr="004471F2">
        <w:t>:</w:t>
      </w:r>
    </w:p>
    <w:tbl>
      <w:tblPr>
        <w:tblStyle w:val="TableGrid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997210" w:rsidRPr="00E275FD" w:rsidTr="00013CF2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7210" w:rsidRPr="00E275FD" w:rsidRDefault="00997210" w:rsidP="00013CF2">
            <w:pPr>
              <w:spacing w:before="60" w:after="60" w:line="240" w:lineRule="auto"/>
              <w:rPr>
                <w:b/>
                <w:sz w:val="16"/>
              </w:rPr>
            </w:pPr>
            <w:r w:rsidRPr="00E275FD">
              <w:rPr>
                <w:b/>
                <w:sz w:val="16"/>
              </w:rPr>
              <w:t>P903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7210" w:rsidRPr="0035264E" w:rsidRDefault="00997210" w:rsidP="00013CF2">
            <w:pPr>
              <w:spacing w:before="60" w:after="60" w:line="240" w:lineRule="auto"/>
              <w:jc w:val="center"/>
              <w:rPr>
                <w:b/>
                <w:iCs/>
                <w:highlight w:val="yellow"/>
              </w:rPr>
            </w:pPr>
            <w:r w:rsidRPr="00997210">
              <w:rPr>
                <w:b/>
                <w:iCs/>
              </w:rPr>
              <w:t>INSTRUCTION D’EMBALLAGE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7210" w:rsidRPr="00E275FD" w:rsidRDefault="00997210" w:rsidP="00013CF2">
            <w:pPr>
              <w:spacing w:before="60" w:after="60" w:line="240" w:lineRule="auto"/>
              <w:jc w:val="right"/>
              <w:rPr>
                <w:b/>
                <w:i w:val="0"/>
                <w:iCs w:val="0"/>
                <w:sz w:val="16"/>
              </w:rPr>
            </w:pPr>
            <w:r w:rsidRPr="00E275FD">
              <w:rPr>
                <w:b/>
                <w:i w:val="0"/>
                <w:iCs w:val="0"/>
                <w:sz w:val="16"/>
              </w:rPr>
              <w:t>P903</w:t>
            </w:r>
          </w:p>
        </w:tc>
      </w:tr>
      <w:tr w:rsidR="00997210" w:rsidTr="00013CF2">
        <w:trPr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210" w:rsidRPr="000C563F" w:rsidRDefault="00997210" w:rsidP="00013CF2">
            <w:pPr>
              <w:spacing w:before="60" w:after="60" w:line="240" w:lineRule="auto"/>
              <w:rPr>
                <w:i w:val="0"/>
              </w:rPr>
            </w:pPr>
            <w:r w:rsidRPr="00997210">
              <w:rPr>
                <w:i w:val="0"/>
                <w:lang w:val="fr-FR"/>
              </w:rPr>
              <w:t>La présente instruction d’emballage s’applique aux Nos ONU 3500, 3501, 3502, 3503, 3504 et 3505.</w:t>
            </w:r>
          </w:p>
        </w:tc>
      </w:tr>
      <w:tr w:rsidR="00997210" w:rsidTr="00013CF2">
        <w:trPr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210" w:rsidRPr="000C563F" w:rsidRDefault="00997210" w:rsidP="00013CF2">
            <w:pPr>
              <w:spacing w:before="60" w:after="60" w:line="240" w:lineRule="auto"/>
              <w:rPr>
                <w:i w:val="0"/>
              </w:rPr>
            </w:pPr>
            <w:r w:rsidRPr="00997210">
              <w:rPr>
                <w:i w:val="0"/>
                <w:lang w:val="fr-FR"/>
              </w:rPr>
              <w:t>Sauf indication contraire dans le présent Règlement, les bouteilles et les fûts à pression conformes aux prescriptions applicables du chapitre 6.2 sont autorisés.</w:t>
            </w:r>
          </w:p>
        </w:tc>
      </w:tr>
      <w:tr w:rsidR="00997210" w:rsidRPr="00E8006E" w:rsidTr="00013CF2">
        <w:trPr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210" w:rsidRPr="00E8006E" w:rsidRDefault="00997210" w:rsidP="00997210">
            <w:pPr>
              <w:spacing w:before="60" w:after="60" w:line="240" w:lineRule="auto"/>
              <w:rPr>
                <w:b/>
                <w:i w:val="0"/>
              </w:rPr>
            </w:pPr>
            <w:r w:rsidRPr="00997210">
              <w:rPr>
                <w:i w:val="0"/>
              </w:rPr>
              <w:t>1)</w:t>
            </w:r>
            <w:r w:rsidRPr="00997210">
              <w:rPr>
                <w:i w:val="0"/>
              </w:rPr>
              <w:tab/>
            </w:r>
            <w:r w:rsidRPr="00997210">
              <w:rPr>
                <w:i w:val="0"/>
                <w:lang w:val="fr-FR"/>
              </w:rPr>
              <w:t>Les prescriptions générales d’emballage du</w:t>
            </w:r>
            <w:r w:rsidRPr="00997210">
              <w:rPr>
                <w:b/>
                <w:i w:val="0"/>
                <w:lang w:val="fr-FR"/>
              </w:rPr>
              <w:t xml:space="preserve"> 4.1.6.1 </w:t>
            </w:r>
            <w:r w:rsidRPr="00997210">
              <w:rPr>
                <w:i w:val="0"/>
                <w:lang w:val="fr-FR"/>
              </w:rPr>
              <w:t xml:space="preserve">doivent être </w:t>
            </w:r>
            <w:r>
              <w:rPr>
                <w:i w:val="0"/>
                <w:lang w:val="fr-FR"/>
              </w:rPr>
              <w:t>respectées.</w:t>
            </w:r>
          </w:p>
        </w:tc>
      </w:tr>
      <w:tr w:rsidR="00997210" w:rsidRPr="00E8006E" w:rsidTr="00013CF2">
        <w:trPr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210" w:rsidRPr="00997210" w:rsidRDefault="00997210" w:rsidP="00997210">
            <w:pPr>
              <w:spacing w:before="60" w:after="60" w:line="240" w:lineRule="auto"/>
              <w:rPr>
                <w:i w:val="0"/>
              </w:rPr>
            </w:pPr>
            <w:r w:rsidRPr="00997210">
              <w:rPr>
                <w:i w:val="0"/>
              </w:rPr>
              <w:t>2)</w:t>
            </w:r>
            <w:r w:rsidRPr="00997210">
              <w:rPr>
                <w:i w:val="0"/>
              </w:rPr>
              <w:tab/>
            </w:r>
            <w:r w:rsidRPr="00997210">
              <w:rPr>
                <w:i w:val="0"/>
                <w:lang w:val="fr-FR"/>
              </w:rPr>
              <w:t xml:space="preserve">La période maximale entre les épreuves pour l’inspection périodique doit être de </w:t>
            </w:r>
            <w:r>
              <w:rPr>
                <w:i w:val="0"/>
                <w:lang w:val="fr-FR"/>
              </w:rPr>
              <w:t>5 </w:t>
            </w:r>
            <w:r w:rsidRPr="00997210">
              <w:rPr>
                <w:i w:val="0"/>
                <w:lang w:val="fr-FR"/>
              </w:rPr>
              <w:t>ans.</w:t>
            </w:r>
          </w:p>
        </w:tc>
      </w:tr>
      <w:tr w:rsidR="00997210" w:rsidRPr="00E8006E" w:rsidTr="00997210">
        <w:trPr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210" w:rsidRPr="00997210" w:rsidRDefault="00997210" w:rsidP="00997210">
            <w:pPr>
              <w:spacing w:before="60" w:after="60" w:line="240" w:lineRule="auto"/>
              <w:rPr>
                <w:i w:val="0"/>
              </w:rPr>
            </w:pPr>
            <w:r>
              <w:rPr>
                <w:i w:val="0"/>
              </w:rPr>
              <w:t>3)</w:t>
            </w:r>
            <w:r>
              <w:rPr>
                <w:i w:val="0"/>
              </w:rPr>
              <w:tab/>
              <w:t>(…)</w:t>
            </w:r>
          </w:p>
        </w:tc>
      </w:tr>
      <w:tr w:rsidR="00997210" w:rsidRPr="00E8006E" w:rsidTr="00997210">
        <w:trPr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210" w:rsidRDefault="00997210" w:rsidP="00997210">
            <w:pPr>
              <w:spacing w:before="60" w:after="60" w:line="240" w:lineRule="auto"/>
              <w:rPr>
                <w:i w:val="0"/>
              </w:rPr>
            </w:pPr>
            <w:r w:rsidRPr="00997210">
              <w:rPr>
                <w:b/>
                <w:i w:val="0"/>
                <w:lang w:val="fr-FR"/>
              </w:rPr>
              <w:t>Disposition</w:t>
            </w:r>
            <w:r w:rsidRPr="00997210">
              <w:rPr>
                <w:b/>
                <w:i w:val="0"/>
                <w:u w:val="single"/>
                <w:lang w:val="fr-FR"/>
              </w:rPr>
              <w:t>s</w:t>
            </w:r>
            <w:r w:rsidRPr="00997210">
              <w:rPr>
                <w:b/>
                <w:i w:val="0"/>
                <w:lang w:val="fr-FR"/>
              </w:rPr>
              <w:t xml:space="preserve"> spéciale</w:t>
            </w:r>
            <w:r w:rsidRPr="00997210">
              <w:rPr>
                <w:b/>
                <w:i w:val="0"/>
                <w:u w:val="single"/>
                <w:lang w:val="fr-FR"/>
              </w:rPr>
              <w:t>s</w:t>
            </w:r>
            <w:r w:rsidRPr="00997210">
              <w:rPr>
                <w:b/>
                <w:i w:val="0"/>
                <w:lang w:val="fr-FR"/>
              </w:rPr>
              <w:t xml:space="preserve"> d’emballage :</w:t>
            </w:r>
          </w:p>
        </w:tc>
      </w:tr>
      <w:tr w:rsidR="00997210" w:rsidRPr="00E8006E" w:rsidTr="009972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210" w:rsidRPr="00997210" w:rsidRDefault="00997210" w:rsidP="00997210">
            <w:pPr>
              <w:spacing w:before="60" w:after="60" w:line="240" w:lineRule="auto"/>
              <w:rPr>
                <w:i w:val="0"/>
                <w:lang w:val="fr-FR"/>
              </w:rPr>
            </w:pPr>
            <w:r w:rsidRPr="00997210">
              <w:rPr>
                <w:b/>
                <w:i w:val="0"/>
                <w:lang w:val="fr-FR"/>
              </w:rPr>
              <w:t xml:space="preserve">PP89 </w:t>
            </w:r>
            <w:r>
              <w:rPr>
                <w:i w:val="0"/>
                <w:lang w:val="fr-FR"/>
              </w:rPr>
              <w:t>(...)</w:t>
            </w:r>
          </w:p>
          <w:p w:rsidR="00997210" w:rsidRDefault="00997210" w:rsidP="00997210">
            <w:pPr>
              <w:spacing w:before="60" w:after="60" w:line="240" w:lineRule="auto"/>
              <w:rPr>
                <w:i w:val="0"/>
              </w:rPr>
            </w:pPr>
            <w:r w:rsidRPr="00997210">
              <w:rPr>
                <w:b/>
                <w:bCs/>
                <w:i w:val="0"/>
                <w:u w:val="single"/>
                <w:lang w:val="fr-FR"/>
              </w:rPr>
              <w:t>PPXX</w:t>
            </w:r>
            <w:r w:rsidRPr="00997210">
              <w:rPr>
                <w:b/>
                <w:bCs/>
                <w:i w:val="0"/>
                <w:u w:val="single"/>
                <w:lang w:val="fr-FR"/>
              </w:rPr>
              <w:tab/>
            </w:r>
            <w:r w:rsidRPr="00997210">
              <w:rPr>
                <w:b/>
                <w:bCs/>
                <w:i w:val="0"/>
                <w:u w:val="single"/>
                <w:lang w:val="fr-FR"/>
              </w:rPr>
              <w:tab/>
            </w:r>
            <w:r w:rsidRPr="00997210">
              <w:rPr>
                <w:i w:val="0"/>
                <w:u w:val="single"/>
                <w:lang w:val="fr-FR"/>
              </w:rPr>
              <w:t>Pour les agents d’extinction affectés au N</w:t>
            </w:r>
            <w:r w:rsidRPr="00997210">
              <w:rPr>
                <w:i w:val="0"/>
                <w:u w:val="single"/>
                <w:vertAlign w:val="superscript"/>
                <w:lang w:val="fr-FR"/>
              </w:rPr>
              <w:t xml:space="preserve">o </w:t>
            </w:r>
            <w:r w:rsidRPr="00997210">
              <w:rPr>
                <w:i w:val="0"/>
                <w:u w:val="single"/>
                <w:lang w:val="fr-FR"/>
              </w:rPr>
              <w:t>ONU 3500, la périodicité maximale des épreuves pour les</w:t>
            </w:r>
            <w:r>
              <w:rPr>
                <w:i w:val="0"/>
                <w:u w:val="single"/>
                <w:lang w:val="fr-FR"/>
              </w:rPr>
              <w:t> </w:t>
            </w:r>
            <w:r w:rsidRPr="00997210">
              <w:rPr>
                <w:i w:val="0"/>
                <w:u w:val="single"/>
                <w:lang w:val="fr-FR"/>
              </w:rPr>
              <w:t xml:space="preserve">contrôles périodiques est de </w:t>
            </w:r>
            <w:r>
              <w:rPr>
                <w:i w:val="0"/>
                <w:u w:val="single"/>
                <w:lang w:val="fr-FR"/>
              </w:rPr>
              <w:t>10 </w:t>
            </w:r>
            <w:r w:rsidRPr="00997210">
              <w:rPr>
                <w:i w:val="0"/>
                <w:u w:val="single"/>
                <w:lang w:val="fr-FR"/>
              </w:rPr>
              <w:t>ans et l’emballage suivant est autorisé : tubes d’une capacité maximale en eau de</w:t>
            </w:r>
            <w:r>
              <w:rPr>
                <w:i w:val="0"/>
                <w:u w:val="single"/>
                <w:lang w:val="fr-FR"/>
              </w:rPr>
              <w:t> </w:t>
            </w:r>
            <w:r w:rsidRPr="00997210">
              <w:rPr>
                <w:i w:val="0"/>
                <w:u w:val="single"/>
                <w:lang w:val="fr-FR"/>
              </w:rPr>
              <w:t>450 litres.</w:t>
            </w:r>
          </w:p>
        </w:tc>
      </w:tr>
    </w:tbl>
    <w:p w:rsidR="004471F2" w:rsidRPr="004471F2" w:rsidRDefault="004471F2" w:rsidP="00756C41">
      <w:pPr>
        <w:pStyle w:val="HChG"/>
      </w:pPr>
      <w:r w:rsidRPr="004471F2">
        <w:br w:type="page"/>
      </w:r>
      <w:r w:rsidRPr="004471F2">
        <w:lastRenderedPageBreak/>
        <w:t xml:space="preserve">Annexe </w:t>
      </w:r>
    </w:p>
    <w:p w:rsidR="004471F2" w:rsidRPr="004471F2" w:rsidRDefault="004471F2" w:rsidP="004471F2">
      <w:pPr>
        <w:pStyle w:val="H1G"/>
      </w:pPr>
      <w:r w:rsidRPr="004471F2">
        <w:tab/>
      </w:r>
      <w:r w:rsidRPr="004471F2">
        <w:tab/>
        <w:t>Exemple de système d</w:t>
      </w:r>
      <w:r w:rsidR="00385721">
        <w:t>’</w:t>
      </w:r>
      <w:r w:rsidRPr="004471F2">
        <w:t>extinction de feu par gaz</w:t>
      </w:r>
    </w:p>
    <w:p w:rsidR="004471F2" w:rsidRPr="004471F2" w:rsidRDefault="004471F2" w:rsidP="00385721">
      <w:pPr>
        <w:ind w:left="1134"/>
      </w:pPr>
      <w:r w:rsidRPr="004471F2">
        <w:rPr>
          <w:noProof/>
          <w:lang w:eastAsia="fr-CH"/>
        </w:rPr>
        <w:drawing>
          <wp:inline distT="0" distB="0" distL="0" distR="0" wp14:anchorId="083BD6EE" wp14:editId="7AB1302A">
            <wp:extent cx="4542790" cy="1711960"/>
            <wp:effectExtent l="0" t="0" r="0" b="2540"/>
            <wp:docPr id="5" name="Picture 5" descr="Lö_Mi_Beha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ö_Mi_Behael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F2" w:rsidRPr="004471F2" w:rsidRDefault="004471F2" w:rsidP="00385721">
      <w:pPr>
        <w:ind w:left="1134"/>
      </w:pPr>
    </w:p>
    <w:p w:rsidR="004471F2" w:rsidRPr="004471F2" w:rsidRDefault="004471F2" w:rsidP="00385721">
      <w:pPr>
        <w:ind w:left="1134"/>
      </w:pPr>
    </w:p>
    <w:p w:rsidR="004471F2" w:rsidRPr="004471F2" w:rsidRDefault="004471F2" w:rsidP="00385721">
      <w:pPr>
        <w:ind w:left="1134"/>
      </w:pPr>
      <w:r w:rsidRPr="004471F2">
        <w:rPr>
          <w:noProof/>
          <w:lang w:eastAsia="fr-CH"/>
        </w:rPr>
        <w:drawing>
          <wp:inline distT="0" distB="0" distL="0" distR="0" wp14:anchorId="7A91B4F0" wp14:editId="42D75ACA">
            <wp:extent cx="4945380" cy="3694430"/>
            <wp:effectExtent l="0" t="0" r="7620" b="1270"/>
            <wp:docPr id="4" name="Picture 4" descr="CIMG8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83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F2" w:rsidRPr="004471F2" w:rsidRDefault="00756C41" w:rsidP="00385721">
      <w:pPr>
        <w:spacing w:after="120"/>
        <w:ind w:left="851" w:hanging="11"/>
        <w:jc w:val="both"/>
      </w:pPr>
      <w:r>
        <w:rPr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27BA26" wp14:editId="451D194C">
                <wp:simplePos x="0" y="0"/>
                <wp:positionH relativeFrom="column">
                  <wp:posOffset>575310</wp:posOffset>
                </wp:positionH>
                <wp:positionV relativeFrom="paragraph">
                  <wp:posOffset>33655</wp:posOffset>
                </wp:positionV>
                <wp:extent cx="990600" cy="2476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C41" w:rsidRPr="00756C41" w:rsidRDefault="00756C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6C41">
                              <w:rPr>
                                <w:b/>
                                <w:sz w:val="28"/>
                                <w:szCs w:val="28"/>
                              </w:rPr>
                              <w:t>Conception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7BA2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45.3pt;margin-top:2.65pt;width:78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" fillcolor="white [3201]" stroked="f" strokeweight=".5pt">
                <v:textbox inset="0,0,0,0">
                  <w:txbxContent>
                    <w:p w:rsidR="00756C41" w:rsidRPr="00756C41" w:rsidRDefault="00756C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56C41">
                        <w:rPr>
                          <w:b/>
                          <w:sz w:val="28"/>
                          <w:szCs w:val="28"/>
                        </w:rPr>
                        <w:t>Conception</w:t>
                      </w:r>
                    </w:p>
                  </w:txbxContent>
                </v:textbox>
              </v:shape>
            </w:pict>
          </mc:Fallback>
        </mc:AlternateContent>
      </w:r>
      <w:r w:rsidR="004471F2" w:rsidRPr="004471F2">
        <w:rPr>
          <w:noProof/>
          <w:lang w:eastAsia="fr-CH"/>
        </w:rPr>
        <w:drawing>
          <wp:inline distT="0" distB="0" distL="0" distR="0" wp14:anchorId="108612B0" wp14:editId="028791F4">
            <wp:extent cx="5486400" cy="3803650"/>
            <wp:effectExtent l="0" t="0" r="0" b="635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dxa"/>
        <w:tblInd w:w="1134" w:type="dxa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2268"/>
        <w:gridCol w:w="567"/>
        <w:gridCol w:w="1984"/>
      </w:tblGrid>
      <w:tr w:rsidR="004471F2" w:rsidRPr="004471F2" w:rsidTr="00385721">
        <w:tc>
          <w:tcPr>
            <w:tcW w:w="567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  <w:r w:rsidRPr="004471F2">
              <w:t>1</w:t>
            </w:r>
          </w:p>
        </w:tc>
        <w:tc>
          <w:tcPr>
            <w:tcW w:w="1985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  <w:r w:rsidRPr="004471F2">
              <w:t>Flash</w:t>
            </w:r>
          </w:p>
        </w:tc>
        <w:tc>
          <w:tcPr>
            <w:tcW w:w="567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  <w:r w:rsidRPr="004471F2">
              <w:t>2</w:t>
            </w:r>
          </w:p>
        </w:tc>
        <w:tc>
          <w:tcPr>
            <w:tcW w:w="2268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  <w:r w:rsidRPr="004471F2">
              <w:t xml:space="preserve">Avertisseur électrique </w:t>
            </w:r>
          </w:p>
        </w:tc>
        <w:tc>
          <w:tcPr>
            <w:tcW w:w="567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  <w:r w:rsidRPr="004471F2">
              <w:t>3</w:t>
            </w:r>
          </w:p>
        </w:tc>
        <w:tc>
          <w:tcPr>
            <w:tcW w:w="1984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  <w:r w:rsidRPr="004471F2">
              <w:t>Robinet sélecteur</w:t>
            </w:r>
          </w:p>
        </w:tc>
      </w:tr>
      <w:tr w:rsidR="004471F2" w:rsidRPr="004471F2" w:rsidTr="00385721">
        <w:tc>
          <w:tcPr>
            <w:tcW w:w="567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  <w:r w:rsidRPr="004471F2">
              <w:t>4</w:t>
            </w:r>
          </w:p>
        </w:tc>
        <w:tc>
          <w:tcPr>
            <w:tcW w:w="1985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  <w:r w:rsidRPr="004471F2">
              <w:t>Lance d</w:t>
            </w:r>
            <w:r w:rsidR="00385721">
              <w:t>’</w:t>
            </w:r>
            <w:r w:rsidRPr="004471F2">
              <w:t>extincteur</w:t>
            </w:r>
          </w:p>
        </w:tc>
        <w:tc>
          <w:tcPr>
            <w:tcW w:w="567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  <w:r w:rsidRPr="004471F2">
              <w:t>5</w:t>
            </w:r>
          </w:p>
        </w:tc>
        <w:tc>
          <w:tcPr>
            <w:tcW w:w="2268" w:type="dxa"/>
          </w:tcPr>
          <w:p w:rsidR="004471F2" w:rsidRPr="004471F2" w:rsidRDefault="004471F2" w:rsidP="00B31C86">
            <w:pPr>
              <w:spacing w:before="60" w:after="60"/>
              <w:ind w:left="57" w:right="57"/>
            </w:pPr>
            <w:r w:rsidRPr="004471F2">
              <w:t>Bouteille d</w:t>
            </w:r>
            <w:r w:rsidR="00385721">
              <w:t>’</w:t>
            </w:r>
            <w:r w:rsidRPr="004471F2">
              <w:t>agent d</w:t>
            </w:r>
            <w:r w:rsidR="00385721">
              <w:t>’</w:t>
            </w:r>
            <w:r w:rsidRPr="004471F2">
              <w:t>extinction</w:t>
            </w:r>
          </w:p>
        </w:tc>
        <w:tc>
          <w:tcPr>
            <w:tcW w:w="567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  <w:r w:rsidRPr="004471F2">
              <w:t>6</w:t>
            </w:r>
          </w:p>
        </w:tc>
        <w:tc>
          <w:tcPr>
            <w:tcW w:w="1984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  <w:r w:rsidRPr="004471F2">
              <w:t xml:space="preserve">Dispositif </w:t>
            </w:r>
            <w:r w:rsidR="00385721">
              <w:br/>
            </w:r>
            <w:r w:rsidRPr="004471F2">
              <w:t>de commande pneumatique</w:t>
            </w:r>
          </w:p>
        </w:tc>
      </w:tr>
      <w:tr w:rsidR="004471F2" w:rsidRPr="004471F2" w:rsidTr="00385721">
        <w:tc>
          <w:tcPr>
            <w:tcW w:w="567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  <w:r w:rsidRPr="004471F2">
              <w:t>7</w:t>
            </w:r>
          </w:p>
        </w:tc>
        <w:tc>
          <w:tcPr>
            <w:tcW w:w="1985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  <w:r w:rsidRPr="004471F2">
              <w:t>Détecteur d</w:t>
            </w:r>
            <w:r w:rsidR="00385721">
              <w:t>’</w:t>
            </w:r>
            <w:r w:rsidRPr="004471F2">
              <w:t>incendie</w:t>
            </w:r>
          </w:p>
        </w:tc>
        <w:tc>
          <w:tcPr>
            <w:tcW w:w="567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  <w:r w:rsidRPr="004471F2">
              <w:t>8</w:t>
            </w:r>
          </w:p>
        </w:tc>
        <w:tc>
          <w:tcPr>
            <w:tcW w:w="2268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  <w:r w:rsidRPr="004471F2">
              <w:t xml:space="preserve">Bloc de commande </w:t>
            </w:r>
            <w:r w:rsidR="00385721">
              <w:br/>
            </w:r>
            <w:r w:rsidRPr="004471F2">
              <w:t>du détecteur d</w:t>
            </w:r>
            <w:r w:rsidR="00385721">
              <w:t>’</w:t>
            </w:r>
            <w:r w:rsidRPr="004471F2">
              <w:t xml:space="preserve">incendie </w:t>
            </w:r>
            <w:r w:rsidR="00385721">
              <w:br/>
            </w:r>
            <w:r w:rsidRPr="004471F2">
              <w:t>et de l</w:t>
            </w:r>
            <w:r w:rsidR="00385721">
              <w:t>’</w:t>
            </w:r>
            <w:r w:rsidRPr="004471F2">
              <w:t>extincteur</w:t>
            </w:r>
          </w:p>
        </w:tc>
        <w:tc>
          <w:tcPr>
            <w:tcW w:w="567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</w:p>
        </w:tc>
        <w:tc>
          <w:tcPr>
            <w:tcW w:w="1984" w:type="dxa"/>
          </w:tcPr>
          <w:p w:rsidR="004471F2" w:rsidRPr="004471F2" w:rsidRDefault="004471F2" w:rsidP="00756C41">
            <w:pPr>
              <w:spacing w:before="60" w:after="60"/>
              <w:ind w:left="57" w:right="57"/>
            </w:pPr>
          </w:p>
        </w:tc>
      </w:tr>
    </w:tbl>
    <w:p w:rsidR="004471F2" w:rsidRPr="004471F2" w:rsidRDefault="004471F2" w:rsidP="004471F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71F2" w:rsidRPr="004471F2" w:rsidSect="004471F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F5D" w:rsidRDefault="00146F5D" w:rsidP="00F95C08">
      <w:pPr>
        <w:spacing w:line="240" w:lineRule="auto"/>
      </w:pPr>
    </w:p>
  </w:endnote>
  <w:endnote w:type="continuationSeparator" w:id="0">
    <w:p w:rsidR="00146F5D" w:rsidRPr="00AC3823" w:rsidRDefault="00146F5D" w:rsidP="00AC3823">
      <w:pPr>
        <w:pStyle w:val="Footer"/>
      </w:pPr>
    </w:p>
  </w:endnote>
  <w:endnote w:type="continuationNotice" w:id="1">
    <w:p w:rsidR="00146F5D" w:rsidRDefault="00146F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F2" w:rsidRPr="004471F2" w:rsidRDefault="004471F2" w:rsidP="004471F2">
    <w:pPr>
      <w:pStyle w:val="Footer"/>
      <w:tabs>
        <w:tab w:val="right" w:pos="9638"/>
      </w:tabs>
    </w:pPr>
    <w:r w:rsidRPr="004471F2">
      <w:rPr>
        <w:b/>
        <w:sz w:val="18"/>
      </w:rPr>
      <w:fldChar w:fldCharType="begin"/>
    </w:r>
    <w:r w:rsidRPr="004471F2">
      <w:rPr>
        <w:b/>
        <w:sz w:val="18"/>
      </w:rPr>
      <w:instrText xml:space="preserve"> PAGE  \* MERGEFORMAT </w:instrText>
    </w:r>
    <w:r w:rsidRPr="004471F2">
      <w:rPr>
        <w:b/>
        <w:sz w:val="18"/>
      </w:rPr>
      <w:fldChar w:fldCharType="separate"/>
    </w:r>
    <w:r w:rsidR="000841C7">
      <w:rPr>
        <w:b/>
        <w:noProof/>
        <w:sz w:val="18"/>
      </w:rPr>
      <w:t>2</w:t>
    </w:r>
    <w:r w:rsidRPr="004471F2">
      <w:rPr>
        <w:b/>
        <w:sz w:val="18"/>
      </w:rPr>
      <w:fldChar w:fldCharType="end"/>
    </w:r>
    <w:r>
      <w:rPr>
        <w:b/>
        <w:sz w:val="18"/>
      </w:rPr>
      <w:tab/>
    </w:r>
    <w:r>
      <w:t>GE.18-14846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F2" w:rsidRPr="004471F2" w:rsidRDefault="004471F2" w:rsidP="004471F2">
    <w:pPr>
      <w:pStyle w:val="Footer"/>
      <w:tabs>
        <w:tab w:val="right" w:pos="9638"/>
      </w:tabs>
      <w:rPr>
        <w:b/>
        <w:sz w:val="18"/>
      </w:rPr>
    </w:pPr>
    <w:r>
      <w:t>GE.18-14846</w:t>
    </w:r>
    <w:r>
      <w:tab/>
    </w:r>
    <w:r w:rsidRPr="004471F2">
      <w:rPr>
        <w:b/>
        <w:sz w:val="18"/>
      </w:rPr>
      <w:fldChar w:fldCharType="begin"/>
    </w:r>
    <w:r w:rsidRPr="004471F2">
      <w:rPr>
        <w:b/>
        <w:sz w:val="18"/>
      </w:rPr>
      <w:instrText xml:space="preserve"> PAGE  \* MERGEFORMAT </w:instrText>
    </w:r>
    <w:r w:rsidRPr="004471F2">
      <w:rPr>
        <w:b/>
        <w:sz w:val="18"/>
      </w:rPr>
      <w:fldChar w:fldCharType="separate"/>
    </w:r>
    <w:r w:rsidR="000841C7">
      <w:rPr>
        <w:b/>
        <w:noProof/>
        <w:sz w:val="18"/>
      </w:rPr>
      <w:t>3</w:t>
    </w:r>
    <w:r w:rsidRPr="004471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4471F2" w:rsidRDefault="004471F2" w:rsidP="004471F2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18-14846  (F)    011018    111018</w:t>
    </w:r>
    <w:r>
      <w:rPr>
        <w:sz w:val="20"/>
      </w:rPr>
      <w:br/>
    </w:r>
    <w:r w:rsidRPr="004471F2">
      <w:rPr>
        <w:rFonts w:ascii="C39T30Lfz" w:hAnsi="C39T30Lfz"/>
        <w:sz w:val="56"/>
      </w:rPr>
      <w:t></w:t>
    </w:r>
    <w:r w:rsidRPr="004471F2">
      <w:rPr>
        <w:rFonts w:ascii="C39T30Lfz" w:hAnsi="C39T30Lfz"/>
        <w:sz w:val="56"/>
      </w:rPr>
      <w:t></w:t>
    </w:r>
    <w:r w:rsidRPr="004471F2">
      <w:rPr>
        <w:rFonts w:ascii="C39T30Lfz" w:hAnsi="C39T30Lfz"/>
        <w:sz w:val="56"/>
      </w:rPr>
      <w:t></w:t>
    </w:r>
    <w:r w:rsidRPr="004471F2">
      <w:rPr>
        <w:rFonts w:ascii="C39T30Lfz" w:hAnsi="C39T30Lfz"/>
        <w:sz w:val="56"/>
      </w:rPr>
      <w:t></w:t>
    </w:r>
    <w:r w:rsidRPr="004471F2">
      <w:rPr>
        <w:rFonts w:ascii="C39T30Lfz" w:hAnsi="C39T30Lfz"/>
        <w:sz w:val="56"/>
      </w:rPr>
      <w:t></w:t>
    </w:r>
    <w:r w:rsidRPr="004471F2">
      <w:rPr>
        <w:rFonts w:ascii="C39T30Lfz" w:hAnsi="C39T30Lfz"/>
        <w:sz w:val="56"/>
      </w:rPr>
      <w:t></w:t>
    </w:r>
    <w:r w:rsidRPr="004471F2">
      <w:rPr>
        <w:rFonts w:ascii="C39T30Lfz" w:hAnsi="C39T30Lfz"/>
        <w:sz w:val="56"/>
      </w:rPr>
      <w:t></w:t>
    </w:r>
    <w:r w:rsidRPr="004471F2">
      <w:rPr>
        <w:rFonts w:ascii="C39T30Lfz" w:hAnsi="C39T30Lfz"/>
        <w:sz w:val="56"/>
      </w:rPr>
      <w:t></w:t>
    </w:r>
    <w:r w:rsidRPr="004471F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7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7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F5D" w:rsidRPr="00AC3823" w:rsidRDefault="00146F5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46F5D" w:rsidRPr="00AC3823" w:rsidRDefault="00146F5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46F5D" w:rsidRPr="00AC3823" w:rsidRDefault="00146F5D">
      <w:pPr>
        <w:spacing w:line="240" w:lineRule="auto"/>
        <w:rPr>
          <w:sz w:val="2"/>
          <w:szCs w:val="2"/>
        </w:rPr>
      </w:pPr>
    </w:p>
  </w:footnote>
  <w:footnote w:id="2">
    <w:p w:rsidR="004471F2" w:rsidRPr="004471F2" w:rsidRDefault="004471F2">
      <w:pPr>
        <w:pStyle w:val="FootnoteText"/>
      </w:pPr>
      <w:r>
        <w:rPr>
          <w:rStyle w:val="FootnoteReference"/>
        </w:rPr>
        <w:tab/>
      </w:r>
      <w:r w:rsidRPr="004471F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2588F">
        <w:t>Conformément au programme de travail du Sous-Comité pour 2017-2018,approuvé par le Comité à sa huitième session (voir ST/SG/AC.10/C.3/100, par.</w:t>
      </w:r>
      <w:r>
        <w:t> </w:t>
      </w:r>
      <w:r w:rsidRPr="0082588F">
        <w:t>98</w:t>
      </w:r>
      <w:r>
        <w:t>, et ST/SG/AC.10/44, par. </w:t>
      </w:r>
      <w:r w:rsidRPr="0082588F">
        <w:t>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F2" w:rsidRPr="004471F2" w:rsidRDefault="008714D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ST/SG/AC.10/C.3/2018/77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F2" w:rsidRPr="004471F2" w:rsidRDefault="008714D9" w:rsidP="004471F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ST/SG/AC.10/C.3/2018/77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2823D60"/>
    <w:multiLevelType w:val="hybridMultilevel"/>
    <w:tmpl w:val="A52C00C2"/>
    <w:lvl w:ilvl="0" w:tplc="7D303728">
      <w:start w:val="1"/>
      <w:numFmt w:val="decimal"/>
      <w:lvlText w:val="%1)"/>
      <w:lvlJc w:val="left"/>
      <w:pPr>
        <w:ind w:left="531" w:hanging="481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8BD61534">
      <w:start w:val="1"/>
      <w:numFmt w:val="lowerLetter"/>
      <w:lvlText w:val="%2)"/>
      <w:lvlJc w:val="left"/>
      <w:pPr>
        <w:ind w:left="956" w:hanging="428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ADC25A5A">
      <w:numFmt w:val="bullet"/>
      <w:lvlText w:val="•"/>
      <w:lvlJc w:val="left"/>
      <w:pPr>
        <w:ind w:left="1860" w:hanging="428"/>
      </w:pPr>
      <w:rPr>
        <w:rFonts w:hint="default"/>
      </w:rPr>
    </w:lvl>
    <w:lvl w:ilvl="3" w:tplc="C3AAFD70">
      <w:numFmt w:val="bullet"/>
      <w:lvlText w:val="•"/>
      <w:lvlJc w:val="left"/>
      <w:pPr>
        <w:ind w:left="2760" w:hanging="428"/>
      </w:pPr>
      <w:rPr>
        <w:rFonts w:hint="default"/>
      </w:rPr>
    </w:lvl>
    <w:lvl w:ilvl="4" w:tplc="42A2C686">
      <w:numFmt w:val="bullet"/>
      <w:lvlText w:val="•"/>
      <w:lvlJc w:val="left"/>
      <w:pPr>
        <w:ind w:left="3660" w:hanging="428"/>
      </w:pPr>
      <w:rPr>
        <w:rFonts w:hint="default"/>
      </w:rPr>
    </w:lvl>
    <w:lvl w:ilvl="5" w:tplc="BB28A390">
      <w:numFmt w:val="bullet"/>
      <w:lvlText w:val="•"/>
      <w:lvlJc w:val="left"/>
      <w:pPr>
        <w:ind w:left="4560" w:hanging="428"/>
      </w:pPr>
      <w:rPr>
        <w:rFonts w:hint="default"/>
      </w:rPr>
    </w:lvl>
    <w:lvl w:ilvl="6" w:tplc="5D7CB068">
      <w:numFmt w:val="bullet"/>
      <w:lvlText w:val="•"/>
      <w:lvlJc w:val="left"/>
      <w:pPr>
        <w:ind w:left="5460" w:hanging="428"/>
      </w:pPr>
      <w:rPr>
        <w:rFonts w:hint="default"/>
      </w:rPr>
    </w:lvl>
    <w:lvl w:ilvl="7" w:tplc="F536A6CC">
      <w:numFmt w:val="bullet"/>
      <w:lvlText w:val="•"/>
      <w:lvlJc w:val="left"/>
      <w:pPr>
        <w:ind w:left="6360" w:hanging="428"/>
      </w:pPr>
      <w:rPr>
        <w:rFonts w:hint="default"/>
      </w:rPr>
    </w:lvl>
    <w:lvl w:ilvl="8" w:tplc="484ACA8C">
      <w:numFmt w:val="bullet"/>
      <w:lvlText w:val="•"/>
      <w:lvlJc w:val="left"/>
      <w:pPr>
        <w:ind w:left="7260" w:hanging="428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5D"/>
    <w:rsid w:val="00017F94"/>
    <w:rsid w:val="00023842"/>
    <w:rsid w:val="000305D3"/>
    <w:rsid w:val="000334F9"/>
    <w:rsid w:val="0007796D"/>
    <w:rsid w:val="000841C7"/>
    <w:rsid w:val="000B7790"/>
    <w:rsid w:val="000C7075"/>
    <w:rsid w:val="00111F2F"/>
    <w:rsid w:val="00132EA9"/>
    <w:rsid w:val="0014365E"/>
    <w:rsid w:val="00146F5D"/>
    <w:rsid w:val="00176178"/>
    <w:rsid w:val="00182ADE"/>
    <w:rsid w:val="00197F23"/>
    <w:rsid w:val="001F525A"/>
    <w:rsid w:val="001F5508"/>
    <w:rsid w:val="00223272"/>
    <w:rsid w:val="00227987"/>
    <w:rsid w:val="0024779E"/>
    <w:rsid w:val="00283190"/>
    <w:rsid w:val="002832AC"/>
    <w:rsid w:val="002D7C93"/>
    <w:rsid w:val="00385721"/>
    <w:rsid w:val="00441C3B"/>
    <w:rsid w:val="00446FE5"/>
    <w:rsid w:val="004471F2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56C41"/>
    <w:rsid w:val="007A62E6"/>
    <w:rsid w:val="007E4484"/>
    <w:rsid w:val="0080684C"/>
    <w:rsid w:val="0081004C"/>
    <w:rsid w:val="008714D9"/>
    <w:rsid w:val="00871C75"/>
    <w:rsid w:val="008776DC"/>
    <w:rsid w:val="008B40CD"/>
    <w:rsid w:val="009705C8"/>
    <w:rsid w:val="00997210"/>
    <w:rsid w:val="009C1CF4"/>
    <w:rsid w:val="00A30353"/>
    <w:rsid w:val="00AC3823"/>
    <w:rsid w:val="00AE323C"/>
    <w:rsid w:val="00B00181"/>
    <w:rsid w:val="00B00B0D"/>
    <w:rsid w:val="00B31C86"/>
    <w:rsid w:val="00B765F7"/>
    <w:rsid w:val="00B87AB6"/>
    <w:rsid w:val="00BA0CA9"/>
    <w:rsid w:val="00C02897"/>
    <w:rsid w:val="00D3439C"/>
    <w:rsid w:val="00DB1831"/>
    <w:rsid w:val="00DD3BFD"/>
    <w:rsid w:val="00DF6678"/>
    <w:rsid w:val="00EF2E22"/>
    <w:rsid w:val="00F01738"/>
    <w:rsid w:val="00F660DF"/>
    <w:rsid w:val="00F730C8"/>
    <w:rsid w:val="00F950C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ADA386-181C-4A83-97AE-8E16BB75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4471F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4471F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4471F2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471F2"/>
    <w:pPr>
      <w:widowControl w:val="0"/>
      <w:suppressAutoHyphens w:val="0"/>
      <w:kinsoku/>
      <w:overflowPunct/>
      <w:adjustRightInd/>
      <w:snapToGrid/>
      <w:spacing w:line="240" w:lineRule="auto"/>
    </w:pPr>
    <w:rPr>
      <w:rFonts w:eastAsia="Times New Roman"/>
      <w:sz w:val="22"/>
      <w:szCs w:val="22"/>
      <w:lang w:val="en-US"/>
    </w:rPr>
  </w:style>
  <w:style w:type="table" w:styleId="TableGrid1">
    <w:name w:val="Table Grid 1"/>
    <w:basedOn w:val="TableNormal"/>
    <w:semiHidden/>
    <w:rsid w:val="00997210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fr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ST/SG/AC.10/C.3/2018/77</vt:lpstr>
      <vt:lpstr>ST/SG/AC.10/C.3/2018/77</vt:lpstr>
    </vt:vector>
  </TitlesOfParts>
  <Company>DCM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ST/SG/AC.10/C.3/2018/77</dc:title>
  <dc:subject/>
  <dc:creator>Fabienne CRELIER</dc:creator>
  <cp:keywords/>
  <cp:lastModifiedBy>Laurence Berthet</cp:lastModifiedBy>
  <cp:revision>3</cp:revision>
  <cp:lastPrinted>2018-10-11T12:20:00Z</cp:lastPrinted>
  <dcterms:created xsi:type="dcterms:W3CDTF">2018-10-11T12:19:00Z</dcterms:created>
  <dcterms:modified xsi:type="dcterms:W3CDTF">2018-10-11T12:20:00Z</dcterms:modified>
</cp:coreProperties>
</file>