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132EA9" w:rsidRPr="00DB58B5" w:rsidRDefault="00132EA9" w:rsidP="001B50D8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132EA9" w:rsidRPr="00DB58B5" w:rsidRDefault="001B50D8" w:rsidP="001B50D8">
            <w:pPr>
              <w:jc w:val="right"/>
            </w:pPr>
            <w:r w:rsidRPr="001B50D8">
              <w:rPr>
                <w:sz w:val="40"/>
              </w:rPr>
              <w:t>ST</w:t>
            </w:r>
            <w:r>
              <w:t>/SG/AC.10/C.3/2018/73</w:t>
            </w:r>
          </w:p>
        </w:tc>
      </w:tr>
      <w:tr w:rsidR="00132EA9" w:rsidRPr="00DB58B5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85DA4CF" wp14:editId="5B88504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Default="001B50D8" w:rsidP="00F01738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:rsidR="001B50D8" w:rsidRDefault="001B50D8" w:rsidP="001B50D8">
            <w:pPr>
              <w:spacing w:line="240" w:lineRule="exact"/>
            </w:pPr>
            <w:r>
              <w:t>27 août 2018</w:t>
            </w:r>
          </w:p>
          <w:p w:rsidR="001B50D8" w:rsidRDefault="001B50D8" w:rsidP="001B50D8">
            <w:pPr>
              <w:spacing w:line="240" w:lineRule="exact"/>
            </w:pPr>
            <w:r>
              <w:t>Français</w:t>
            </w:r>
          </w:p>
          <w:p w:rsidR="001B50D8" w:rsidRPr="00DB58B5" w:rsidRDefault="001B50D8" w:rsidP="001B50D8">
            <w:pPr>
              <w:spacing w:line="240" w:lineRule="exact"/>
            </w:pPr>
            <w:r>
              <w:t>Original : anglais</w:t>
            </w:r>
          </w:p>
        </w:tc>
      </w:tr>
    </w:tbl>
    <w:p w:rsidR="001B50D8" w:rsidRPr="00CA0680" w:rsidRDefault="001B50D8" w:rsidP="000305D3">
      <w:pPr>
        <w:spacing w:before="120"/>
        <w:rPr>
          <w:b/>
          <w:sz w:val="24"/>
          <w:szCs w:val="24"/>
        </w:rPr>
      </w:pPr>
      <w:r w:rsidRPr="00CA0680">
        <w:rPr>
          <w:b/>
          <w:sz w:val="24"/>
          <w:szCs w:val="24"/>
        </w:rPr>
        <w:t>Comité d</w:t>
      </w:r>
      <w:r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experts du transport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marchandises dangereuses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 xml:space="preserve">du </w:t>
      </w:r>
      <w:r>
        <w:rPr>
          <w:b/>
          <w:sz w:val="24"/>
          <w:szCs w:val="24"/>
        </w:rPr>
        <w:t>S</w:t>
      </w:r>
      <w:r w:rsidRPr="00CA0680">
        <w:rPr>
          <w:b/>
          <w:sz w:val="24"/>
          <w:szCs w:val="24"/>
        </w:rPr>
        <w:t>ystème général harmonisé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 classification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 d</w:t>
      </w:r>
      <w:r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étiquetage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produits chimiques</w:t>
      </w:r>
    </w:p>
    <w:p w:rsidR="001B50D8" w:rsidRPr="00CA0680" w:rsidRDefault="001B50D8" w:rsidP="000305D3">
      <w:pPr>
        <w:spacing w:before="120"/>
        <w:rPr>
          <w:b/>
        </w:rPr>
      </w:pPr>
      <w:r w:rsidRPr="00CA0680">
        <w:rPr>
          <w:b/>
        </w:rPr>
        <w:t>Sous</w:t>
      </w:r>
      <w:r>
        <w:rPr>
          <w:b/>
        </w:rPr>
        <w:t>-</w:t>
      </w:r>
      <w:r w:rsidRPr="00CA0680">
        <w:rPr>
          <w:b/>
        </w:rPr>
        <w:t>Comité d</w:t>
      </w:r>
      <w:r>
        <w:rPr>
          <w:b/>
        </w:rPr>
        <w:t>’</w:t>
      </w:r>
      <w:r w:rsidRPr="00CA0680">
        <w:rPr>
          <w:b/>
        </w:rPr>
        <w:t>experts du transport des marchandises dangereuses</w:t>
      </w:r>
    </w:p>
    <w:p w:rsidR="001B50D8" w:rsidRDefault="00325E6D" w:rsidP="000305D3">
      <w:pPr>
        <w:spacing w:before="120"/>
        <w:rPr>
          <w:b/>
        </w:rPr>
      </w:pPr>
      <w:r w:rsidRPr="001B50D8">
        <w:rPr>
          <w:b/>
        </w:rPr>
        <w:t>Cinquante-quatrième session</w:t>
      </w:r>
    </w:p>
    <w:p w:rsidR="001B50D8" w:rsidRDefault="001B50D8" w:rsidP="000305D3">
      <w:r>
        <w:t xml:space="preserve">Genève, </w:t>
      </w:r>
      <w:r w:rsidR="00325E6D" w:rsidRPr="001B50D8">
        <w:t>26 novembre-4 décembre 2018</w:t>
      </w:r>
    </w:p>
    <w:p w:rsidR="001B50D8" w:rsidRDefault="00325E6D" w:rsidP="000305D3">
      <w:r w:rsidRPr="001B50D8">
        <w:t>Point 6 de l</w:t>
      </w:r>
      <w:r w:rsidR="001B50D8">
        <w:t>’</w:t>
      </w:r>
      <w:r w:rsidRPr="001B50D8">
        <w:t>ordre du jour provisoire</w:t>
      </w:r>
    </w:p>
    <w:p w:rsidR="00446FE5" w:rsidRDefault="001B50D8" w:rsidP="00AC3823">
      <w:pPr>
        <w:rPr>
          <w:b/>
        </w:rPr>
      </w:pPr>
      <w:r w:rsidRPr="001B50D8">
        <w:rPr>
          <w:b/>
        </w:rPr>
        <w:t>Nouvelles propositions d’amendements au</w:t>
      </w:r>
      <w:r>
        <w:rPr>
          <w:b/>
        </w:rPr>
        <w:t xml:space="preserve"> </w:t>
      </w:r>
      <w:r w:rsidR="00325E6D" w:rsidRPr="001B50D8">
        <w:rPr>
          <w:b/>
        </w:rPr>
        <w:t xml:space="preserve">Règlement type </w:t>
      </w:r>
      <w:r>
        <w:rPr>
          <w:b/>
        </w:rPr>
        <w:br/>
      </w:r>
      <w:r w:rsidR="00325E6D" w:rsidRPr="001B50D8">
        <w:rPr>
          <w:b/>
        </w:rPr>
        <w:t>pour le transport des marchandises dangereuses</w:t>
      </w:r>
    </w:p>
    <w:p w:rsidR="00DE0E07" w:rsidRPr="001B50D8" w:rsidRDefault="001B50D8" w:rsidP="001B50D8">
      <w:pPr>
        <w:pStyle w:val="HChG"/>
      </w:pPr>
      <w:r>
        <w:tab/>
      </w:r>
      <w:r>
        <w:tab/>
      </w:r>
      <w:r w:rsidR="00325E6D" w:rsidRPr="001B50D8">
        <w:t>Corrections d</w:t>
      </w:r>
      <w:r>
        <w:t>’</w:t>
      </w:r>
      <w:r w:rsidR="00325E6D" w:rsidRPr="001B50D8">
        <w:t xml:space="preserve">ordre rédactionnel à apporter </w:t>
      </w:r>
      <w:r>
        <w:br/>
      </w:r>
      <w:r w:rsidR="00325E6D" w:rsidRPr="001B50D8">
        <w:t>au Règlement type</w:t>
      </w:r>
    </w:p>
    <w:p w:rsidR="00DE0E07" w:rsidRPr="001B50D8" w:rsidRDefault="001B50D8" w:rsidP="001B50D8">
      <w:pPr>
        <w:pStyle w:val="H1G"/>
      </w:pPr>
      <w:r>
        <w:tab/>
      </w:r>
      <w:r>
        <w:tab/>
      </w:r>
      <w:r w:rsidR="00325E6D" w:rsidRPr="001B50D8">
        <w:t>Communication de l</w:t>
      </w:r>
      <w:r>
        <w:t>’</w:t>
      </w:r>
      <w:r w:rsidR="00325E6D" w:rsidRPr="001B50D8">
        <w:t>expert de l</w:t>
      </w:r>
      <w:r>
        <w:t>’</w:t>
      </w:r>
      <w:r w:rsidR="00325E6D" w:rsidRPr="001B50D8">
        <w:t>Allemagne</w:t>
      </w:r>
      <w:r w:rsidRPr="001B50D8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DE0E07" w:rsidRPr="001B50D8" w:rsidRDefault="001B50D8" w:rsidP="001B50D8">
      <w:pPr>
        <w:pStyle w:val="HChG"/>
      </w:pPr>
      <w:r>
        <w:tab/>
      </w:r>
      <w:r>
        <w:tab/>
      </w:r>
      <w:r w:rsidR="00325E6D" w:rsidRPr="001B50D8">
        <w:t xml:space="preserve">Introduction </w:t>
      </w:r>
    </w:p>
    <w:p w:rsidR="00DE0E07" w:rsidRPr="001B50D8" w:rsidRDefault="00325E6D" w:rsidP="001B50D8">
      <w:pPr>
        <w:pStyle w:val="SingleTxtG"/>
      </w:pPr>
      <w:r w:rsidRPr="001B50D8">
        <w:t>1.</w:t>
      </w:r>
      <w:r w:rsidRPr="001B50D8">
        <w:tab/>
        <w:t>L</w:t>
      </w:r>
      <w:r w:rsidR="001B50D8">
        <w:t>’</w:t>
      </w:r>
      <w:r w:rsidR="002F66ED">
        <w:t>alinéa </w:t>
      </w:r>
      <w:r w:rsidRPr="001B50D8">
        <w:t>d</w:t>
      </w:r>
      <w:r w:rsidR="002F66ED">
        <w:t>)</w:t>
      </w:r>
      <w:r w:rsidRPr="001B50D8">
        <w:t xml:space="preserve"> de la disposition spéci</w:t>
      </w:r>
      <w:r w:rsidRPr="001B50D8">
        <w:t xml:space="preserve">ale 172 devrait être modifié </w:t>
      </w:r>
      <w:proofErr w:type="gramStart"/>
      <w:r w:rsidRPr="001B50D8">
        <w:t>de façon à ce</w:t>
      </w:r>
      <w:proofErr w:type="gramEnd"/>
      <w:r w:rsidRPr="001B50D8">
        <w:t xml:space="preserve"> que son libellé soit aligné sur l</w:t>
      </w:r>
      <w:r w:rsidR="001B50D8">
        <w:t>’</w:t>
      </w:r>
      <w:r w:rsidRPr="001B50D8">
        <w:t xml:space="preserve">intitulé de la </w:t>
      </w:r>
      <w:r w:rsidR="002F66ED">
        <w:t>colonne </w:t>
      </w:r>
      <w:r w:rsidRPr="001B50D8">
        <w:t>3 de la liste des marchandises dangereuses. L</w:t>
      </w:r>
      <w:r w:rsidR="001B50D8">
        <w:t>’</w:t>
      </w:r>
      <w:r w:rsidRPr="001B50D8">
        <w:t>expression « classe subsidiaire » n</w:t>
      </w:r>
      <w:r w:rsidR="001B50D8">
        <w:t>’</w:t>
      </w:r>
      <w:r w:rsidRPr="001B50D8">
        <w:t xml:space="preserve">est pas employée dans le contexte du Règlement type. </w:t>
      </w:r>
    </w:p>
    <w:p w:rsidR="00DE0E07" w:rsidRPr="001B50D8" w:rsidRDefault="00325E6D" w:rsidP="001B50D8">
      <w:pPr>
        <w:pStyle w:val="SingleTxtG"/>
      </w:pPr>
      <w:r w:rsidRPr="001B50D8">
        <w:t>2.</w:t>
      </w:r>
      <w:r w:rsidRPr="001B50D8">
        <w:tab/>
        <w:t>L</w:t>
      </w:r>
      <w:r w:rsidR="001B50D8">
        <w:t>’</w:t>
      </w:r>
      <w:r w:rsidR="002F66ED">
        <w:t>alinéa </w:t>
      </w:r>
      <w:r w:rsidRPr="001B50D8">
        <w:t>c</w:t>
      </w:r>
      <w:r w:rsidR="002F66ED">
        <w:t>) du paragraphe </w:t>
      </w:r>
      <w:r w:rsidRPr="001B50D8">
        <w:t>3 de l</w:t>
      </w:r>
      <w:r w:rsidR="001B50D8">
        <w:t>’</w:t>
      </w:r>
      <w:r w:rsidRPr="001B50D8">
        <w:t>instruction d</w:t>
      </w:r>
      <w:r w:rsidR="001B50D8">
        <w:t>’</w:t>
      </w:r>
      <w:r w:rsidRPr="001B50D8">
        <w:t>emballage P200 renvoie au « coefficient de remplissage ». Or, le terme « coefficient de remplissage » n</w:t>
      </w:r>
      <w:r w:rsidR="001B50D8">
        <w:t>’</w:t>
      </w:r>
      <w:r w:rsidRPr="001B50D8">
        <w:t>est pas employé dans le contexte du Règlement type et pourrait être interprété à tort comme étant différent du terme défin</w:t>
      </w:r>
      <w:r w:rsidRPr="001B50D8">
        <w:t xml:space="preserve">i « taux de remplissage ». </w:t>
      </w:r>
    </w:p>
    <w:p w:rsidR="00DE0E07" w:rsidRPr="001B50D8" w:rsidRDefault="00325E6D" w:rsidP="001B50D8">
      <w:pPr>
        <w:pStyle w:val="SingleTxtG"/>
      </w:pPr>
      <w:r w:rsidRPr="001B50D8">
        <w:t>3.</w:t>
      </w:r>
      <w:r w:rsidRPr="001B50D8">
        <w:tab/>
        <w:t>Les dernières phrases d</w:t>
      </w:r>
      <w:r w:rsidR="002F66ED">
        <w:t>es paragraphes </w:t>
      </w:r>
      <w:r w:rsidRPr="001B50D8">
        <w:t>1 et 2 de l</w:t>
      </w:r>
      <w:r w:rsidR="001B50D8">
        <w:t>’</w:t>
      </w:r>
      <w:r w:rsidRPr="001B50D8">
        <w:t>instruction d</w:t>
      </w:r>
      <w:r w:rsidR="001B50D8">
        <w:t>’</w:t>
      </w:r>
      <w:r w:rsidRPr="001B50D8">
        <w:t>emballage P300 limitent la quantité totale de carburant « par récipient et par colis ». Le terme « récipient » devrait être remplacé par « rétention primaire » p</w:t>
      </w:r>
      <w:r w:rsidRPr="001B50D8">
        <w:t>our que les phrases soient conformes aux premières phrases de chacun de ces paragraphes.</w:t>
      </w:r>
    </w:p>
    <w:p w:rsidR="00DE0E07" w:rsidRPr="001B50D8" w:rsidRDefault="00325E6D" w:rsidP="001B50D8">
      <w:pPr>
        <w:pStyle w:val="SingleTxtG"/>
      </w:pPr>
      <w:r w:rsidRPr="001B50D8">
        <w:t>4.</w:t>
      </w:r>
      <w:r w:rsidRPr="001B50D8">
        <w:tab/>
        <w:t>Certaines incohérences ont été relevées en ce qui concerne l</w:t>
      </w:r>
      <w:r w:rsidR="001B50D8">
        <w:t>’</w:t>
      </w:r>
      <w:r w:rsidRPr="001B50D8">
        <w:t>emploi des termes « </w:t>
      </w:r>
      <w:r w:rsidRPr="001B50D8">
        <w:rPr>
          <w:i/>
        </w:rPr>
        <w:t>solid plastics</w:t>
      </w:r>
      <w:r w:rsidRPr="001B50D8">
        <w:t> » et « </w:t>
      </w:r>
      <w:r w:rsidRPr="001B50D8">
        <w:rPr>
          <w:i/>
        </w:rPr>
        <w:t>rigid plastics</w:t>
      </w:r>
      <w:r w:rsidRPr="001B50D8">
        <w:t xml:space="preserve"> » dans la version anglaise. Il semble que le </w:t>
      </w:r>
      <w:r w:rsidRPr="001B50D8">
        <w:t>terme « </w:t>
      </w:r>
      <w:r w:rsidRPr="001B50D8">
        <w:rPr>
          <w:i/>
        </w:rPr>
        <w:t>solid plastics</w:t>
      </w:r>
      <w:r w:rsidRPr="001B50D8">
        <w:t> » soit principalement utilisé dans les dispositions relatives aux emballages et aux grands emballages, par exemple dans les instructions d</w:t>
      </w:r>
      <w:r w:rsidR="001B50D8">
        <w:t>’</w:t>
      </w:r>
      <w:r w:rsidR="002F66ED">
        <w:t>emballage et les chapitres </w:t>
      </w:r>
      <w:r w:rsidRPr="001B50D8">
        <w:t>6.1 et 6.6, qui font référence aux caisses en « plastique rigide (4</w:t>
      </w:r>
      <w:r w:rsidRPr="001B50D8">
        <w:t>H2) », aux emballages composites «</w:t>
      </w:r>
      <w:r w:rsidR="002F66ED">
        <w:t> </w:t>
      </w:r>
      <w:r w:rsidRPr="001B50D8">
        <w:t>avec caisse extérieure/emballage extérieur en plastique rigide</w:t>
      </w:r>
      <w:r w:rsidR="002F66ED">
        <w:t> </w:t>
      </w:r>
      <w:r w:rsidRPr="001B50D8">
        <w:t>» (6HH et 6PH2) et aux grands emballages en «</w:t>
      </w:r>
      <w:r w:rsidR="00BE4FE8">
        <w:t> </w:t>
      </w:r>
      <w:r w:rsidRPr="001B50D8">
        <w:t>plastique rigide</w:t>
      </w:r>
      <w:r w:rsidR="00BE4FE8">
        <w:t> </w:t>
      </w:r>
      <w:r w:rsidRPr="001B50D8">
        <w:t>» (50H). L</w:t>
      </w:r>
      <w:r w:rsidR="001B50D8">
        <w:t>’</w:t>
      </w:r>
      <w:r w:rsidRPr="001B50D8">
        <w:t>expression « </w:t>
      </w:r>
      <w:r w:rsidRPr="001B50D8">
        <w:rPr>
          <w:i/>
        </w:rPr>
        <w:t>rigid plastics</w:t>
      </w:r>
      <w:r w:rsidRPr="001B50D8">
        <w:t> » est employée dans les instructions d</w:t>
      </w:r>
      <w:r w:rsidR="001B50D8">
        <w:t>’</w:t>
      </w:r>
      <w:r w:rsidRPr="001B50D8">
        <w:t>emballage relativ</w:t>
      </w:r>
      <w:r w:rsidRPr="001B50D8">
        <w:t xml:space="preserve">es aux grands récipients pour vrac </w:t>
      </w:r>
      <w:r w:rsidRPr="001B50D8">
        <w:lastRenderedPageBreak/>
        <w:t>(GRV)</w:t>
      </w:r>
      <w:r w:rsidR="00BE4FE8">
        <w:t xml:space="preserve"> et dans le chapitre </w:t>
      </w:r>
      <w:r w:rsidRPr="001B50D8">
        <w:t>6.6. Il n</w:t>
      </w:r>
      <w:r w:rsidR="001B50D8">
        <w:t>’</w:t>
      </w:r>
      <w:r w:rsidRPr="001B50D8">
        <w:t>y a cependant pas de distinction stricte entre les emballages et les grands emballages d</w:t>
      </w:r>
      <w:r w:rsidR="001B50D8">
        <w:t>’</w:t>
      </w:r>
      <w:r w:rsidRPr="001B50D8">
        <w:t>une part et les grands récipients pour vrac d</w:t>
      </w:r>
      <w:r w:rsidR="001B50D8">
        <w:t>’</w:t>
      </w:r>
      <w:r w:rsidRPr="001B50D8">
        <w:t>autre part</w:t>
      </w:r>
      <w:r w:rsidR="00BE4FE8">
        <w:t> </w:t>
      </w:r>
      <w:r w:rsidRPr="001B50D8">
        <w:t>: par exemple, l</w:t>
      </w:r>
      <w:r w:rsidR="001B50D8">
        <w:t>’</w:t>
      </w:r>
      <w:r w:rsidRPr="001B50D8">
        <w:t>instruction PP63 menti</w:t>
      </w:r>
      <w:r w:rsidRPr="001B50D8">
        <w:t>onne les plastiques rigides et les instructions P800 et P804 font référence au plastique rigide en tant qu</w:t>
      </w:r>
      <w:r w:rsidR="001B50D8">
        <w:t>’</w:t>
      </w:r>
      <w:r w:rsidRPr="001B50D8">
        <w:t>emballage intérieur. Il ne semble y avoir aucune différence de sens</w:t>
      </w:r>
      <w:r w:rsidR="00D50C7C">
        <w:t> </w:t>
      </w:r>
      <w:r w:rsidRPr="001B50D8">
        <w:t>; dans les versions allemandes de l</w:t>
      </w:r>
      <w:r w:rsidR="001B50D8">
        <w:t>’</w:t>
      </w:r>
      <w:r w:rsidRPr="001B50D8">
        <w:t>ADR et du RID, les deux termes sont d</w:t>
      </w:r>
      <w:r w:rsidR="001B50D8">
        <w:t>’</w:t>
      </w:r>
      <w:r w:rsidRPr="001B50D8">
        <w:t>ailleur</w:t>
      </w:r>
      <w:r w:rsidRPr="001B50D8">
        <w:t>s traduits de la même façon (par « </w:t>
      </w:r>
      <w:r w:rsidRPr="001B50D8">
        <w:rPr>
          <w:i/>
        </w:rPr>
        <w:t>starr </w:t>
      </w:r>
      <w:r w:rsidRPr="001B50D8">
        <w:t xml:space="preserve">»). Le présent document ne contient pas de propositions spécifiques car le Sous-Comité devrait dans un premier temps avoir une discussion générale sur ce point. </w:t>
      </w:r>
    </w:p>
    <w:p w:rsidR="00DE0E07" w:rsidRPr="001B50D8" w:rsidRDefault="001C3561" w:rsidP="001C3561">
      <w:pPr>
        <w:pStyle w:val="HChG"/>
      </w:pPr>
      <w:r>
        <w:tab/>
      </w:r>
      <w:r>
        <w:tab/>
      </w:r>
      <w:r w:rsidR="00325E6D" w:rsidRPr="001B50D8">
        <w:t>Propositions d</w:t>
      </w:r>
      <w:r w:rsidR="001B50D8">
        <w:t>’</w:t>
      </w:r>
      <w:r w:rsidR="00325E6D" w:rsidRPr="001B50D8">
        <w:t>amendements</w:t>
      </w:r>
    </w:p>
    <w:p w:rsidR="00DE0E07" w:rsidRPr="001B50D8" w:rsidRDefault="00325E6D" w:rsidP="001B50D8">
      <w:pPr>
        <w:pStyle w:val="SingleTxtG"/>
      </w:pPr>
      <w:r w:rsidRPr="001B50D8">
        <w:t>5.</w:t>
      </w:r>
      <w:r w:rsidRPr="001B50D8">
        <w:tab/>
        <w:t>À l</w:t>
      </w:r>
      <w:r w:rsidR="001B50D8">
        <w:t>’</w:t>
      </w:r>
      <w:r w:rsidRPr="001B50D8">
        <w:t>alinéa d</w:t>
      </w:r>
      <w:r w:rsidR="001C3561">
        <w:t>)</w:t>
      </w:r>
      <w:r w:rsidRPr="001B50D8">
        <w:t xml:space="preserve"> de la d</w:t>
      </w:r>
      <w:r w:rsidRPr="001B50D8">
        <w:t xml:space="preserve">isposition spéciale 172, remplacer « classe ou division subsidiaire » par « danger ou division subsidiaire ». </w:t>
      </w:r>
    </w:p>
    <w:p w:rsidR="00DE0E07" w:rsidRPr="001B50D8" w:rsidRDefault="00325E6D" w:rsidP="001B50D8">
      <w:pPr>
        <w:pStyle w:val="SingleTxtG"/>
      </w:pPr>
      <w:r w:rsidRPr="001B50D8">
        <w:t>6.</w:t>
      </w:r>
      <w:r w:rsidRPr="001B50D8">
        <w:tab/>
        <w:t>À l</w:t>
      </w:r>
      <w:r w:rsidR="001B50D8">
        <w:t>’</w:t>
      </w:r>
      <w:r w:rsidRPr="001B50D8">
        <w:t>alinéa c</w:t>
      </w:r>
      <w:r w:rsidR="001C3561">
        <w:t>) du paragraphe </w:t>
      </w:r>
      <w:r w:rsidRPr="001B50D8">
        <w:t>3 de l</w:t>
      </w:r>
      <w:r w:rsidR="001B50D8">
        <w:t>’</w:t>
      </w:r>
      <w:r w:rsidRPr="001B50D8">
        <w:t>instruction d</w:t>
      </w:r>
      <w:r w:rsidR="001B50D8">
        <w:t>’</w:t>
      </w:r>
      <w:r w:rsidRPr="001B50D8">
        <w:t xml:space="preserve">emballage P200, supprimer « (coefficient de remplissage) ». </w:t>
      </w:r>
    </w:p>
    <w:p w:rsidR="00DE0E07" w:rsidRPr="001B50D8" w:rsidRDefault="00325E6D" w:rsidP="001B50D8">
      <w:pPr>
        <w:pStyle w:val="SingleTxtG"/>
      </w:pPr>
      <w:r w:rsidRPr="001B50D8">
        <w:t>7.</w:t>
      </w:r>
      <w:r w:rsidRPr="001B50D8">
        <w:tab/>
        <w:t>Dans l</w:t>
      </w:r>
      <w:r w:rsidR="001C3561">
        <w:t>a dernière phrase du paragraphe </w:t>
      </w:r>
      <w:r w:rsidRPr="001B50D8">
        <w:t>1 de l</w:t>
      </w:r>
      <w:r w:rsidR="001B50D8">
        <w:t>’</w:t>
      </w:r>
      <w:r w:rsidRPr="001B50D8">
        <w:t>instruction P301, remplacer « récipient » par « rétention primaire ». Dans l</w:t>
      </w:r>
      <w:r w:rsidR="001C3561">
        <w:t>a dernière phrase du paragraphe </w:t>
      </w:r>
      <w:r w:rsidRPr="001B50D8">
        <w:t>2 de l</w:t>
      </w:r>
      <w:r w:rsidR="001B50D8">
        <w:t>’</w:t>
      </w:r>
      <w:r w:rsidRPr="001B50D8">
        <w:t>instruction P301, remplacer « récipient » par « rétention primaire ».</w:t>
      </w:r>
    </w:p>
    <w:p w:rsidR="00DE0E07" w:rsidRPr="001B50D8" w:rsidRDefault="001C3561" w:rsidP="001C3561">
      <w:pPr>
        <w:pStyle w:val="HChG"/>
      </w:pPr>
      <w:r>
        <w:tab/>
      </w:r>
      <w:r>
        <w:tab/>
      </w:r>
      <w:r w:rsidR="00325E6D" w:rsidRPr="001B50D8">
        <w:t>Proposition pour examen</w:t>
      </w:r>
    </w:p>
    <w:p w:rsidR="001B50D8" w:rsidRDefault="00325E6D" w:rsidP="001B50D8">
      <w:pPr>
        <w:pStyle w:val="SingleTxtG"/>
      </w:pPr>
      <w:r w:rsidRPr="001B50D8">
        <w:t>8.</w:t>
      </w:r>
      <w:r w:rsidRPr="001B50D8">
        <w:tab/>
        <w:t xml:space="preserve">Le Sous-comité est invité </w:t>
      </w:r>
      <w:r w:rsidRPr="001B50D8">
        <w:t>à examiner s</w:t>
      </w:r>
      <w:r w:rsidR="001B50D8">
        <w:t>’</w:t>
      </w:r>
      <w:r w:rsidRPr="001B50D8">
        <w:t>il y a lieu d</w:t>
      </w:r>
      <w:r w:rsidR="001B50D8">
        <w:t>’</w:t>
      </w:r>
      <w:r w:rsidRPr="001B50D8">
        <w:t>uniformiser l</w:t>
      </w:r>
      <w:r w:rsidR="001B50D8">
        <w:t>’</w:t>
      </w:r>
      <w:r w:rsidRPr="001B50D8">
        <w:t>emploi des termes « solid plastics » et « rigid plastics ».</w:t>
      </w:r>
    </w:p>
    <w:p w:rsidR="001C3561" w:rsidRPr="001C3561" w:rsidRDefault="001C3561" w:rsidP="001C3561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C3561" w:rsidRPr="001C3561" w:rsidSect="001B50D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8ED" w:rsidRDefault="006958ED" w:rsidP="00F95C08">
      <w:pPr>
        <w:spacing w:line="240" w:lineRule="auto"/>
      </w:pPr>
    </w:p>
  </w:endnote>
  <w:endnote w:type="continuationSeparator" w:id="0">
    <w:p w:rsidR="006958ED" w:rsidRPr="00AC3823" w:rsidRDefault="006958ED" w:rsidP="00AC3823">
      <w:pPr>
        <w:pStyle w:val="Footer"/>
      </w:pPr>
    </w:p>
  </w:endnote>
  <w:endnote w:type="continuationNotice" w:id="1">
    <w:p w:rsidR="006958ED" w:rsidRDefault="006958E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0D8" w:rsidRPr="001B50D8" w:rsidRDefault="001B50D8" w:rsidP="001B50D8">
    <w:pPr>
      <w:pStyle w:val="Footer"/>
      <w:tabs>
        <w:tab w:val="right" w:pos="9638"/>
      </w:tabs>
    </w:pPr>
    <w:r w:rsidRPr="001B50D8">
      <w:rPr>
        <w:b/>
        <w:sz w:val="18"/>
      </w:rPr>
      <w:fldChar w:fldCharType="begin"/>
    </w:r>
    <w:r w:rsidRPr="001B50D8">
      <w:rPr>
        <w:b/>
        <w:sz w:val="18"/>
      </w:rPr>
      <w:instrText xml:space="preserve"> PAGE  \* MERGEFORMAT </w:instrText>
    </w:r>
    <w:r w:rsidRPr="001B50D8">
      <w:rPr>
        <w:b/>
        <w:sz w:val="18"/>
      </w:rPr>
      <w:fldChar w:fldCharType="separate"/>
    </w:r>
    <w:r w:rsidR="00D50C7C">
      <w:rPr>
        <w:b/>
        <w:noProof/>
        <w:sz w:val="18"/>
      </w:rPr>
      <w:t>2</w:t>
    </w:r>
    <w:r w:rsidRPr="001B50D8">
      <w:rPr>
        <w:b/>
        <w:sz w:val="18"/>
      </w:rPr>
      <w:fldChar w:fldCharType="end"/>
    </w:r>
    <w:r>
      <w:rPr>
        <w:b/>
        <w:sz w:val="18"/>
      </w:rPr>
      <w:tab/>
    </w:r>
    <w:r>
      <w:t>GE.18-14020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0D8" w:rsidRPr="001B50D8" w:rsidRDefault="001B50D8" w:rsidP="001B50D8">
    <w:pPr>
      <w:pStyle w:val="Footer"/>
      <w:tabs>
        <w:tab w:val="right" w:pos="9638"/>
      </w:tabs>
      <w:rPr>
        <w:b/>
        <w:sz w:val="18"/>
      </w:rPr>
    </w:pPr>
    <w:r>
      <w:t>GE.18-14020</w:t>
    </w:r>
    <w:r>
      <w:tab/>
    </w:r>
    <w:r w:rsidRPr="001B50D8">
      <w:rPr>
        <w:b/>
        <w:sz w:val="18"/>
      </w:rPr>
      <w:fldChar w:fldCharType="begin"/>
    </w:r>
    <w:r w:rsidRPr="001B50D8">
      <w:rPr>
        <w:b/>
        <w:sz w:val="18"/>
      </w:rPr>
      <w:instrText xml:space="preserve"> PAGE  \* MERGEFORMAT </w:instrText>
    </w:r>
    <w:r w:rsidRPr="001B50D8">
      <w:rPr>
        <w:b/>
        <w:sz w:val="18"/>
      </w:rPr>
      <w:fldChar w:fldCharType="separate"/>
    </w:r>
    <w:r w:rsidR="001C3561">
      <w:rPr>
        <w:b/>
        <w:noProof/>
        <w:sz w:val="18"/>
      </w:rPr>
      <w:t>3</w:t>
    </w:r>
    <w:r w:rsidRPr="001B50D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56F" w:rsidRPr="001B50D8" w:rsidRDefault="001B50D8" w:rsidP="001B50D8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3453438E" wp14:editId="7953667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14020  (</w:t>
    </w:r>
    <w:proofErr w:type="gramEnd"/>
    <w:r>
      <w:rPr>
        <w:sz w:val="20"/>
      </w:rPr>
      <w:t>F)    240918    021018</w:t>
    </w:r>
    <w:r>
      <w:rPr>
        <w:sz w:val="20"/>
      </w:rPr>
      <w:br/>
    </w:r>
    <w:r w:rsidRPr="001B50D8">
      <w:rPr>
        <w:rFonts w:ascii="C39T30Lfz" w:hAnsi="C39T30Lfz"/>
        <w:sz w:val="56"/>
      </w:rPr>
      <w:t></w:t>
    </w:r>
    <w:r w:rsidRPr="001B50D8">
      <w:rPr>
        <w:rFonts w:ascii="C39T30Lfz" w:hAnsi="C39T30Lfz"/>
        <w:sz w:val="56"/>
      </w:rPr>
      <w:t></w:t>
    </w:r>
    <w:r w:rsidRPr="001B50D8">
      <w:rPr>
        <w:rFonts w:ascii="C39T30Lfz" w:hAnsi="C39T30Lfz"/>
        <w:sz w:val="56"/>
      </w:rPr>
      <w:t></w:t>
    </w:r>
    <w:r w:rsidRPr="001B50D8">
      <w:rPr>
        <w:rFonts w:ascii="C39T30Lfz" w:hAnsi="C39T30Lfz"/>
        <w:sz w:val="56"/>
      </w:rPr>
      <w:t></w:t>
    </w:r>
    <w:r w:rsidRPr="001B50D8">
      <w:rPr>
        <w:rFonts w:ascii="C39T30Lfz" w:hAnsi="C39T30Lfz"/>
        <w:sz w:val="56"/>
      </w:rPr>
      <w:t></w:t>
    </w:r>
    <w:r w:rsidRPr="001B50D8">
      <w:rPr>
        <w:rFonts w:ascii="C39T30Lfz" w:hAnsi="C39T30Lfz"/>
        <w:sz w:val="56"/>
      </w:rPr>
      <w:t></w:t>
    </w:r>
    <w:r w:rsidRPr="001B50D8">
      <w:rPr>
        <w:rFonts w:ascii="C39T30Lfz" w:hAnsi="C39T30Lfz"/>
        <w:sz w:val="56"/>
      </w:rPr>
      <w:t></w:t>
    </w:r>
    <w:r w:rsidRPr="001B50D8">
      <w:rPr>
        <w:rFonts w:ascii="C39T30Lfz" w:hAnsi="C39T30Lfz"/>
        <w:sz w:val="56"/>
      </w:rPr>
      <w:t></w:t>
    </w:r>
    <w:r w:rsidRPr="001B50D8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ST/SG/AC.10/C.3/2018/73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ST/SG/AC.10/C.3/2018/73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8ED" w:rsidRPr="00AC3823" w:rsidRDefault="006958ED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958ED" w:rsidRPr="00AC3823" w:rsidRDefault="006958ED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958ED" w:rsidRPr="00AC3823" w:rsidRDefault="006958ED">
      <w:pPr>
        <w:spacing w:line="240" w:lineRule="auto"/>
        <w:rPr>
          <w:sz w:val="2"/>
          <w:szCs w:val="2"/>
        </w:rPr>
      </w:pPr>
    </w:p>
  </w:footnote>
  <w:footnote w:id="2">
    <w:p w:rsidR="001B50D8" w:rsidRPr="001B50D8" w:rsidRDefault="001B50D8" w:rsidP="00BE4FE8">
      <w:pPr>
        <w:pStyle w:val="FootnoteText"/>
      </w:pPr>
      <w:r>
        <w:rPr>
          <w:rStyle w:val="FootnoteReference"/>
        </w:rPr>
        <w:tab/>
      </w:r>
      <w:r w:rsidRPr="001B50D8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BE4FE8">
        <w:t>Conformément</w:t>
      </w:r>
      <w:r w:rsidR="00BE4FE8">
        <w:rPr>
          <w:color w:val="000000"/>
          <w:sz w:val="20"/>
        </w:rPr>
        <w:t xml:space="preserve"> </w:t>
      </w:r>
      <w:r w:rsidRPr="00845F04">
        <w:rPr>
          <w:color w:val="000000"/>
          <w:sz w:val="20"/>
        </w:rPr>
        <w:t>au</w:t>
      </w:r>
      <w:r w:rsidR="00BE4FE8">
        <w:rPr>
          <w:color w:val="000000"/>
          <w:sz w:val="20"/>
        </w:rPr>
        <w:t xml:space="preserve"> </w:t>
      </w:r>
      <w:r w:rsidRPr="00845F04">
        <w:rPr>
          <w:color w:val="000000"/>
        </w:rPr>
        <w:t>programme</w:t>
      </w:r>
      <w:r w:rsidR="00BE4FE8">
        <w:rPr>
          <w:color w:val="000000"/>
          <w:sz w:val="20"/>
        </w:rPr>
        <w:t xml:space="preserve"> de travail du </w:t>
      </w:r>
      <w:r>
        <w:rPr>
          <w:color w:val="000000"/>
          <w:sz w:val="20"/>
        </w:rPr>
        <w:t xml:space="preserve">Sous-Comité pour la période 2017-2018, </w:t>
      </w:r>
      <w:r>
        <w:rPr>
          <w:shd w:val="clear" w:color="auto" w:fill="FFFFFF"/>
        </w:rPr>
        <w:t xml:space="preserve">approuvé par le Comité à sa huitième session </w:t>
      </w:r>
      <w:r w:rsidR="00BE4FE8">
        <w:rPr>
          <w:shd w:val="clear" w:color="auto" w:fill="FFFFFF"/>
        </w:rPr>
        <w:t>(voir ST/SG/AC.10/C.3/100, par. </w:t>
      </w:r>
      <w:r w:rsidR="001C3561">
        <w:rPr>
          <w:shd w:val="clear" w:color="auto" w:fill="FFFFFF"/>
        </w:rPr>
        <w:t>98, et ST/SG/AC.10/44, par. </w:t>
      </w:r>
      <w:r>
        <w:rPr>
          <w:shd w:val="clear" w:color="auto" w:fill="FFFFFF"/>
        </w:rPr>
        <w:t>14).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0D8" w:rsidRPr="001B50D8" w:rsidRDefault="00325E6D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ST/SG/AC.10/C.3/2018/73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0D8" w:rsidRPr="001B50D8" w:rsidRDefault="00325E6D" w:rsidP="001B50D8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ST/SG/AC.10/C.3/2018/73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8ED"/>
    <w:rsid w:val="00017F94"/>
    <w:rsid w:val="00023842"/>
    <w:rsid w:val="000305D3"/>
    <w:rsid w:val="000334F9"/>
    <w:rsid w:val="0007796D"/>
    <w:rsid w:val="000B7790"/>
    <w:rsid w:val="00111F2F"/>
    <w:rsid w:val="00132EA9"/>
    <w:rsid w:val="0014365E"/>
    <w:rsid w:val="00176178"/>
    <w:rsid w:val="001B50D8"/>
    <w:rsid w:val="001C3561"/>
    <w:rsid w:val="001F525A"/>
    <w:rsid w:val="00223272"/>
    <w:rsid w:val="0024779E"/>
    <w:rsid w:val="00283190"/>
    <w:rsid w:val="002832AC"/>
    <w:rsid w:val="002D7C93"/>
    <w:rsid w:val="002F66ED"/>
    <w:rsid w:val="00325E6D"/>
    <w:rsid w:val="00413391"/>
    <w:rsid w:val="00441C3B"/>
    <w:rsid w:val="00446FE5"/>
    <w:rsid w:val="00452396"/>
    <w:rsid w:val="004E468C"/>
    <w:rsid w:val="005505B7"/>
    <w:rsid w:val="00573BE5"/>
    <w:rsid w:val="00584DC4"/>
    <w:rsid w:val="00586ED3"/>
    <w:rsid w:val="00596AA9"/>
    <w:rsid w:val="0068456F"/>
    <w:rsid w:val="006958ED"/>
    <w:rsid w:val="0071601D"/>
    <w:rsid w:val="007A62E6"/>
    <w:rsid w:val="0080684C"/>
    <w:rsid w:val="00871C75"/>
    <w:rsid w:val="008776DC"/>
    <w:rsid w:val="008B40CD"/>
    <w:rsid w:val="009705C8"/>
    <w:rsid w:val="009C1CF4"/>
    <w:rsid w:val="00A30353"/>
    <w:rsid w:val="00AC3823"/>
    <w:rsid w:val="00AE323C"/>
    <w:rsid w:val="00B00181"/>
    <w:rsid w:val="00B00B0D"/>
    <w:rsid w:val="00B65C2E"/>
    <w:rsid w:val="00B765F7"/>
    <w:rsid w:val="00BA0CA9"/>
    <w:rsid w:val="00BE4FE8"/>
    <w:rsid w:val="00C02897"/>
    <w:rsid w:val="00D3439C"/>
    <w:rsid w:val="00D50C7C"/>
    <w:rsid w:val="00DB1831"/>
    <w:rsid w:val="00DD3BFD"/>
    <w:rsid w:val="00DF6678"/>
    <w:rsid w:val="00EF2E22"/>
    <w:rsid w:val="00F01738"/>
    <w:rsid w:val="00F660DF"/>
    <w:rsid w:val="00F730C8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77FE685-7E13-4315-9B27-AF67DF14D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584DC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ST/SG/AC.10/C.3/2018/73</vt:lpstr>
      <vt:lpstr>ST/SG/AC.10/C.3/2018/73</vt:lpstr>
    </vt:vector>
  </TitlesOfParts>
  <Company>DCM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ST/SG/AC.10/C.3/2018/73</dc:title>
  <dc:subject/>
  <dc:creator>Sandrine CLERE</dc:creator>
  <cp:keywords/>
  <cp:lastModifiedBy>Laurence Berthet</cp:lastModifiedBy>
  <cp:revision>3</cp:revision>
  <cp:lastPrinted>2018-10-02T12:52:00Z</cp:lastPrinted>
  <dcterms:created xsi:type="dcterms:W3CDTF">2018-10-02T12:52:00Z</dcterms:created>
  <dcterms:modified xsi:type="dcterms:W3CDTF">2018-10-02T12:52:00Z</dcterms:modified>
</cp:coreProperties>
</file>