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C14945" w:rsidRPr="007B2B1F" w14:paraId="67BBA7F6" w14:textId="77777777" w:rsidTr="00C14945">
        <w:trPr>
          <w:trHeight w:val="851"/>
        </w:trPr>
        <w:tc>
          <w:tcPr>
            <w:tcW w:w="1259" w:type="dxa"/>
            <w:tcBorders>
              <w:top w:val="nil"/>
              <w:left w:val="nil"/>
              <w:bottom w:val="single" w:sz="4" w:space="0" w:color="auto"/>
              <w:right w:val="nil"/>
            </w:tcBorders>
            <w:shd w:val="clear" w:color="auto" w:fill="auto"/>
          </w:tcPr>
          <w:p w14:paraId="78BDF860" w14:textId="77777777" w:rsidR="00C14945" w:rsidRPr="0049323F" w:rsidRDefault="00C14945" w:rsidP="00C14945">
            <w:pPr>
              <w:spacing w:after="80" w:line="340" w:lineRule="exact"/>
              <w:rPr>
                <w:rStyle w:val="Emphasis"/>
              </w:rPr>
            </w:pPr>
          </w:p>
        </w:tc>
        <w:tc>
          <w:tcPr>
            <w:tcW w:w="2236" w:type="dxa"/>
            <w:tcBorders>
              <w:top w:val="nil"/>
              <w:left w:val="nil"/>
              <w:bottom w:val="single" w:sz="4" w:space="0" w:color="auto"/>
              <w:right w:val="nil"/>
            </w:tcBorders>
            <w:shd w:val="clear" w:color="auto" w:fill="auto"/>
            <w:vAlign w:val="bottom"/>
          </w:tcPr>
          <w:p w14:paraId="2AEE73F6" w14:textId="77777777" w:rsidR="00C14945" w:rsidRPr="007B2B1F" w:rsidRDefault="00C14945" w:rsidP="00C14945">
            <w:pPr>
              <w:spacing w:after="80" w:line="340" w:lineRule="exact"/>
              <w:rPr>
                <w:sz w:val="28"/>
                <w:szCs w:val="28"/>
              </w:rPr>
            </w:pPr>
            <w:r w:rsidRPr="007B2B1F">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14:paraId="18E36C3A" w14:textId="2FD12F6D" w:rsidR="00C14945" w:rsidRPr="007B2B1F" w:rsidRDefault="00C14945" w:rsidP="00A15A38">
            <w:pPr>
              <w:suppressAutoHyphens w:val="0"/>
              <w:spacing w:after="20"/>
              <w:jc w:val="right"/>
            </w:pPr>
            <w:r w:rsidRPr="007B2B1F">
              <w:rPr>
                <w:sz w:val="40"/>
              </w:rPr>
              <w:t>ST</w:t>
            </w:r>
            <w:r w:rsidR="00077628" w:rsidRPr="007B2B1F">
              <w:t>/SG/AC.10/C.3/201</w:t>
            </w:r>
            <w:r w:rsidR="00A15A38">
              <w:t>8</w:t>
            </w:r>
            <w:r w:rsidR="00077628" w:rsidRPr="007B2B1F">
              <w:t>/</w:t>
            </w:r>
            <w:r w:rsidR="00943C9D">
              <w:t>66</w:t>
            </w:r>
          </w:p>
        </w:tc>
      </w:tr>
      <w:tr w:rsidR="00C14945" w:rsidRPr="007B2B1F" w14:paraId="7F3BBC7A" w14:textId="77777777" w:rsidTr="00C14945">
        <w:trPr>
          <w:trHeight w:val="2835"/>
        </w:trPr>
        <w:tc>
          <w:tcPr>
            <w:tcW w:w="1259" w:type="dxa"/>
            <w:tcBorders>
              <w:top w:val="single" w:sz="4" w:space="0" w:color="auto"/>
              <w:left w:val="nil"/>
              <w:bottom w:val="single" w:sz="12" w:space="0" w:color="auto"/>
              <w:right w:val="nil"/>
            </w:tcBorders>
            <w:shd w:val="clear" w:color="auto" w:fill="auto"/>
          </w:tcPr>
          <w:p w14:paraId="25277FBB" w14:textId="77777777" w:rsidR="00C14945" w:rsidRPr="007B2B1F" w:rsidRDefault="00E428FB" w:rsidP="00C14945">
            <w:pPr>
              <w:spacing w:before="120"/>
              <w:jc w:val="center"/>
            </w:pPr>
            <w:r w:rsidRPr="007B2B1F">
              <w:rPr>
                <w:noProof/>
                <w:lang w:val="en-US"/>
              </w:rPr>
              <w:drawing>
                <wp:inline distT="0" distB="0" distL="0" distR="0" wp14:anchorId="722D19EC" wp14:editId="47485604">
                  <wp:extent cx="714375" cy="590550"/>
                  <wp:effectExtent l="0" t="0" r="0" b="0"/>
                  <wp:docPr id="1" name="Bild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_unlogo"/>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14:paraId="775BE9F8" w14:textId="77777777" w:rsidR="00C14945" w:rsidRPr="007B2B1F" w:rsidRDefault="00C14945" w:rsidP="00C14945">
            <w:pPr>
              <w:spacing w:before="120" w:line="420" w:lineRule="exact"/>
              <w:rPr>
                <w:b/>
                <w:sz w:val="40"/>
                <w:szCs w:val="40"/>
              </w:rPr>
            </w:pPr>
            <w:r w:rsidRPr="007B2B1F">
              <w:rPr>
                <w:b/>
                <w:sz w:val="40"/>
                <w:szCs w:val="40"/>
              </w:rPr>
              <w:t>Secretariat</w:t>
            </w:r>
          </w:p>
        </w:tc>
        <w:tc>
          <w:tcPr>
            <w:tcW w:w="2930" w:type="dxa"/>
            <w:tcBorders>
              <w:top w:val="single" w:sz="4" w:space="0" w:color="auto"/>
              <w:left w:val="nil"/>
              <w:bottom w:val="single" w:sz="12" w:space="0" w:color="auto"/>
              <w:right w:val="nil"/>
            </w:tcBorders>
            <w:shd w:val="clear" w:color="auto" w:fill="auto"/>
          </w:tcPr>
          <w:p w14:paraId="1C2BC269" w14:textId="77777777" w:rsidR="00C14945" w:rsidRPr="006002FE" w:rsidRDefault="00C14945" w:rsidP="00C14945">
            <w:pPr>
              <w:suppressAutoHyphens w:val="0"/>
              <w:spacing w:before="240" w:line="240" w:lineRule="exact"/>
            </w:pPr>
            <w:r w:rsidRPr="006002FE">
              <w:t>Distr.: General</w:t>
            </w:r>
          </w:p>
          <w:p w14:paraId="55CDFE99" w14:textId="11D38ED8" w:rsidR="00C14945" w:rsidRPr="006002FE" w:rsidRDefault="00316EB7" w:rsidP="00C14945">
            <w:pPr>
              <w:suppressAutoHyphens w:val="0"/>
            </w:pPr>
            <w:r>
              <w:t>27</w:t>
            </w:r>
            <w:r w:rsidR="00C66798" w:rsidRPr="006002FE">
              <w:t xml:space="preserve"> </w:t>
            </w:r>
            <w:r w:rsidR="00B50037" w:rsidRPr="006002FE">
              <w:t>August</w:t>
            </w:r>
            <w:r w:rsidR="00C66798" w:rsidRPr="006002FE">
              <w:t xml:space="preserve"> 201</w:t>
            </w:r>
            <w:r w:rsidR="000862B1" w:rsidRPr="006002FE">
              <w:t>8</w:t>
            </w:r>
          </w:p>
          <w:p w14:paraId="5AAD2639" w14:textId="77777777" w:rsidR="00C14945" w:rsidRPr="006002FE" w:rsidRDefault="00C14945" w:rsidP="00C14945">
            <w:pPr>
              <w:suppressAutoHyphens w:val="0"/>
            </w:pPr>
          </w:p>
          <w:p w14:paraId="3FA02F1A" w14:textId="77777777" w:rsidR="00C14945" w:rsidRPr="006002FE" w:rsidRDefault="00C14945" w:rsidP="00C14945">
            <w:pPr>
              <w:suppressAutoHyphens w:val="0"/>
            </w:pPr>
            <w:r w:rsidRPr="006002FE">
              <w:t>Original: English</w:t>
            </w:r>
          </w:p>
        </w:tc>
      </w:tr>
    </w:tbl>
    <w:p w14:paraId="31BA91D4" w14:textId="77777777" w:rsidR="00C14945" w:rsidRPr="007B2B1F" w:rsidRDefault="00C14945" w:rsidP="00C14945">
      <w:pPr>
        <w:spacing w:before="120" w:after="120"/>
        <w:rPr>
          <w:b/>
          <w:sz w:val="24"/>
          <w:szCs w:val="24"/>
        </w:rPr>
      </w:pPr>
      <w:r w:rsidRPr="007B2B1F">
        <w:rPr>
          <w:b/>
          <w:sz w:val="24"/>
          <w:szCs w:val="24"/>
        </w:rPr>
        <w:t>Committee of Experts on the Transport of Dangerous Goods</w:t>
      </w:r>
      <w:r w:rsidRPr="007B2B1F">
        <w:rPr>
          <w:b/>
          <w:sz w:val="24"/>
          <w:szCs w:val="24"/>
        </w:rPr>
        <w:br/>
        <w:t>and on the Globally Harmonized System of Classification</w:t>
      </w:r>
      <w:r w:rsidRPr="007B2B1F">
        <w:rPr>
          <w:b/>
          <w:sz w:val="24"/>
          <w:szCs w:val="24"/>
        </w:rPr>
        <w:br/>
        <w:t>and Labelling of Chemicals</w:t>
      </w:r>
    </w:p>
    <w:p w14:paraId="5D792F15" w14:textId="77777777" w:rsidR="00C14945" w:rsidRPr="007B2B1F" w:rsidRDefault="00C14945" w:rsidP="00C14945">
      <w:pPr>
        <w:spacing w:before="120"/>
        <w:rPr>
          <w:b/>
        </w:rPr>
      </w:pPr>
      <w:bookmarkStart w:id="0" w:name="_Hlk520103203"/>
      <w:r w:rsidRPr="007B2B1F">
        <w:rPr>
          <w:b/>
        </w:rPr>
        <w:t>Sub-Committee of Experts on the Transport of Dangerous Goods</w:t>
      </w:r>
      <w:bookmarkEnd w:id="0"/>
    </w:p>
    <w:p w14:paraId="0D1013E5" w14:textId="11F4A0E0" w:rsidR="00C14945" w:rsidRPr="007B2B1F" w:rsidRDefault="00152433" w:rsidP="00C14945">
      <w:pPr>
        <w:spacing w:before="120"/>
        <w:rPr>
          <w:b/>
        </w:rPr>
      </w:pPr>
      <w:r>
        <w:rPr>
          <w:b/>
        </w:rPr>
        <w:t>Fifty-</w:t>
      </w:r>
      <w:r w:rsidR="00B50037">
        <w:rPr>
          <w:b/>
        </w:rPr>
        <w:t>fourth</w:t>
      </w:r>
      <w:r w:rsidR="00C14945" w:rsidRPr="007B2B1F">
        <w:rPr>
          <w:b/>
        </w:rPr>
        <w:t xml:space="preserve"> session</w:t>
      </w:r>
    </w:p>
    <w:p w14:paraId="3CD7F4CF" w14:textId="037EB3B7" w:rsidR="00C14945" w:rsidRPr="007B2B1F" w:rsidRDefault="00C14945" w:rsidP="00C14945">
      <w:r w:rsidRPr="007B2B1F">
        <w:t xml:space="preserve">Geneva, </w:t>
      </w:r>
      <w:r w:rsidR="00926AD6">
        <w:t>2</w:t>
      </w:r>
      <w:r w:rsidR="00B50037">
        <w:t>6</w:t>
      </w:r>
      <w:r w:rsidR="00926AD6">
        <w:t xml:space="preserve"> </w:t>
      </w:r>
      <w:r w:rsidR="00B50037">
        <w:t>November</w:t>
      </w:r>
      <w:r w:rsidR="00FC6BBC">
        <w:t>-</w:t>
      </w:r>
      <w:r w:rsidR="00D85E66">
        <w:t>4</w:t>
      </w:r>
      <w:r w:rsidRPr="007B2B1F">
        <w:t xml:space="preserve"> </w:t>
      </w:r>
      <w:r w:rsidR="00B50037">
        <w:t>December</w:t>
      </w:r>
      <w:r w:rsidR="00D85E66">
        <w:t xml:space="preserve"> 2018</w:t>
      </w:r>
    </w:p>
    <w:p w14:paraId="43D78104" w14:textId="5C782096" w:rsidR="00C14945" w:rsidRPr="00774240" w:rsidRDefault="00C14945" w:rsidP="00C14945">
      <w:pPr>
        <w:rPr>
          <w:b/>
          <w:bCs/>
        </w:rPr>
      </w:pPr>
      <w:r w:rsidRPr="007B2B1F">
        <w:t xml:space="preserve">Item </w:t>
      </w:r>
      <w:r w:rsidR="00774240">
        <w:t>2 (e</w:t>
      </w:r>
      <w:r w:rsidR="00C42B3C" w:rsidRPr="007B2B1F">
        <w:t>)</w:t>
      </w:r>
      <w:r w:rsidRPr="007B2B1F">
        <w:t xml:space="preserve"> of the provisional agenda</w:t>
      </w:r>
      <w:r w:rsidRPr="007B2B1F">
        <w:rPr>
          <w:b/>
        </w:rPr>
        <w:t xml:space="preserve"> </w:t>
      </w:r>
      <w:r w:rsidRPr="007B2B1F">
        <w:rPr>
          <w:b/>
        </w:rPr>
        <w:br/>
      </w:r>
      <w:r w:rsidR="00774240" w:rsidRPr="00774240">
        <w:rPr>
          <w:b/>
          <w:bCs/>
        </w:rPr>
        <w:t xml:space="preserve">Recommendations made by the Sub-Committee on its fifty-first, </w:t>
      </w:r>
      <w:r w:rsidR="00774240" w:rsidRPr="00774240">
        <w:rPr>
          <w:b/>
          <w:bCs/>
        </w:rPr>
        <w:br/>
      </w:r>
      <w:r w:rsidR="00774240" w:rsidRPr="00774240">
        <w:rPr>
          <w:b/>
          <w:bCs/>
        </w:rPr>
        <w:t>fifty-second and fifty-third sessions and pending issues</w:t>
      </w:r>
      <w:r w:rsidR="00774240" w:rsidRPr="00774240">
        <w:rPr>
          <w:b/>
          <w:bCs/>
        </w:rPr>
        <w:t>:</w:t>
      </w:r>
      <w:r w:rsidR="00774240" w:rsidRPr="00774240">
        <w:rPr>
          <w:b/>
          <w:bCs/>
        </w:rPr>
        <w:br/>
        <w:t>t</w:t>
      </w:r>
      <w:r w:rsidR="00774240" w:rsidRPr="00774240">
        <w:rPr>
          <w:b/>
          <w:bCs/>
        </w:rPr>
        <w:t>ransport of gases</w:t>
      </w:r>
    </w:p>
    <w:p w14:paraId="3D7D4BCC" w14:textId="77777777" w:rsidR="000062D2" w:rsidRPr="00EE61F4" w:rsidRDefault="00C42B3C" w:rsidP="000062D2">
      <w:pPr>
        <w:pStyle w:val="HChG"/>
      </w:pPr>
      <w:r w:rsidRPr="007B2B1F">
        <w:tab/>
      </w:r>
      <w:r w:rsidRPr="007B2B1F">
        <w:tab/>
      </w:r>
      <w:r w:rsidR="00EE61F4">
        <w:t>Update of LC</w:t>
      </w:r>
      <w:r w:rsidR="00EE61F4">
        <w:rPr>
          <w:vertAlign w:val="subscript"/>
        </w:rPr>
        <w:t>50</w:t>
      </w:r>
      <w:r w:rsidR="00EE61F4">
        <w:t xml:space="preserve"> values in P200</w:t>
      </w:r>
    </w:p>
    <w:p w14:paraId="0AD1A6AE" w14:textId="77777777" w:rsidR="009B1518" w:rsidRPr="007B2B1F" w:rsidRDefault="002D4B6C" w:rsidP="001F602E">
      <w:pPr>
        <w:pStyle w:val="H1G"/>
        <w:jc w:val="both"/>
      </w:pPr>
      <w:r w:rsidRPr="007B2B1F">
        <w:tab/>
      </w:r>
      <w:r w:rsidRPr="007B2B1F">
        <w:tab/>
      </w:r>
      <w:r w:rsidR="009B1518" w:rsidRPr="007B2B1F">
        <w:t xml:space="preserve">Transmitted by the </w:t>
      </w:r>
      <w:r w:rsidR="00853EBC" w:rsidRPr="007B2B1F">
        <w:t>International Organisation for Standardisation (ISO</w:t>
      </w:r>
      <w:r w:rsidR="00077628" w:rsidRPr="007B2B1F">
        <w:t>)</w:t>
      </w:r>
      <w:r w:rsidR="001F4E61">
        <w:rPr>
          <w:rStyle w:val="FootnoteReference"/>
        </w:rPr>
        <w:footnoteReference w:id="2"/>
      </w:r>
    </w:p>
    <w:p w14:paraId="27F42553" w14:textId="5BA2CAAD" w:rsidR="001D7F46" w:rsidRDefault="001E0B9E" w:rsidP="00926AD6">
      <w:pPr>
        <w:pStyle w:val="HChG"/>
      </w:pPr>
      <w:r w:rsidRPr="007B2B1F">
        <w:tab/>
      </w:r>
      <w:r w:rsidRPr="007B2B1F">
        <w:tab/>
      </w:r>
      <w:r w:rsidR="001D7F46" w:rsidRPr="00926AD6">
        <w:t>Introduction</w:t>
      </w:r>
    </w:p>
    <w:p w14:paraId="0F463474" w14:textId="38CFD26F" w:rsidR="00870542" w:rsidRPr="000F220A" w:rsidRDefault="00943C9D" w:rsidP="00943C9D">
      <w:pPr>
        <w:pStyle w:val="SingleTxtG"/>
        <w:numPr>
          <w:ilvl w:val="0"/>
          <w:numId w:val="25"/>
        </w:numPr>
        <w:ind w:left="1134" w:firstLine="1"/>
      </w:pPr>
      <w:r>
        <w:t>At the fifty-</w:t>
      </w:r>
      <w:r w:rsidR="00870542">
        <w:t xml:space="preserve">third session of the </w:t>
      </w:r>
      <w:r w:rsidR="00870542" w:rsidRPr="00870542">
        <w:t>Sub-Committee of Experts on the Transport of Dangerous Goods</w:t>
      </w:r>
      <w:r w:rsidR="00870542">
        <w:t xml:space="preserve"> ISO submitted </w:t>
      </w:r>
      <w:bookmarkStart w:id="1" w:name="_Hlk520104175"/>
      <w:r w:rsidR="00870542" w:rsidRPr="00870542">
        <w:t>ST/SG/AC.10/C.3/2018/24</w:t>
      </w:r>
      <w:bookmarkEnd w:id="1"/>
      <w:r w:rsidR="00870542">
        <w:t xml:space="preserve">. This </w:t>
      </w:r>
      <w:r w:rsidR="00227C99">
        <w:t xml:space="preserve">document </w:t>
      </w:r>
      <w:r w:rsidR="00870542">
        <w:t xml:space="preserve">proposed amending the </w:t>
      </w:r>
      <w:r w:rsidR="00ED32D3" w:rsidRPr="00870542">
        <w:t>L</w:t>
      </w:r>
      <w:r w:rsidR="00ED32D3">
        <w:t>C</w:t>
      </w:r>
      <w:r w:rsidR="00ED32D3" w:rsidRPr="00F8144A">
        <w:rPr>
          <w:vertAlign w:val="subscript"/>
        </w:rPr>
        <w:t>50</w:t>
      </w:r>
      <w:r w:rsidR="00ED32D3" w:rsidRPr="00870542">
        <w:t xml:space="preserve"> </w:t>
      </w:r>
      <w:r w:rsidR="00870542" w:rsidRPr="00870542">
        <w:t>values</w:t>
      </w:r>
      <w:r w:rsidR="00870542">
        <w:t xml:space="preserve"> of eight toxic gases that showed different values in the </w:t>
      </w:r>
      <w:r w:rsidR="00870542" w:rsidRPr="00870542">
        <w:t>twentieth revision of the Model Regulations</w:t>
      </w:r>
      <w:r w:rsidR="00870542">
        <w:t xml:space="preserve"> to those in </w:t>
      </w:r>
      <w:r w:rsidR="00870542" w:rsidRPr="00870542">
        <w:t>ISO 10298:</w:t>
      </w:r>
      <w:r w:rsidR="00870542">
        <w:t>2018</w:t>
      </w:r>
      <w:r w:rsidR="00870542" w:rsidRPr="00870542">
        <w:t xml:space="preserve"> Gas cylinders - </w:t>
      </w:r>
      <w:r w:rsidR="00870542" w:rsidRPr="00F8144A">
        <w:rPr>
          <w:i/>
        </w:rPr>
        <w:t>Gases and gas mixtures - Determination of toxicity for the selection of cylinder valve outlets</w:t>
      </w:r>
      <w:r w:rsidR="00F8144A">
        <w:rPr>
          <w:i/>
        </w:rPr>
        <w:t xml:space="preserve">. </w:t>
      </w:r>
    </w:p>
    <w:p w14:paraId="0C735FE6" w14:textId="17C8B72E" w:rsidR="00870542" w:rsidRPr="009F1873" w:rsidRDefault="00F8144A" w:rsidP="00943C9D">
      <w:pPr>
        <w:pStyle w:val="SingleTxtG"/>
        <w:numPr>
          <w:ilvl w:val="0"/>
          <w:numId w:val="25"/>
        </w:numPr>
        <w:ind w:left="1134" w:firstLine="1"/>
        <w:rPr>
          <w:strike/>
        </w:rPr>
      </w:pPr>
      <w:r>
        <w:t xml:space="preserve">During </w:t>
      </w:r>
      <w:r w:rsidR="00227C99">
        <w:t xml:space="preserve">the </w:t>
      </w:r>
      <w:r>
        <w:t xml:space="preserve">discussion of </w:t>
      </w:r>
      <w:r w:rsidRPr="00F8144A">
        <w:t>ST/SG/AC.10/C.3/2018/24</w:t>
      </w:r>
      <w:r>
        <w:t xml:space="preserve">, the Sub-Committee requested the source of the data that had led to the changes in the 2018 edition of ISO </w:t>
      </w:r>
      <w:r w:rsidR="000F220A">
        <w:t>10298 and ISO undertook to come back to the Sub</w:t>
      </w:r>
      <w:r w:rsidR="00227C99">
        <w:t>-</w:t>
      </w:r>
      <w:r w:rsidR="000F220A">
        <w:t>Committee with the data source</w:t>
      </w:r>
      <w:r w:rsidR="00ED32D3">
        <w:t>s</w:t>
      </w:r>
      <w:r w:rsidR="000F220A">
        <w:t xml:space="preserve">. </w:t>
      </w:r>
    </w:p>
    <w:p w14:paraId="4384C358" w14:textId="2461C52A" w:rsidR="000F220A" w:rsidRDefault="00943C9D" w:rsidP="00774240">
      <w:pPr>
        <w:pStyle w:val="HChG"/>
      </w:pPr>
      <w:r>
        <w:tab/>
      </w:r>
      <w:r>
        <w:tab/>
      </w:r>
      <w:r w:rsidR="000F220A">
        <w:t>Sou</w:t>
      </w:r>
      <w:bookmarkStart w:id="2" w:name="_GoBack"/>
      <w:bookmarkEnd w:id="2"/>
      <w:r w:rsidR="000F220A">
        <w:t>rces</w:t>
      </w:r>
    </w:p>
    <w:p w14:paraId="5746E5E7" w14:textId="502D6BF8" w:rsidR="000F220A" w:rsidRDefault="000F220A" w:rsidP="00943C9D">
      <w:pPr>
        <w:pStyle w:val="SingleTxtG"/>
        <w:numPr>
          <w:ilvl w:val="0"/>
          <w:numId w:val="25"/>
        </w:numPr>
        <w:ind w:left="1134" w:firstLine="1"/>
      </w:pPr>
      <w:r>
        <w:t xml:space="preserve">The sources where the </w:t>
      </w:r>
      <w:r w:rsidR="00ED32D3">
        <w:t>LC</w:t>
      </w:r>
      <w:r w:rsidR="00ED32D3" w:rsidRPr="000F220A">
        <w:rPr>
          <w:vertAlign w:val="subscript"/>
        </w:rPr>
        <w:t>50</w:t>
      </w:r>
      <w:r w:rsidR="00ED32D3">
        <w:t xml:space="preserve"> </w:t>
      </w:r>
      <w:r>
        <w:t xml:space="preserve">values have been determined from are given in ISO 10298. The authors of ISO 10298 recognise that it is important to understand where the values </w:t>
      </w:r>
      <w:r>
        <w:lastRenderedPageBreak/>
        <w:t xml:space="preserve">of </w:t>
      </w:r>
      <w:r w:rsidR="00BC7776">
        <w:t>LC</w:t>
      </w:r>
      <w:r w:rsidR="00BC7776" w:rsidRPr="000F220A">
        <w:rPr>
          <w:vertAlign w:val="subscript"/>
        </w:rPr>
        <w:t>50</w:t>
      </w:r>
      <w:r w:rsidR="00BC7776">
        <w:t xml:space="preserve"> </w:t>
      </w:r>
      <w:r>
        <w:t>have been derived from. For the gases where the proposed changes to the Model Regulations have been made, the source of the value is given below</w:t>
      </w:r>
      <w:r w:rsidR="00ED32D3">
        <w:t>.</w:t>
      </w:r>
    </w:p>
    <w:p w14:paraId="3928FB02" w14:textId="77777777" w:rsidR="000F220A" w:rsidRDefault="000F220A" w:rsidP="000F220A">
      <w:pPr>
        <w:ind w:left="1134" w:right="1134"/>
        <w:rPr>
          <w:lang w:eastAsia="x-none"/>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3093"/>
        <w:gridCol w:w="1417"/>
        <w:gridCol w:w="1715"/>
        <w:gridCol w:w="1242"/>
      </w:tblGrid>
      <w:tr w:rsidR="00B50037" w:rsidRPr="00F90C80" w14:paraId="53611786" w14:textId="5A94DCC7" w:rsidTr="00B50037">
        <w:tc>
          <w:tcPr>
            <w:tcW w:w="827" w:type="dxa"/>
            <w:shd w:val="clear" w:color="auto" w:fill="auto"/>
            <w:vAlign w:val="center"/>
          </w:tcPr>
          <w:p w14:paraId="21D26140" w14:textId="7DC7B264" w:rsidR="00B50037" w:rsidRPr="00F90C80" w:rsidRDefault="00B50037" w:rsidP="006002FE">
            <w:pPr>
              <w:jc w:val="center"/>
              <w:rPr>
                <w:b/>
              </w:rPr>
            </w:pPr>
            <w:bookmarkStart w:id="3" w:name="_Hlk521405791"/>
            <w:r w:rsidRPr="00F90C80">
              <w:rPr>
                <w:b/>
              </w:rPr>
              <w:t>UN No.</w:t>
            </w:r>
          </w:p>
        </w:tc>
        <w:tc>
          <w:tcPr>
            <w:tcW w:w="3093" w:type="dxa"/>
            <w:shd w:val="clear" w:color="auto" w:fill="auto"/>
            <w:vAlign w:val="center"/>
          </w:tcPr>
          <w:p w14:paraId="1EE98F98" w14:textId="77777777" w:rsidR="00B50037" w:rsidRPr="00F90C80" w:rsidRDefault="00B50037" w:rsidP="00F90C80">
            <w:pPr>
              <w:jc w:val="center"/>
              <w:rPr>
                <w:b/>
              </w:rPr>
            </w:pPr>
            <w:r w:rsidRPr="00F90C80">
              <w:rPr>
                <w:b/>
              </w:rPr>
              <w:t>Proper Shipping Name</w:t>
            </w:r>
          </w:p>
        </w:tc>
        <w:tc>
          <w:tcPr>
            <w:tcW w:w="1417" w:type="dxa"/>
            <w:shd w:val="clear" w:color="auto" w:fill="auto"/>
            <w:vAlign w:val="center"/>
          </w:tcPr>
          <w:p w14:paraId="01368EAB" w14:textId="41186BB8" w:rsidR="00B50037" w:rsidRPr="00F90C80" w:rsidRDefault="00B50037" w:rsidP="00F90C80">
            <w:pPr>
              <w:jc w:val="center"/>
              <w:rPr>
                <w:b/>
              </w:rPr>
            </w:pPr>
            <w:r w:rsidRPr="00F90C80">
              <w:rPr>
                <w:b/>
              </w:rPr>
              <w:t>LC</w:t>
            </w:r>
            <w:r w:rsidRPr="00F90C80">
              <w:rPr>
                <w:b/>
                <w:vertAlign w:val="subscript"/>
              </w:rPr>
              <w:t>50</w:t>
            </w:r>
            <w:r w:rsidRPr="00F90C80">
              <w:rPr>
                <w:b/>
              </w:rPr>
              <w:t xml:space="preserve"> in ml/m</w:t>
            </w:r>
            <w:r w:rsidRPr="00F90C80">
              <w:rPr>
                <w:b/>
                <w:vertAlign w:val="superscript"/>
              </w:rPr>
              <w:t>3</w:t>
            </w:r>
            <w:r w:rsidRPr="00F90C80">
              <w:rPr>
                <w:b/>
              </w:rPr>
              <w:t xml:space="preserve"> in P200</w:t>
            </w:r>
            <w:r w:rsidR="00227C99">
              <w:rPr>
                <w:b/>
              </w:rPr>
              <w:t xml:space="preserve"> </w:t>
            </w:r>
            <w:proofErr w:type="gramStart"/>
            <w:r w:rsidR="00227C99">
              <w:rPr>
                <w:b/>
              </w:rPr>
              <w:t>(</w:t>
            </w:r>
            <w:r w:rsidRPr="00F90C80">
              <w:rPr>
                <w:b/>
              </w:rPr>
              <w:t xml:space="preserve"> Rev.</w:t>
            </w:r>
            <w:proofErr w:type="gramEnd"/>
            <w:r w:rsidR="00227C99">
              <w:rPr>
                <w:b/>
              </w:rPr>
              <w:t>20)</w:t>
            </w:r>
          </w:p>
        </w:tc>
        <w:tc>
          <w:tcPr>
            <w:tcW w:w="1715" w:type="dxa"/>
            <w:shd w:val="clear" w:color="auto" w:fill="auto"/>
            <w:vAlign w:val="center"/>
          </w:tcPr>
          <w:p w14:paraId="250BDE6F" w14:textId="03793D20" w:rsidR="00B50037" w:rsidRPr="00F90C80" w:rsidRDefault="00B50037" w:rsidP="00F90C80">
            <w:pPr>
              <w:jc w:val="center"/>
              <w:rPr>
                <w:b/>
              </w:rPr>
            </w:pPr>
            <w:bookmarkStart w:id="4" w:name="_Hlk521405934"/>
            <w:r w:rsidRPr="00F90C80">
              <w:rPr>
                <w:b/>
              </w:rPr>
              <w:t>LC</w:t>
            </w:r>
            <w:r w:rsidRPr="00F90C80">
              <w:rPr>
                <w:b/>
                <w:vertAlign w:val="subscript"/>
              </w:rPr>
              <w:t>50</w:t>
            </w:r>
            <w:r w:rsidRPr="00F90C80">
              <w:rPr>
                <w:b/>
              </w:rPr>
              <w:t xml:space="preserve"> in ml/m</w:t>
            </w:r>
            <w:r w:rsidRPr="00F90C80">
              <w:rPr>
                <w:b/>
                <w:vertAlign w:val="superscript"/>
              </w:rPr>
              <w:t>3</w:t>
            </w:r>
            <w:r w:rsidRPr="00F90C80">
              <w:rPr>
                <w:b/>
              </w:rPr>
              <w:t xml:space="preserve"> in ISO 10298:201</w:t>
            </w:r>
            <w:r w:rsidR="006002FE">
              <w:rPr>
                <w:b/>
              </w:rPr>
              <w:t>8</w:t>
            </w:r>
            <w:bookmarkEnd w:id="4"/>
          </w:p>
        </w:tc>
        <w:tc>
          <w:tcPr>
            <w:tcW w:w="1242" w:type="dxa"/>
          </w:tcPr>
          <w:p w14:paraId="1BE69523" w14:textId="4CA29D1F" w:rsidR="00B50037" w:rsidRPr="00F90C80" w:rsidRDefault="00B50037" w:rsidP="00F90C80">
            <w:pPr>
              <w:jc w:val="center"/>
              <w:rPr>
                <w:b/>
              </w:rPr>
            </w:pPr>
            <w:r>
              <w:rPr>
                <w:b/>
              </w:rPr>
              <w:t>Source reference</w:t>
            </w:r>
            <w:r w:rsidR="00870542">
              <w:rPr>
                <w:b/>
              </w:rPr>
              <w:t xml:space="preserve"> from ISO 10298:2018</w:t>
            </w:r>
          </w:p>
        </w:tc>
      </w:tr>
      <w:bookmarkEnd w:id="3"/>
      <w:tr w:rsidR="00B50037" w14:paraId="54FD4C36" w14:textId="137DFC0D" w:rsidTr="00B50037">
        <w:tc>
          <w:tcPr>
            <w:tcW w:w="827" w:type="dxa"/>
            <w:shd w:val="clear" w:color="auto" w:fill="auto"/>
          </w:tcPr>
          <w:p w14:paraId="4ED054CB" w14:textId="77777777" w:rsidR="00B50037" w:rsidRDefault="00B50037" w:rsidP="00F90C80">
            <w:pPr>
              <w:jc w:val="center"/>
            </w:pPr>
            <w:r>
              <w:t>1008</w:t>
            </w:r>
          </w:p>
        </w:tc>
        <w:tc>
          <w:tcPr>
            <w:tcW w:w="3093" w:type="dxa"/>
            <w:shd w:val="clear" w:color="auto" w:fill="auto"/>
          </w:tcPr>
          <w:p w14:paraId="2951E17D" w14:textId="77777777" w:rsidR="00B50037" w:rsidRDefault="00B50037" w:rsidP="00F90C80">
            <w:r>
              <w:t>BORON TRIFLUORIDE</w:t>
            </w:r>
          </w:p>
        </w:tc>
        <w:tc>
          <w:tcPr>
            <w:tcW w:w="1417" w:type="dxa"/>
            <w:shd w:val="clear" w:color="auto" w:fill="auto"/>
            <w:vAlign w:val="center"/>
          </w:tcPr>
          <w:p w14:paraId="454447E9" w14:textId="77777777" w:rsidR="00B50037" w:rsidRDefault="00B50037" w:rsidP="00F90C80">
            <w:pPr>
              <w:jc w:val="center"/>
            </w:pPr>
            <w:r>
              <w:t>387</w:t>
            </w:r>
          </w:p>
        </w:tc>
        <w:tc>
          <w:tcPr>
            <w:tcW w:w="1715" w:type="dxa"/>
            <w:shd w:val="clear" w:color="auto" w:fill="auto"/>
            <w:vAlign w:val="center"/>
          </w:tcPr>
          <w:p w14:paraId="678784C4" w14:textId="77777777" w:rsidR="00B50037" w:rsidRDefault="00B50037" w:rsidP="00F90C80">
            <w:pPr>
              <w:jc w:val="center"/>
            </w:pPr>
            <w:r>
              <w:t>864</w:t>
            </w:r>
          </w:p>
        </w:tc>
        <w:tc>
          <w:tcPr>
            <w:tcW w:w="1242" w:type="dxa"/>
          </w:tcPr>
          <w:p w14:paraId="633B3857" w14:textId="115AC3C9" w:rsidR="00B50037" w:rsidRDefault="00B50037" w:rsidP="00F90C80">
            <w:pPr>
              <w:jc w:val="center"/>
            </w:pPr>
            <w:r>
              <w:t>1</w:t>
            </w:r>
          </w:p>
        </w:tc>
      </w:tr>
      <w:tr w:rsidR="00B50037" w14:paraId="07797545" w14:textId="5807BF4C" w:rsidTr="00B50037">
        <w:tc>
          <w:tcPr>
            <w:tcW w:w="827" w:type="dxa"/>
            <w:shd w:val="clear" w:color="auto" w:fill="auto"/>
          </w:tcPr>
          <w:p w14:paraId="14619ADF" w14:textId="77777777" w:rsidR="00B50037" w:rsidRDefault="00B50037" w:rsidP="00F90C80">
            <w:pPr>
              <w:jc w:val="center"/>
            </w:pPr>
            <w:r>
              <w:t>1859</w:t>
            </w:r>
          </w:p>
        </w:tc>
        <w:tc>
          <w:tcPr>
            <w:tcW w:w="3093" w:type="dxa"/>
            <w:shd w:val="clear" w:color="auto" w:fill="auto"/>
          </w:tcPr>
          <w:p w14:paraId="7F7F1C06" w14:textId="77777777" w:rsidR="00B50037" w:rsidRDefault="00B50037" w:rsidP="00F90C80">
            <w:r>
              <w:t>SILICON TETRAFLUORIDE</w:t>
            </w:r>
          </w:p>
        </w:tc>
        <w:tc>
          <w:tcPr>
            <w:tcW w:w="1417" w:type="dxa"/>
            <w:shd w:val="clear" w:color="auto" w:fill="auto"/>
            <w:vAlign w:val="center"/>
          </w:tcPr>
          <w:p w14:paraId="4A63092A" w14:textId="77777777" w:rsidR="00B50037" w:rsidRDefault="00B50037" w:rsidP="00F90C80">
            <w:pPr>
              <w:jc w:val="center"/>
            </w:pPr>
            <w:r>
              <w:t>450</w:t>
            </w:r>
          </w:p>
        </w:tc>
        <w:tc>
          <w:tcPr>
            <w:tcW w:w="1715" w:type="dxa"/>
            <w:shd w:val="clear" w:color="auto" w:fill="auto"/>
            <w:vAlign w:val="center"/>
          </w:tcPr>
          <w:p w14:paraId="54637B2E" w14:textId="77777777" w:rsidR="00B50037" w:rsidRDefault="00B50037" w:rsidP="00F90C80">
            <w:pPr>
              <w:jc w:val="center"/>
            </w:pPr>
            <w:r>
              <w:t>922</w:t>
            </w:r>
          </w:p>
        </w:tc>
        <w:tc>
          <w:tcPr>
            <w:tcW w:w="1242" w:type="dxa"/>
          </w:tcPr>
          <w:p w14:paraId="3C42AB77" w14:textId="7A5D9D1E" w:rsidR="00B50037" w:rsidRDefault="00B50037" w:rsidP="00F90C80">
            <w:pPr>
              <w:jc w:val="center"/>
            </w:pPr>
            <w:r>
              <w:t>2</w:t>
            </w:r>
          </w:p>
        </w:tc>
      </w:tr>
      <w:tr w:rsidR="00B50037" w14:paraId="5934D7E7" w14:textId="186F43A8" w:rsidTr="00B50037">
        <w:tc>
          <w:tcPr>
            <w:tcW w:w="827" w:type="dxa"/>
            <w:shd w:val="clear" w:color="auto" w:fill="auto"/>
          </w:tcPr>
          <w:p w14:paraId="59949E93" w14:textId="77777777" w:rsidR="00B50037" w:rsidRDefault="00B50037" w:rsidP="00F90C80">
            <w:pPr>
              <w:jc w:val="center"/>
            </w:pPr>
            <w:r>
              <w:t>2188</w:t>
            </w:r>
          </w:p>
        </w:tc>
        <w:tc>
          <w:tcPr>
            <w:tcW w:w="3093" w:type="dxa"/>
            <w:shd w:val="clear" w:color="auto" w:fill="auto"/>
          </w:tcPr>
          <w:p w14:paraId="35944452" w14:textId="77777777" w:rsidR="00B50037" w:rsidRDefault="00B50037" w:rsidP="00F90C80">
            <w:r>
              <w:t>ARSINE</w:t>
            </w:r>
          </w:p>
        </w:tc>
        <w:tc>
          <w:tcPr>
            <w:tcW w:w="1417" w:type="dxa"/>
            <w:shd w:val="clear" w:color="auto" w:fill="auto"/>
            <w:vAlign w:val="center"/>
          </w:tcPr>
          <w:p w14:paraId="140DCC3E" w14:textId="77777777" w:rsidR="00B50037" w:rsidRDefault="00B50037" w:rsidP="00F90C80">
            <w:pPr>
              <w:jc w:val="center"/>
            </w:pPr>
            <w:r>
              <w:t>20</w:t>
            </w:r>
          </w:p>
        </w:tc>
        <w:tc>
          <w:tcPr>
            <w:tcW w:w="1715" w:type="dxa"/>
            <w:shd w:val="clear" w:color="auto" w:fill="auto"/>
            <w:vAlign w:val="center"/>
          </w:tcPr>
          <w:p w14:paraId="706120D1" w14:textId="77777777" w:rsidR="00B50037" w:rsidRDefault="00B50037" w:rsidP="00F90C80">
            <w:pPr>
              <w:jc w:val="center"/>
            </w:pPr>
            <w:r>
              <w:t>178</w:t>
            </w:r>
          </w:p>
        </w:tc>
        <w:tc>
          <w:tcPr>
            <w:tcW w:w="1242" w:type="dxa"/>
          </w:tcPr>
          <w:p w14:paraId="7F833CD3" w14:textId="5E731DA5" w:rsidR="00B50037" w:rsidRDefault="00E1261E" w:rsidP="00F90C80">
            <w:pPr>
              <w:jc w:val="center"/>
            </w:pPr>
            <w:r>
              <w:t>3</w:t>
            </w:r>
          </w:p>
        </w:tc>
      </w:tr>
      <w:tr w:rsidR="00B50037" w14:paraId="5372979D" w14:textId="196DFF69" w:rsidTr="00B50037">
        <w:tc>
          <w:tcPr>
            <w:tcW w:w="827" w:type="dxa"/>
            <w:shd w:val="clear" w:color="auto" w:fill="auto"/>
          </w:tcPr>
          <w:p w14:paraId="5B4B9AFF" w14:textId="77777777" w:rsidR="00B50037" w:rsidRDefault="00B50037" w:rsidP="00F90C80">
            <w:pPr>
              <w:jc w:val="center"/>
            </w:pPr>
            <w:r>
              <w:t>2196</w:t>
            </w:r>
          </w:p>
        </w:tc>
        <w:tc>
          <w:tcPr>
            <w:tcW w:w="3093" w:type="dxa"/>
            <w:shd w:val="clear" w:color="auto" w:fill="auto"/>
          </w:tcPr>
          <w:p w14:paraId="7E861FEB" w14:textId="77777777" w:rsidR="00B50037" w:rsidRDefault="00B50037" w:rsidP="00F90C80">
            <w:r>
              <w:t>TUNGSTEN HEXAFLUORIDE</w:t>
            </w:r>
          </w:p>
        </w:tc>
        <w:tc>
          <w:tcPr>
            <w:tcW w:w="1417" w:type="dxa"/>
            <w:shd w:val="clear" w:color="auto" w:fill="auto"/>
            <w:vAlign w:val="center"/>
          </w:tcPr>
          <w:p w14:paraId="7A83812A" w14:textId="77777777" w:rsidR="00B50037" w:rsidRDefault="00B50037" w:rsidP="00F90C80">
            <w:pPr>
              <w:jc w:val="center"/>
            </w:pPr>
            <w:r>
              <w:t>160</w:t>
            </w:r>
          </w:p>
        </w:tc>
        <w:tc>
          <w:tcPr>
            <w:tcW w:w="1715" w:type="dxa"/>
            <w:shd w:val="clear" w:color="auto" w:fill="auto"/>
            <w:vAlign w:val="center"/>
          </w:tcPr>
          <w:p w14:paraId="21FF1FC5" w14:textId="77777777" w:rsidR="00B50037" w:rsidRDefault="00B50037" w:rsidP="00F90C80">
            <w:pPr>
              <w:jc w:val="center"/>
            </w:pPr>
            <w:r>
              <w:t>218</w:t>
            </w:r>
          </w:p>
        </w:tc>
        <w:tc>
          <w:tcPr>
            <w:tcW w:w="1242" w:type="dxa"/>
          </w:tcPr>
          <w:p w14:paraId="2BEC12EC" w14:textId="2C32810D" w:rsidR="00B50037" w:rsidRDefault="00E1261E" w:rsidP="00F90C80">
            <w:pPr>
              <w:jc w:val="center"/>
            </w:pPr>
            <w:r>
              <w:t>4</w:t>
            </w:r>
          </w:p>
        </w:tc>
      </w:tr>
      <w:tr w:rsidR="00B50037" w14:paraId="4D3176A6" w14:textId="7A941183" w:rsidTr="00B50037">
        <w:trPr>
          <w:trHeight w:val="218"/>
        </w:trPr>
        <w:tc>
          <w:tcPr>
            <w:tcW w:w="827" w:type="dxa"/>
            <w:shd w:val="clear" w:color="auto" w:fill="auto"/>
          </w:tcPr>
          <w:p w14:paraId="6E2F5413" w14:textId="77777777" w:rsidR="00B50037" w:rsidRDefault="00B50037" w:rsidP="00F90C80">
            <w:pPr>
              <w:jc w:val="center"/>
            </w:pPr>
            <w:r>
              <w:t>2198</w:t>
            </w:r>
          </w:p>
        </w:tc>
        <w:tc>
          <w:tcPr>
            <w:tcW w:w="3093" w:type="dxa"/>
            <w:shd w:val="clear" w:color="auto" w:fill="auto"/>
          </w:tcPr>
          <w:p w14:paraId="28B94847" w14:textId="77777777" w:rsidR="00B50037" w:rsidRDefault="00B50037" w:rsidP="00F90C80">
            <w:r>
              <w:t>PHOSPHOROUS PENTAFLUORIDE</w:t>
            </w:r>
          </w:p>
        </w:tc>
        <w:tc>
          <w:tcPr>
            <w:tcW w:w="1417" w:type="dxa"/>
            <w:shd w:val="clear" w:color="auto" w:fill="auto"/>
            <w:vAlign w:val="center"/>
          </w:tcPr>
          <w:p w14:paraId="67168A82" w14:textId="77777777" w:rsidR="00B50037" w:rsidRDefault="00B50037" w:rsidP="00F90C80">
            <w:pPr>
              <w:jc w:val="center"/>
            </w:pPr>
            <w:r>
              <w:t>190</w:t>
            </w:r>
          </w:p>
        </w:tc>
        <w:tc>
          <w:tcPr>
            <w:tcW w:w="1715" w:type="dxa"/>
            <w:shd w:val="clear" w:color="auto" w:fill="auto"/>
            <w:vAlign w:val="center"/>
          </w:tcPr>
          <w:p w14:paraId="66CC7856" w14:textId="77777777" w:rsidR="00B50037" w:rsidRDefault="00B50037" w:rsidP="00F90C80">
            <w:pPr>
              <w:jc w:val="center"/>
            </w:pPr>
            <w:r>
              <w:t>261</w:t>
            </w:r>
          </w:p>
        </w:tc>
        <w:tc>
          <w:tcPr>
            <w:tcW w:w="1242" w:type="dxa"/>
          </w:tcPr>
          <w:p w14:paraId="1D70D8FC" w14:textId="5D6ACAF9" w:rsidR="00B50037" w:rsidRDefault="00E1261E" w:rsidP="00F90C80">
            <w:pPr>
              <w:jc w:val="center"/>
            </w:pPr>
            <w:r>
              <w:t>5</w:t>
            </w:r>
          </w:p>
        </w:tc>
      </w:tr>
      <w:tr w:rsidR="00B50037" w14:paraId="5904A56C" w14:textId="2F11E309" w:rsidTr="00B50037">
        <w:trPr>
          <w:trHeight w:val="218"/>
        </w:trPr>
        <w:tc>
          <w:tcPr>
            <w:tcW w:w="827" w:type="dxa"/>
            <w:shd w:val="clear" w:color="auto" w:fill="auto"/>
          </w:tcPr>
          <w:p w14:paraId="7DA19E5C" w14:textId="77777777" w:rsidR="00B50037" w:rsidRDefault="00B50037" w:rsidP="00F90C80">
            <w:pPr>
              <w:jc w:val="center"/>
            </w:pPr>
            <w:r>
              <w:t>2202</w:t>
            </w:r>
          </w:p>
        </w:tc>
        <w:tc>
          <w:tcPr>
            <w:tcW w:w="3093" w:type="dxa"/>
            <w:shd w:val="clear" w:color="auto" w:fill="auto"/>
          </w:tcPr>
          <w:p w14:paraId="3C452A61" w14:textId="77777777" w:rsidR="00B50037" w:rsidRDefault="00B50037" w:rsidP="00F90C80">
            <w:r>
              <w:t>HYDROGEN SELENIDE</w:t>
            </w:r>
          </w:p>
        </w:tc>
        <w:tc>
          <w:tcPr>
            <w:tcW w:w="1417" w:type="dxa"/>
            <w:shd w:val="clear" w:color="auto" w:fill="auto"/>
            <w:vAlign w:val="center"/>
          </w:tcPr>
          <w:p w14:paraId="4477A7ED" w14:textId="77777777" w:rsidR="00B50037" w:rsidRDefault="00B50037" w:rsidP="00F90C80">
            <w:pPr>
              <w:jc w:val="center"/>
            </w:pPr>
            <w:r>
              <w:t>2</w:t>
            </w:r>
          </w:p>
        </w:tc>
        <w:tc>
          <w:tcPr>
            <w:tcW w:w="1715" w:type="dxa"/>
            <w:shd w:val="clear" w:color="auto" w:fill="auto"/>
            <w:vAlign w:val="center"/>
          </w:tcPr>
          <w:p w14:paraId="3D71FD06" w14:textId="77777777" w:rsidR="00B50037" w:rsidRDefault="00B50037" w:rsidP="00F90C80">
            <w:pPr>
              <w:jc w:val="center"/>
            </w:pPr>
            <w:r>
              <w:t>51</w:t>
            </w:r>
          </w:p>
        </w:tc>
        <w:tc>
          <w:tcPr>
            <w:tcW w:w="1242" w:type="dxa"/>
          </w:tcPr>
          <w:p w14:paraId="5C3F89D0" w14:textId="722FB27E" w:rsidR="00B50037" w:rsidRDefault="00E1261E" w:rsidP="00F90C80">
            <w:pPr>
              <w:jc w:val="center"/>
            </w:pPr>
            <w:r>
              <w:t>6</w:t>
            </w:r>
          </w:p>
        </w:tc>
      </w:tr>
      <w:tr w:rsidR="00B50037" w14:paraId="46058F20" w14:textId="57EA66C1" w:rsidTr="00B50037">
        <w:tc>
          <w:tcPr>
            <w:tcW w:w="827" w:type="dxa"/>
            <w:shd w:val="clear" w:color="auto" w:fill="auto"/>
          </w:tcPr>
          <w:p w14:paraId="224AFCB3" w14:textId="77777777" w:rsidR="00B50037" w:rsidRDefault="00B50037" w:rsidP="00F90C80">
            <w:pPr>
              <w:jc w:val="center"/>
            </w:pPr>
            <w:r>
              <w:t>2534</w:t>
            </w:r>
          </w:p>
        </w:tc>
        <w:tc>
          <w:tcPr>
            <w:tcW w:w="3093" w:type="dxa"/>
            <w:shd w:val="clear" w:color="auto" w:fill="auto"/>
          </w:tcPr>
          <w:p w14:paraId="31CD180D" w14:textId="77777777" w:rsidR="00B50037" w:rsidRDefault="00B50037" w:rsidP="00F90C80">
            <w:r>
              <w:t>METHYLCHLOROSILANE</w:t>
            </w:r>
          </w:p>
        </w:tc>
        <w:tc>
          <w:tcPr>
            <w:tcW w:w="1417" w:type="dxa"/>
            <w:shd w:val="clear" w:color="auto" w:fill="auto"/>
            <w:vAlign w:val="center"/>
          </w:tcPr>
          <w:p w14:paraId="242066F8" w14:textId="77777777" w:rsidR="00B50037" w:rsidRDefault="00B50037" w:rsidP="00F90C80">
            <w:pPr>
              <w:jc w:val="center"/>
            </w:pPr>
            <w:r>
              <w:t>600</w:t>
            </w:r>
          </w:p>
        </w:tc>
        <w:tc>
          <w:tcPr>
            <w:tcW w:w="1715" w:type="dxa"/>
            <w:shd w:val="clear" w:color="auto" w:fill="auto"/>
            <w:vAlign w:val="center"/>
          </w:tcPr>
          <w:p w14:paraId="0A1AED12" w14:textId="77777777" w:rsidR="00B50037" w:rsidRDefault="00B50037" w:rsidP="00F90C80">
            <w:pPr>
              <w:jc w:val="center"/>
            </w:pPr>
            <w:r>
              <w:t>2 810</w:t>
            </w:r>
          </w:p>
        </w:tc>
        <w:tc>
          <w:tcPr>
            <w:tcW w:w="1242" w:type="dxa"/>
          </w:tcPr>
          <w:p w14:paraId="5674DB85" w14:textId="36455291" w:rsidR="00B50037" w:rsidRDefault="00E1261E" w:rsidP="00F90C80">
            <w:pPr>
              <w:jc w:val="center"/>
            </w:pPr>
            <w:r>
              <w:t>7</w:t>
            </w:r>
          </w:p>
        </w:tc>
      </w:tr>
      <w:tr w:rsidR="00B50037" w14:paraId="6053AC97" w14:textId="3B43A3D9" w:rsidTr="00B50037">
        <w:tc>
          <w:tcPr>
            <w:tcW w:w="827" w:type="dxa"/>
            <w:shd w:val="clear" w:color="auto" w:fill="auto"/>
          </w:tcPr>
          <w:p w14:paraId="5E509252" w14:textId="77777777" w:rsidR="00B50037" w:rsidRDefault="00B50037" w:rsidP="00F90C80">
            <w:pPr>
              <w:jc w:val="center"/>
            </w:pPr>
            <w:r>
              <w:t>2676</w:t>
            </w:r>
          </w:p>
        </w:tc>
        <w:tc>
          <w:tcPr>
            <w:tcW w:w="3093" w:type="dxa"/>
            <w:shd w:val="clear" w:color="auto" w:fill="auto"/>
          </w:tcPr>
          <w:p w14:paraId="540A2982" w14:textId="77777777" w:rsidR="00B50037" w:rsidRDefault="00B50037" w:rsidP="00F90C80">
            <w:r>
              <w:t>STIBINE</w:t>
            </w:r>
          </w:p>
        </w:tc>
        <w:tc>
          <w:tcPr>
            <w:tcW w:w="1417" w:type="dxa"/>
            <w:shd w:val="clear" w:color="auto" w:fill="auto"/>
            <w:vAlign w:val="center"/>
          </w:tcPr>
          <w:p w14:paraId="24E73246" w14:textId="77777777" w:rsidR="00B50037" w:rsidRDefault="00B50037" w:rsidP="00F90C80">
            <w:pPr>
              <w:jc w:val="center"/>
            </w:pPr>
            <w:r>
              <w:t>20</w:t>
            </w:r>
          </w:p>
        </w:tc>
        <w:tc>
          <w:tcPr>
            <w:tcW w:w="1715" w:type="dxa"/>
            <w:shd w:val="clear" w:color="auto" w:fill="auto"/>
            <w:vAlign w:val="center"/>
          </w:tcPr>
          <w:p w14:paraId="54807D4C" w14:textId="77777777" w:rsidR="00B50037" w:rsidRDefault="00B50037" w:rsidP="00F90C80">
            <w:pPr>
              <w:jc w:val="center"/>
            </w:pPr>
            <w:r>
              <w:t>178</w:t>
            </w:r>
          </w:p>
        </w:tc>
        <w:tc>
          <w:tcPr>
            <w:tcW w:w="1242" w:type="dxa"/>
          </w:tcPr>
          <w:p w14:paraId="2CF17D2C" w14:textId="1C7D66E9" w:rsidR="00B50037" w:rsidRDefault="00E1261E" w:rsidP="00F90C80">
            <w:pPr>
              <w:jc w:val="center"/>
            </w:pPr>
            <w:r>
              <w:t>8</w:t>
            </w:r>
          </w:p>
        </w:tc>
      </w:tr>
    </w:tbl>
    <w:p w14:paraId="185314E3" w14:textId="75BAEE95" w:rsidR="00B50037" w:rsidRDefault="00227C99" w:rsidP="00227C99">
      <w:pPr>
        <w:pStyle w:val="SingleTxtG"/>
        <w:tabs>
          <w:tab w:val="left" w:pos="1418"/>
        </w:tabs>
        <w:spacing w:before="240"/>
        <w:ind w:left="1418" w:hanging="284"/>
      </w:pPr>
      <w:r w:rsidRPr="00227C99">
        <w:t>1)</w:t>
      </w:r>
      <w:r>
        <w:tab/>
        <w:t xml:space="preserve"> </w:t>
      </w:r>
      <w:proofErr w:type="spellStart"/>
      <w:r w:rsidR="00B50037" w:rsidRPr="00B50037">
        <w:t>Marhold</w:t>
      </w:r>
      <w:proofErr w:type="spellEnd"/>
      <w:r w:rsidR="00B50037" w:rsidRPr="00B50037">
        <w:t xml:space="preserve">, J.V. </w:t>
      </w:r>
      <w:proofErr w:type="spellStart"/>
      <w:r w:rsidR="00B50037" w:rsidRPr="00B50037">
        <w:t>Sbomik</w:t>
      </w:r>
      <w:proofErr w:type="spellEnd"/>
      <w:r w:rsidR="00B50037" w:rsidRPr="00B50037">
        <w:t xml:space="preserve"> </w:t>
      </w:r>
      <w:proofErr w:type="spellStart"/>
      <w:r w:rsidR="00B50037" w:rsidRPr="00B50037">
        <w:t>Vysledku</w:t>
      </w:r>
      <w:proofErr w:type="spellEnd"/>
      <w:r w:rsidR="00B50037" w:rsidRPr="00B50037">
        <w:t xml:space="preserve"> </w:t>
      </w:r>
      <w:proofErr w:type="spellStart"/>
      <w:r w:rsidR="00B50037" w:rsidRPr="00B50037">
        <w:t>Toxiko</w:t>
      </w:r>
      <w:proofErr w:type="spellEnd"/>
      <w:r w:rsidR="00B50037" w:rsidRPr="00B50037">
        <w:t xml:space="preserve"> </w:t>
      </w:r>
      <w:proofErr w:type="spellStart"/>
      <w:r w:rsidR="00B50037" w:rsidRPr="00B50037">
        <w:t>logickeho</w:t>
      </w:r>
      <w:proofErr w:type="spellEnd"/>
      <w:r w:rsidR="00B50037" w:rsidRPr="00B50037">
        <w:t xml:space="preserve"> </w:t>
      </w:r>
      <w:proofErr w:type="spellStart"/>
      <w:r w:rsidR="00B50037" w:rsidRPr="00B50037">
        <w:t>Vysetheni</w:t>
      </w:r>
      <w:proofErr w:type="spellEnd"/>
      <w:r w:rsidR="00B50037" w:rsidRPr="00B50037">
        <w:t xml:space="preserve"> </w:t>
      </w:r>
      <w:proofErr w:type="spellStart"/>
      <w:r w:rsidR="00B50037" w:rsidRPr="00B50037">
        <w:t>Latek</w:t>
      </w:r>
      <w:proofErr w:type="spellEnd"/>
      <w:r w:rsidR="00B50037" w:rsidRPr="00B50037">
        <w:t xml:space="preserve"> a </w:t>
      </w:r>
      <w:proofErr w:type="spellStart"/>
      <w:r w:rsidR="00B50037" w:rsidRPr="00B50037">
        <w:t>Phipravku</w:t>
      </w:r>
      <w:proofErr w:type="spellEnd"/>
      <w:r w:rsidR="00B50037" w:rsidRPr="00B50037">
        <w:t>, 1972</w:t>
      </w:r>
    </w:p>
    <w:p w14:paraId="5BF72778" w14:textId="1F5FB714" w:rsidR="00B50037" w:rsidRDefault="00227C99" w:rsidP="00227C99">
      <w:pPr>
        <w:pStyle w:val="SingleTxtG"/>
        <w:tabs>
          <w:tab w:val="left" w:pos="1418"/>
        </w:tabs>
        <w:ind w:left="1418" w:hanging="284"/>
      </w:pPr>
      <w:r>
        <w:rPr>
          <w:lang w:val="fr-BE"/>
        </w:rPr>
        <w:t xml:space="preserve">2) </w:t>
      </w:r>
      <w:r>
        <w:rPr>
          <w:lang w:val="fr-BE"/>
        </w:rPr>
        <w:tab/>
      </w:r>
      <w:r w:rsidR="00E1261E" w:rsidRPr="00E1261E">
        <w:rPr>
          <w:lang w:val="fr-BE"/>
        </w:rPr>
        <w:t xml:space="preserve">Scheel L.D. et al. </w:t>
      </w:r>
      <w:r w:rsidR="00E1261E" w:rsidRPr="00E1261E">
        <w:t xml:space="preserve">Toxicity of carbonyl fluoride, silicon tetrafluoride. Am. Ind. </w:t>
      </w:r>
      <w:proofErr w:type="spellStart"/>
      <w:r w:rsidR="00E1261E" w:rsidRPr="00E1261E">
        <w:t>Hyg</w:t>
      </w:r>
      <w:proofErr w:type="spellEnd"/>
      <w:r w:rsidR="00E1261E" w:rsidRPr="00E1261E">
        <w:t>. Assoc. J. 1968, 29 pp. 41–48</w:t>
      </w:r>
    </w:p>
    <w:p w14:paraId="447F3077" w14:textId="35FF31F0" w:rsidR="00E1261E" w:rsidRDefault="00227C99" w:rsidP="00227C99">
      <w:pPr>
        <w:pStyle w:val="SingleTxtG"/>
        <w:tabs>
          <w:tab w:val="left" w:pos="1418"/>
        </w:tabs>
        <w:ind w:left="1418" w:hanging="284"/>
      </w:pPr>
      <w:r>
        <w:t xml:space="preserve">3) </w:t>
      </w:r>
      <w:r>
        <w:tab/>
      </w:r>
      <w:r w:rsidR="00E1261E" w:rsidRPr="00E1261E">
        <w:t>International Research and Development Corp. Arsine * LC</w:t>
      </w:r>
      <w:r w:rsidR="00E1261E" w:rsidRPr="006002FE">
        <w:rPr>
          <w:vertAlign w:val="subscript"/>
        </w:rPr>
        <w:t>50</w:t>
      </w:r>
      <w:r w:rsidR="00E1261E" w:rsidRPr="00E1261E">
        <w:t xml:space="preserve"> acute inhalation toxicity evaluation in rats (60 min). 28 October 1985, Report no. 533-002, AT&amp;T Bell laboratories</w:t>
      </w:r>
    </w:p>
    <w:p w14:paraId="57A33B9B" w14:textId="1A2B9C75" w:rsidR="00E1261E" w:rsidRDefault="00227C99" w:rsidP="00227C99">
      <w:pPr>
        <w:pStyle w:val="SingleTxtG"/>
        <w:tabs>
          <w:tab w:val="left" w:pos="1418"/>
        </w:tabs>
        <w:ind w:left="1418" w:hanging="284"/>
      </w:pPr>
      <w:r>
        <w:t xml:space="preserve">4) </w:t>
      </w:r>
      <w:r>
        <w:tab/>
      </w:r>
      <w:r w:rsidR="00E1261E">
        <w:t>Derived from decomposition to HF, the source of which is “</w:t>
      </w:r>
      <w:r w:rsidR="00E1261E" w:rsidRPr="00E1261E">
        <w:t>Acute Exposure Guideline Levels for Selected Airborne Chemicals, Volume 4. Subcommittee on Acute Exposure Guideline Levels, Committee on Toxicology Board on Environmental Studies and Toxicology, The National Academy Press, Washington DC, 2004</w:t>
      </w:r>
      <w:r w:rsidR="00E1261E">
        <w:t>”</w:t>
      </w:r>
      <w:r w:rsidR="002865FA">
        <w:t xml:space="preserve"> (see</w:t>
      </w:r>
      <w:r w:rsidR="004E4A1D">
        <w:t xml:space="preserve"> Hydrogen Fluoride in</w:t>
      </w:r>
      <w:r w:rsidR="002865FA">
        <w:t xml:space="preserve"> ISO 102</w:t>
      </w:r>
      <w:r w:rsidR="00B71FF3">
        <w:t>98:2010)</w:t>
      </w:r>
    </w:p>
    <w:p w14:paraId="54123695" w14:textId="161DE6EF" w:rsidR="00E1261E" w:rsidRDefault="00227C99" w:rsidP="00227C99">
      <w:pPr>
        <w:pStyle w:val="SingleTxtG"/>
        <w:tabs>
          <w:tab w:val="left" w:pos="1418"/>
        </w:tabs>
        <w:ind w:left="1418" w:hanging="284"/>
      </w:pPr>
      <w:r>
        <w:t xml:space="preserve">5) </w:t>
      </w:r>
      <w:r>
        <w:tab/>
      </w:r>
      <w:r w:rsidR="00E1261E">
        <w:t>As for 4), derived from the decomposition to HF.</w:t>
      </w:r>
    </w:p>
    <w:p w14:paraId="41C5A290" w14:textId="14311BAB" w:rsidR="00E1261E" w:rsidRDefault="00227C99" w:rsidP="00227C99">
      <w:pPr>
        <w:pStyle w:val="SingleTxtG"/>
        <w:tabs>
          <w:tab w:val="left" w:pos="1418"/>
        </w:tabs>
        <w:ind w:left="1418" w:hanging="284"/>
      </w:pPr>
      <w:r>
        <w:t xml:space="preserve">6) </w:t>
      </w:r>
      <w:r>
        <w:tab/>
      </w:r>
      <w:r w:rsidR="00E1261E" w:rsidRPr="00E1261E">
        <w:t>Zwart A., Arts J.H.E., Ten Berge W.F., Appleman L.M. Alternative Acute Inhalation Toxicity Testing by Determination of the Concentration-Time-Mortality Relationship: Experimental Comparison with Standard LC</w:t>
      </w:r>
      <w:r w:rsidR="00E1261E" w:rsidRPr="006002FE">
        <w:rPr>
          <w:vertAlign w:val="subscript"/>
        </w:rPr>
        <w:t>50</w:t>
      </w:r>
      <w:r w:rsidR="00E1261E" w:rsidRPr="00E1261E">
        <w:t xml:space="preserve"> Testing. </w:t>
      </w:r>
      <w:proofErr w:type="spellStart"/>
      <w:r w:rsidR="00E1261E" w:rsidRPr="00E1261E">
        <w:t>Regul</w:t>
      </w:r>
      <w:proofErr w:type="spellEnd"/>
      <w:r w:rsidR="00E1261E" w:rsidRPr="00E1261E">
        <w:t xml:space="preserve">. </w:t>
      </w:r>
      <w:proofErr w:type="spellStart"/>
      <w:r w:rsidR="00E1261E" w:rsidRPr="00E1261E">
        <w:t>Toxicol</w:t>
      </w:r>
      <w:proofErr w:type="spellEnd"/>
      <w:r w:rsidR="00E1261E" w:rsidRPr="00E1261E">
        <w:t xml:space="preserve">. </w:t>
      </w:r>
      <w:proofErr w:type="spellStart"/>
      <w:r w:rsidR="00E1261E" w:rsidRPr="00E1261E">
        <w:t>Pharmacol</w:t>
      </w:r>
      <w:proofErr w:type="spellEnd"/>
      <w:r w:rsidR="00E1261E" w:rsidRPr="00E1261E">
        <w:t>. 1992, 15 pp. 278–290</w:t>
      </w:r>
    </w:p>
    <w:p w14:paraId="42F9D396" w14:textId="74BFE26B" w:rsidR="00E1261E" w:rsidRDefault="00227C99" w:rsidP="00227C99">
      <w:pPr>
        <w:pStyle w:val="SingleTxtG"/>
        <w:tabs>
          <w:tab w:val="left" w:pos="1418"/>
        </w:tabs>
        <w:ind w:left="1418" w:hanging="284"/>
      </w:pPr>
      <w:r>
        <w:t xml:space="preserve">7) </w:t>
      </w:r>
      <w:r w:rsidR="00E1261E" w:rsidRPr="00E1261E">
        <w:t xml:space="preserve">Acute Exposure Guideline Levels (AEGLS) for </w:t>
      </w:r>
      <w:proofErr w:type="spellStart"/>
      <w:r w:rsidR="00E1261E" w:rsidRPr="00E1261E">
        <w:t>Methylchlorosilane</w:t>
      </w:r>
      <w:proofErr w:type="spellEnd"/>
      <w:r w:rsidR="00E1261E" w:rsidRPr="00E1261E">
        <w:t>. April 2009, US National Advisory Committee for AEGL</w:t>
      </w:r>
    </w:p>
    <w:p w14:paraId="1A558A45" w14:textId="3AFF357B" w:rsidR="00E1261E" w:rsidRPr="00B50037" w:rsidRDefault="00227C99" w:rsidP="00227C99">
      <w:pPr>
        <w:pStyle w:val="SingleTxtG"/>
        <w:tabs>
          <w:tab w:val="left" w:pos="1418"/>
        </w:tabs>
        <w:ind w:left="1418" w:hanging="284"/>
      </w:pPr>
      <w:r>
        <w:t xml:space="preserve">8) </w:t>
      </w:r>
      <w:r>
        <w:tab/>
      </w:r>
      <w:r w:rsidR="00E1261E">
        <w:t>By analogy with arsine</w:t>
      </w:r>
      <w:r w:rsidR="00870542">
        <w:t xml:space="preserve">, the source of which is </w:t>
      </w:r>
      <w:r w:rsidR="004E4A1D">
        <w:t>given in 3) above</w:t>
      </w:r>
      <w:r w:rsidR="009F1873">
        <w:t>.</w:t>
      </w:r>
    </w:p>
    <w:p w14:paraId="6C76106E" w14:textId="00FEE896" w:rsidR="00227C99" w:rsidRDefault="001A7493" w:rsidP="000F220A">
      <w:pPr>
        <w:pStyle w:val="SingleTxtG"/>
      </w:pPr>
      <w:r w:rsidRPr="00227C99">
        <w:t>4.</w:t>
      </w:r>
      <w:r w:rsidRPr="00227C99">
        <w:tab/>
      </w:r>
      <w:r w:rsidR="0029019D" w:rsidRPr="00227C99">
        <w:t>With the above explanation of the sources of the changed toxicity data</w:t>
      </w:r>
      <w:r w:rsidR="00387415" w:rsidRPr="00227C99">
        <w:t xml:space="preserve">, ISO proposes that the values </w:t>
      </w:r>
      <w:r w:rsidR="00040355" w:rsidRPr="00227C99">
        <w:t>of LC</w:t>
      </w:r>
      <w:r w:rsidR="00040355" w:rsidRPr="00316EB7">
        <w:t>50</w:t>
      </w:r>
      <w:r w:rsidR="00040355" w:rsidRPr="00227C99">
        <w:t xml:space="preserve"> in ml/m</w:t>
      </w:r>
      <w:r w:rsidR="00040355" w:rsidRPr="00316EB7">
        <w:t>3</w:t>
      </w:r>
      <w:r w:rsidR="00040355" w:rsidRPr="00227C99">
        <w:t xml:space="preserve"> </w:t>
      </w:r>
      <w:r w:rsidR="00387415" w:rsidRPr="00227C99">
        <w:t xml:space="preserve">originally given in ST/SG/AC.10/C.3/2018/24 are adopted </w:t>
      </w:r>
      <w:r w:rsidR="00040355" w:rsidRPr="00227C99">
        <w:t xml:space="preserve">in </w:t>
      </w:r>
      <w:r w:rsidR="006B469E">
        <w:t>Table 2</w:t>
      </w:r>
      <w:r w:rsidR="00227C99" w:rsidRPr="00227C99">
        <w:t xml:space="preserve"> </w:t>
      </w:r>
      <w:r w:rsidR="00227C99">
        <w:t>of packing instruction P200 in 4.1.1.4</w:t>
      </w:r>
      <w:r w:rsidR="006B469E">
        <w:t xml:space="preserve">.  </w:t>
      </w:r>
    </w:p>
    <w:p w14:paraId="06EC211F" w14:textId="77777777" w:rsidR="00227C99" w:rsidRPr="007B2B1F" w:rsidRDefault="00227C99" w:rsidP="00227C99">
      <w:pPr>
        <w:pStyle w:val="HChG"/>
        <w:tabs>
          <w:tab w:val="clear" w:pos="851"/>
        </w:tabs>
        <w:spacing w:before="240" w:after="120"/>
        <w:ind w:firstLine="0"/>
      </w:pPr>
      <w:r>
        <w:tab/>
      </w:r>
      <w:r w:rsidRPr="007B2B1F">
        <w:t>P</w:t>
      </w:r>
      <w:r>
        <w:t xml:space="preserve">roposal </w:t>
      </w:r>
    </w:p>
    <w:p w14:paraId="17E352CC" w14:textId="34E4D36D" w:rsidR="00227C99" w:rsidRDefault="00227C99">
      <w:pPr>
        <w:pStyle w:val="SingleTxtG"/>
        <w:rPr>
          <w:bCs/>
        </w:rPr>
      </w:pPr>
      <w:r>
        <w:t xml:space="preserve">5. </w:t>
      </w:r>
      <w:r>
        <w:tab/>
        <w:t>In Table 2 of P200 in 4.1.1.4, for the UN numbers listed below, replace the values under the heading “LC</w:t>
      </w:r>
      <w:r w:rsidRPr="00316EB7">
        <w:rPr>
          <w:vertAlign w:val="subscript"/>
        </w:rPr>
        <w:t>50</w:t>
      </w:r>
      <w:r>
        <w:rPr>
          <w:vertAlign w:val="subscript"/>
        </w:rPr>
        <w:t xml:space="preserve"> </w:t>
      </w:r>
      <w:r w:rsidRPr="006002FE">
        <w:t>in ml/m</w:t>
      </w:r>
      <w:r w:rsidRPr="006002FE">
        <w:rPr>
          <w:vertAlign w:val="superscript"/>
        </w:rPr>
        <w:t>3</w:t>
      </w:r>
      <w:r w:rsidRPr="00316EB7">
        <w:t>”</w:t>
      </w:r>
      <w:r>
        <w:t xml:space="preserve">, with those in </w:t>
      </w:r>
      <w:r w:rsidRPr="00316EB7">
        <w:rPr>
          <w:bCs/>
        </w:rPr>
        <w:t>ISO 10298:2018</w:t>
      </w:r>
      <w:r>
        <w:rPr>
          <w:bCs/>
        </w:rPr>
        <w:t>, as follows:</w:t>
      </w:r>
    </w:p>
    <w:p w14:paraId="1791E1E0" w14:textId="6FA15210" w:rsidR="000F220A" w:rsidRDefault="00B17C85" w:rsidP="000F220A">
      <w:pPr>
        <w:pStyle w:val="SingleTxtG"/>
      </w:pPr>
      <w:r>
        <w:t xml:space="preserve"> </w:t>
      </w:r>
    </w:p>
    <w:tbl>
      <w:tblPr>
        <w:tblW w:w="0" w:type="auto"/>
        <w:tblInd w:w="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2965"/>
        <w:gridCol w:w="1985"/>
        <w:gridCol w:w="1781"/>
      </w:tblGrid>
      <w:tr w:rsidR="000F220A" w:rsidRPr="00F90C80" w14:paraId="43FC9BD6" w14:textId="77777777" w:rsidTr="00316EB7">
        <w:trPr>
          <w:tblHeader/>
        </w:trPr>
        <w:tc>
          <w:tcPr>
            <w:tcW w:w="940" w:type="dxa"/>
            <w:shd w:val="clear" w:color="auto" w:fill="auto"/>
            <w:vAlign w:val="center"/>
          </w:tcPr>
          <w:p w14:paraId="3749AE50" w14:textId="77777777" w:rsidR="000F220A" w:rsidRPr="00F90C80" w:rsidRDefault="000F220A" w:rsidP="003864F0">
            <w:pPr>
              <w:jc w:val="center"/>
              <w:rPr>
                <w:b/>
              </w:rPr>
            </w:pPr>
            <w:r w:rsidRPr="00F90C80">
              <w:rPr>
                <w:b/>
              </w:rPr>
              <w:lastRenderedPageBreak/>
              <w:t>UN No.</w:t>
            </w:r>
          </w:p>
        </w:tc>
        <w:tc>
          <w:tcPr>
            <w:tcW w:w="2965" w:type="dxa"/>
            <w:shd w:val="clear" w:color="auto" w:fill="auto"/>
            <w:vAlign w:val="center"/>
          </w:tcPr>
          <w:p w14:paraId="20B115AC" w14:textId="1AD61CFC" w:rsidR="000F220A" w:rsidRPr="00F90C80" w:rsidRDefault="00227C99" w:rsidP="003864F0">
            <w:pPr>
              <w:jc w:val="center"/>
              <w:rPr>
                <w:b/>
              </w:rPr>
            </w:pPr>
            <w:r>
              <w:rPr>
                <w:b/>
              </w:rPr>
              <w:t>Name and description</w:t>
            </w:r>
          </w:p>
        </w:tc>
        <w:tc>
          <w:tcPr>
            <w:tcW w:w="1985" w:type="dxa"/>
            <w:shd w:val="clear" w:color="auto" w:fill="auto"/>
            <w:vAlign w:val="center"/>
          </w:tcPr>
          <w:p w14:paraId="44991C75" w14:textId="1DBA2212" w:rsidR="000F220A" w:rsidRPr="00F90C80" w:rsidRDefault="00227C99">
            <w:pPr>
              <w:jc w:val="center"/>
              <w:rPr>
                <w:b/>
              </w:rPr>
            </w:pPr>
            <w:r>
              <w:rPr>
                <w:b/>
              </w:rPr>
              <w:t xml:space="preserve">Current </w:t>
            </w:r>
            <w:r w:rsidR="000F220A" w:rsidRPr="00F90C80">
              <w:rPr>
                <w:b/>
              </w:rPr>
              <w:t>LC</w:t>
            </w:r>
            <w:r w:rsidR="000F220A" w:rsidRPr="00F90C80">
              <w:rPr>
                <w:b/>
                <w:vertAlign w:val="subscript"/>
              </w:rPr>
              <w:t>50</w:t>
            </w:r>
            <w:r w:rsidR="000F220A" w:rsidRPr="00F90C80">
              <w:rPr>
                <w:b/>
              </w:rPr>
              <w:t xml:space="preserve"> in ml/m</w:t>
            </w:r>
            <w:r w:rsidR="000F220A" w:rsidRPr="00F90C80">
              <w:rPr>
                <w:b/>
                <w:vertAlign w:val="superscript"/>
              </w:rPr>
              <w:t>3</w:t>
            </w:r>
            <w:r w:rsidR="000F220A" w:rsidRPr="00F90C80">
              <w:rPr>
                <w:b/>
              </w:rPr>
              <w:t xml:space="preserve"> </w:t>
            </w:r>
            <w:r>
              <w:rPr>
                <w:b/>
              </w:rPr>
              <w:t>values in Rev.20</w:t>
            </w:r>
          </w:p>
        </w:tc>
        <w:tc>
          <w:tcPr>
            <w:tcW w:w="1781" w:type="dxa"/>
            <w:shd w:val="clear" w:color="auto" w:fill="auto"/>
            <w:vAlign w:val="center"/>
          </w:tcPr>
          <w:p w14:paraId="3FCB6DA0" w14:textId="5FA79B2F" w:rsidR="00227C99" w:rsidRDefault="00227C99" w:rsidP="005D2A2F">
            <w:pPr>
              <w:jc w:val="center"/>
              <w:rPr>
                <w:b/>
              </w:rPr>
            </w:pPr>
            <w:r>
              <w:rPr>
                <w:b/>
              </w:rPr>
              <w:t>Replace with</w:t>
            </w:r>
          </w:p>
          <w:p w14:paraId="40E59E74" w14:textId="4B5A4564" w:rsidR="000F220A" w:rsidRPr="00F90C80" w:rsidRDefault="000F220A" w:rsidP="005D2A2F">
            <w:pPr>
              <w:jc w:val="center"/>
              <w:rPr>
                <w:b/>
              </w:rPr>
            </w:pPr>
          </w:p>
        </w:tc>
      </w:tr>
      <w:tr w:rsidR="000F220A" w14:paraId="780AD00B" w14:textId="77777777" w:rsidTr="00943C9D">
        <w:tc>
          <w:tcPr>
            <w:tcW w:w="940" w:type="dxa"/>
            <w:shd w:val="clear" w:color="auto" w:fill="auto"/>
          </w:tcPr>
          <w:p w14:paraId="4CF33676" w14:textId="77777777" w:rsidR="000F220A" w:rsidRDefault="000F220A" w:rsidP="003864F0">
            <w:pPr>
              <w:jc w:val="center"/>
            </w:pPr>
            <w:r>
              <w:t>1008</w:t>
            </w:r>
          </w:p>
        </w:tc>
        <w:tc>
          <w:tcPr>
            <w:tcW w:w="2965" w:type="dxa"/>
            <w:shd w:val="clear" w:color="auto" w:fill="auto"/>
          </w:tcPr>
          <w:p w14:paraId="297D1EEA" w14:textId="77777777" w:rsidR="000F220A" w:rsidRDefault="000F220A" w:rsidP="003864F0">
            <w:r>
              <w:t>BORON TRIFLUORIDE</w:t>
            </w:r>
          </w:p>
        </w:tc>
        <w:tc>
          <w:tcPr>
            <w:tcW w:w="1985" w:type="dxa"/>
            <w:shd w:val="clear" w:color="auto" w:fill="auto"/>
            <w:vAlign w:val="center"/>
          </w:tcPr>
          <w:p w14:paraId="4017CCE0" w14:textId="77777777" w:rsidR="000F220A" w:rsidRDefault="000F220A" w:rsidP="003864F0">
            <w:pPr>
              <w:jc w:val="center"/>
            </w:pPr>
            <w:r>
              <w:t>387</w:t>
            </w:r>
          </w:p>
        </w:tc>
        <w:tc>
          <w:tcPr>
            <w:tcW w:w="1781" w:type="dxa"/>
            <w:shd w:val="clear" w:color="auto" w:fill="auto"/>
            <w:vAlign w:val="center"/>
          </w:tcPr>
          <w:p w14:paraId="6C1B8D5B" w14:textId="77777777" w:rsidR="000F220A" w:rsidRDefault="000F220A" w:rsidP="003864F0">
            <w:pPr>
              <w:jc w:val="center"/>
            </w:pPr>
            <w:r>
              <w:t>864</w:t>
            </w:r>
          </w:p>
        </w:tc>
      </w:tr>
      <w:tr w:rsidR="000F220A" w14:paraId="1BE4C97D" w14:textId="77777777" w:rsidTr="00943C9D">
        <w:tc>
          <w:tcPr>
            <w:tcW w:w="940" w:type="dxa"/>
            <w:shd w:val="clear" w:color="auto" w:fill="auto"/>
          </w:tcPr>
          <w:p w14:paraId="51DC3D17" w14:textId="77777777" w:rsidR="000F220A" w:rsidRDefault="000F220A" w:rsidP="003864F0">
            <w:pPr>
              <w:jc w:val="center"/>
            </w:pPr>
            <w:r>
              <w:t>1859</w:t>
            </w:r>
          </w:p>
        </w:tc>
        <w:tc>
          <w:tcPr>
            <w:tcW w:w="2965" w:type="dxa"/>
            <w:shd w:val="clear" w:color="auto" w:fill="auto"/>
          </w:tcPr>
          <w:p w14:paraId="09208861" w14:textId="77777777" w:rsidR="000F220A" w:rsidRDefault="000F220A" w:rsidP="003864F0">
            <w:r>
              <w:t>SILICON TETRAFLUORIDE</w:t>
            </w:r>
          </w:p>
        </w:tc>
        <w:tc>
          <w:tcPr>
            <w:tcW w:w="1985" w:type="dxa"/>
            <w:shd w:val="clear" w:color="auto" w:fill="auto"/>
            <w:vAlign w:val="center"/>
          </w:tcPr>
          <w:p w14:paraId="401CAFBB" w14:textId="77777777" w:rsidR="000F220A" w:rsidRDefault="000F220A" w:rsidP="003864F0">
            <w:pPr>
              <w:jc w:val="center"/>
            </w:pPr>
            <w:r>
              <w:t>450</w:t>
            </w:r>
          </w:p>
        </w:tc>
        <w:tc>
          <w:tcPr>
            <w:tcW w:w="1781" w:type="dxa"/>
            <w:shd w:val="clear" w:color="auto" w:fill="auto"/>
            <w:vAlign w:val="center"/>
          </w:tcPr>
          <w:p w14:paraId="278E5F25" w14:textId="77777777" w:rsidR="000F220A" w:rsidRDefault="000F220A" w:rsidP="003864F0">
            <w:pPr>
              <w:jc w:val="center"/>
            </w:pPr>
            <w:r>
              <w:t>922</w:t>
            </w:r>
          </w:p>
        </w:tc>
      </w:tr>
      <w:tr w:rsidR="000F220A" w14:paraId="379E751D" w14:textId="77777777" w:rsidTr="00943C9D">
        <w:tc>
          <w:tcPr>
            <w:tcW w:w="940" w:type="dxa"/>
            <w:shd w:val="clear" w:color="auto" w:fill="auto"/>
          </w:tcPr>
          <w:p w14:paraId="331278FB" w14:textId="77777777" w:rsidR="000F220A" w:rsidRDefault="000F220A" w:rsidP="003864F0">
            <w:pPr>
              <w:jc w:val="center"/>
            </w:pPr>
            <w:r>
              <w:t>2188</w:t>
            </w:r>
          </w:p>
        </w:tc>
        <w:tc>
          <w:tcPr>
            <w:tcW w:w="2965" w:type="dxa"/>
            <w:shd w:val="clear" w:color="auto" w:fill="auto"/>
          </w:tcPr>
          <w:p w14:paraId="66B81457" w14:textId="77777777" w:rsidR="000F220A" w:rsidRDefault="000F220A" w:rsidP="003864F0">
            <w:r>
              <w:t>ARSINE</w:t>
            </w:r>
          </w:p>
        </w:tc>
        <w:tc>
          <w:tcPr>
            <w:tcW w:w="1985" w:type="dxa"/>
            <w:shd w:val="clear" w:color="auto" w:fill="auto"/>
            <w:vAlign w:val="center"/>
          </w:tcPr>
          <w:p w14:paraId="3EF141AB" w14:textId="77777777" w:rsidR="000F220A" w:rsidRDefault="000F220A" w:rsidP="003864F0">
            <w:pPr>
              <w:jc w:val="center"/>
            </w:pPr>
            <w:r>
              <w:t>20</w:t>
            </w:r>
          </w:p>
        </w:tc>
        <w:tc>
          <w:tcPr>
            <w:tcW w:w="1781" w:type="dxa"/>
            <w:shd w:val="clear" w:color="auto" w:fill="auto"/>
            <w:vAlign w:val="center"/>
          </w:tcPr>
          <w:p w14:paraId="487124D2" w14:textId="77777777" w:rsidR="000F220A" w:rsidRDefault="000F220A" w:rsidP="003864F0">
            <w:pPr>
              <w:jc w:val="center"/>
            </w:pPr>
            <w:r>
              <w:t>178</w:t>
            </w:r>
          </w:p>
        </w:tc>
      </w:tr>
      <w:tr w:rsidR="000F220A" w14:paraId="095302EC" w14:textId="77777777" w:rsidTr="00943C9D">
        <w:tc>
          <w:tcPr>
            <w:tcW w:w="940" w:type="dxa"/>
            <w:shd w:val="clear" w:color="auto" w:fill="auto"/>
          </w:tcPr>
          <w:p w14:paraId="54FFB7CB" w14:textId="77777777" w:rsidR="000F220A" w:rsidRDefault="000F220A" w:rsidP="003864F0">
            <w:pPr>
              <w:jc w:val="center"/>
            </w:pPr>
            <w:r>
              <w:t>2196</w:t>
            </w:r>
          </w:p>
        </w:tc>
        <w:tc>
          <w:tcPr>
            <w:tcW w:w="2965" w:type="dxa"/>
            <w:shd w:val="clear" w:color="auto" w:fill="auto"/>
          </w:tcPr>
          <w:p w14:paraId="713AD3EA" w14:textId="77777777" w:rsidR="000F220A" w:rsidRDefault="000F220A" w:rsidP="003864F0">
            <w:r>
              <w:t>TUNGSTEN HEXAFLUORIDE</w:t>
            </w:r>
          </w:p>
        </w:tc>
        <w:tc>
          <w:tcPr>
            <w:tcW w:w="1985" w:type="dxa"/>
            <w:shd w:val="clear" w:color="auto" w:fill="auto"/>
            <w:vAlign w:val="center"/>
          </w:tcPr>
          <w:p w14:paraId="78E0AACB" w14:textId="77777777" w:rsidR="000F220A" w:rsidRDefault="000F220A" w:rsidP="003864F0">
            <w:pPr>
              <w:jc w:val="center"/>
            </w:pPr>
            <w:r>
              <w:t>160</w:t>
            </w:r>
          </w:p>
        </w:tc>
        <w:tc>
          <w:tcPr>
            <w:tcW w:w="1781" w:type="dxa"/>
            <w:shd w:val="clear" w:color="auto" w:fill="auto"/>
            <w:vAlign w:val="center"/>
          </w:tcPr>
          <w:p w14:paraId="5E053870" w14:textId="77777777" w:rsidR="000F220A" w:rsidRDefault="000F220A" w:rsidP="003864F0">
            <w:pPr>
              <w:jc w:val="center"/>
            </w:pPr>
            <w:r>
              <w:t>218</w:t>
            </w:r>
          </w:p>
        </w:tc>
      </w:tr>
      <w:tr w:rsidR="000F220A" w14:paraId="2AA84D82" w14:textId="77777777" w:rsidTr="00943C9D">
        <w:trPr>
          <w:trHeight w:val="218"/>
        </w:trPr>
        <w:tc>
          <w:tcPr>
            <w:tcW w:w="940" w:type="dxa"/>
            <w:shd w:val="clear" w:color="auto" w:fill="auto"/>
          </w:tcPr>
          <w:p w14:paraId="50A3D03B" w14:textId="77777777" w:rsidR="000F220A" w:rsidRDefault="000F220A" w:rsidP="003864F0">
            <w:pPr>
              <w:jc w:val="center"/>
            </w:pPr>
            <w:r>
              <w:t>2198</w:t>
            </w:r>
          </w:p>
        </w:tc>
        <w:tc>
          <w:tcPr>
            <w:tcW w:w="2965" w:type="dxa"/>
            <w:shd w:val="clear" w:color="auto" w:fill="auto"/>
          </w:tcPr>
          <w:p w14:paraId="37783FA0" w14:textId="77777777" w:rsidR="000F220A" w:rsidRDefault="000F220A" w:rsidP="003864F0">
            <w:r>
              <w:t>PHOSPHOROUS PENTAFLUORIDE</w:t>
            </w:r>
          </w:p>
        </w:tc>
        <w:tc>
          <w:tcPr>
            <w:tcW w:w="1985" w:type="dxa"/>
            <w:shd w:val="clear" w:color="auto" w:fill="auto"/>
            <w:vAlign w:val="center"/>
          </w:tcPr>
          <w:p w14:paraId="1B2DAEF3" w14:textId="77777777" w:rsidR="000F220A" w:rsidRDefault="000F220A" w:rsidP="003864F0">
            <w:pPr>
              <w:jc w:val="center"/>
            </w:pPr>
            <w:r>
              <w:t>190</w:t>
            </w:r>
          </w:p>
        </w:tc>
        <w:tc>
          <w:tcPr>
            <w:tcW w:w="1781" w:type="dxa"/>
            <w:shd w:val="clear" w:color="auto" w:fill="auto"/>
            <w:vAlign w:val="center"/>
          </w:tcPr>
          <w:p w14:paraId="429D613E" w14:textId="77777777" w:rsidR="000F220A" w:rsidRDefault="000F220A" w:rsidP="003864F0">
            <w:pPr>
              <w:jc w:val="center"/>
            </w:pPr>
            <w:r>
              <w:t>261</w:t>
            </w:r>
          </w:p>
        </w:tc>
      </w:tr>
      <w:tr w:rsidR="000F220A" w14:paraId="5B1C01C4" w14:textId="77777777" w:rsidTr="00943C9D">
        <w:trPr>
          <w:trHeight w:val="218"/>
        </w:trPr>
        <w:tc>
          <w:tcPr>
            <w:tcW w:w="940" w:type="dxa"/>
            <w:shd w:val="clear" w:color="auto" w:fill="auto"/>
          </w:tcPr>
          <w:p w14:paraId="15B240BB" w14:textId="77777777" w:rsidR="000F220A" w:rsidRDefault="000F220A" w:rsidP="003864F0">
            <w:pPr>
              <w:jc w:val="center"/>
            </w:pPr>
            <w:r>
              <w:t>2202</w:t>
            </w:r>
          </w:p>
        </w:tc>
        <w:tc>
          <w:tcPr>
            <w:tcW w:w="2965" w:type="dxa"/>
            <w:shd w:val="clear" w:color="auto" w:fill="auto"/>
          </w:tcPr>
          <w:p w14:paraId="726A0ADD" w14:textId="77777777" w:rsidR="000F220A" w:rsidRDefault="000F220A" w:rsidP="003864F0">
            <w:r>
              <w:t>HYDROGEN SELENIDE</w:t>
            </w:r>
          </w:p>
        </w:tc>
        <w:tc>
          <w:tcPr>
            <w:tcW w:w="1985" w:type="dxa"/>
            <w:shd w:val="clear" w:color="auto" w:fill="auto"/>
            <w:vAlign w:val="center"/>
          </w:tcPr>
          <w:p w14:paraId="692FC4AE" w14:textId="77777777" w:rsidR="000F220A" w:rsidRDefault="000F220A" w:rsidP="003864F0">
            <w:pPr>
              <w:jc w:val="center"/>
            </w:pPr>
            <w:r>
              <w:t>2</w:t>
            </w:r>
          </w:p>
        </w:tc>
        <w:tc>
          <w:tcPr>
            <w:tcW w:w="1781" w:type="dxa"/>
            <w:shd w:val="clear" w:color="auto" w:fill="auto"/>
            <w:vAlign w:val="center"/>
          </w:tcPr>
          <w:p w14:paraId="689945EA" w14:textId="77777777" w:rsidR="000F220A" w:rsidRDefault="000F220A" w:rsidP="003864F0">
            <w:pPr>
              <w:jc w:val="center"/>
            </w:pPr>
            <w:r>
              <w:t>51</w:t>
            </w:r>
          </w:p>
        </w:tc>
      </w:tr>
      <w:tr w:rsidR="000F220A" w14:paraId="61441E82" w14:textId="77777777" w:rsidTr="00943C9D">
        <w:tc>
          <w:tcPr>
            <w:tcW w:w="940" w:type="dxa"/>
            <w:shd w:val="clear" w:color="auto" w:fill="auto"/>
          </w:tcPr>
          <w:p w14:paraId="5C7C9B49" w14:textId="77777777" w:rsidR="000F220A" w:rsidRDefault="000F220A" w:rsidP="003864F0">
            <w:pPr>
              <w:jc w:val="center"/>
            </w:pPr>
            <w:r>
              <w:t>2534</w:t>
            </w:r>
          </w:p>
        </w:tc>
        <w:tc>
          <w:tcPr>
            <w:tcW w:w="2965" w:type="dxa"/>
            <w:shd w:val="clear" w:color="auto" w:fill="auto"/>
          </w:tcPr>
          <w:p w14:paraId="335E2C9E" w14:textId="77777777" w:rsidR="000F220A" w:rsidRDefault="000F220A" w:rsidP="003864F0">
            <w:r>
              <w:t>METHYLCHLOROSILANE</w:t>
            </w:r>
          </w:p>
        </w:tc>
        <w:tc>
          <w:tcPr>
            <w:tcW w:w="1985" w:type="dxa"/>
            <w:shd w:val="clear" w:color="auto" w:fill="auto"/>
            <w:vAlign w:val="center"/>
          </w:tcPr>
          <w:p w14:paraId="3EE26EDB" w14:textId="77777777" w:rsidR="000F220A" w:rsidRDefault="000F220A" w:rsidP="003864F0">
            <w:pPr>
              <w:jc w:val="center"/>
            </w:pPr>
            <w:r>
              <w:t>600</w:t>
            </w:r>
          </w:p>
        </w:tc>
        <w:tc>
          <w:tcPr>
            <w:tcW w:w="1781" w:type="dxa"/>
            <w:shd w:val="clear" w:color="auto" w:fill="auto"/>
            <w:vAlign w:val="center"/>
          </w:tcPr>
          <w:p w14:paraId="0FC3B003" w14:textId="77777777" w:rsidR="000F220A" w:rsidRDefault="000F220A" w:rsidP="003864F0">
            <w:pPr>
              <w:jc w:val="center"/>
            </w:pPr>
            <w:r>
              <w:t>2 810</w:t>
            </w:r>
          </w:p>
        </w:tc>
      </w:tr>
      <w:tr w:rsidR="000F220A" w14:paraId="0BDD0954" w14:textId="77777777" w:rsidTr="00943C9D">
        <w:tc>
          <w:tcPr>
            <w:tcW w:w="940" w:type="dxa"/>
            <w:shd w:val="clear" w:color="auto" w:fill="auto"/>
          </w:tcPr>
          <w:p w14:paraId="0D533CA4" w14:textId="77777777" w:rsidR="000F220A" w:rsidRDefault="000F220A" w:rsidP="003864F0">
            <w:pPr>
              <w:jc w:val="center"/>
            </w:pPr>
            <w:r>
              <w:t>2676</w:t>
            </w:r>
          </w:p>
        </w:tc>
        <w:tc>
          <w:tcPr>
            <w:tcW w:w="2965" w:type="dxa"/>
            <w:shd w:val="clear" w:color="auto" w:fill="auto"/>
          </w:tcPr>
          <w:p w14:paraId="4D4A2A22" w14:textId="77777777" w:rsidR="000F220A" w:rsidRDefault="000F220A" w:rsidP="003864F0">
            <w:r>
              <w:t>STIBINE</w:t>
            </w:r>
          </w:p>
        </w:tc>
        <w:tc>
          <w:tcPr>
            <w:tcW w:w="1985" w:type="dxa"/>
            <w:shd w:val="clear" w:color="auto" w:fill="auto"/>
            <w:vAlign w:val="center"/>
          </w:tcPr>
          <w:p w14:paraId="313F29ED" w14:textId="77777777" w:rsidR="000F220A" w:rsidRDefault="000F220A" w:rsidP="003864F0">
            <w:pPr>
              <w:jc w:val="center"/>
            </w:pPr>
            <w:r>
              <w:t>20</w:t>
            </w:r>
          </w:p>
        </w:tc>
        <w:tc>
          <w:tcPr>
            <w:tcW w:w="1781" w:type="dxa"/>
            <w:shd w:val="clear" w:color="auto" w:fill="auto"/>
            <w:vAlign w:val="center"/>
          </w:tcPr>
          <w:p w14:paraId="5F383F30" w14:textId="77777777" w:rsidR="000F220A" w:rsidRDefault="000F220A" w:rsidP="003864F0">
            <w:pPr>
              <w:jc w:val="center"/>
            </w:pPr>
            <w:r>
              <w:t>178</w:t>
            </w:r>
          </w:p>
        </w:tc>
      </w:tr>
    </w:tbl>
    <w:p w14:paraId="051110D9" w14:textId="6FB1FD67" w:rsidR="00BC38BF" w:rsidRPr="007B2B1F" w:rsidRDefault="00BC38BF" w:rsidP="000F220A">
      <w:pPr>
        <w:pStyle w:val="HChG"/>
        <w:tabs>
          <w:tab w:val="clear" w:pos="851"/>
        </w:tabs>
        <w:ind w:firstLine="0"/>
      </w:pPr>
      <w:r w:rsidRPr="007B2B1F">
        <w:t xml:space="preserve">Justification </w:t>
      </w:r>
    </w:p>
    <w:p w14:paraId="7AC00F33" w14:textId="6124FA59" w:rsidR="00EB2884" w:rsidRPr="007B2B1F" w:rsidRDefault="00227C99" w:rsidP="00926AD6">
      <w:pPr>
        <w:pStyle w:val="SingleTxtG"/>
      </w:pPr>
      <w:r>
        <w:t>6</w:t>
      </w:r>
      <w:r w:rsidR="00FC7CF8" w:rsidRPr="007B2B1F">
        <w:t>.</w:t>
      </w:r>
      <w:r w:rsidR="00FC7CF8" w:rsidRPr="007B2B1F">
        <w:tab/>
      </w:r>
      <w:r w:rsidR="00111981">
        <w:t xml:space="preserve">ISO 10298:2018 and </w:t>
      </w:r>
      <w:r w:rsidR="00152433">
        <w:t xml:space="preserve">its </w:t>
      </w:r>
      <w:r w:rsidR="00111981">
        <w:t xml:space="preserve">previous </w:t>
      </w:r>
      <w:r w:rsidR="00152433">
        <w:t xml:space="preserve">2010 </w:t>
      </w:r>
      <w:r w:rsidR="00111981">
        <w:t xml:space="preserve">edition were based on wide-ranging </w:t>
      </w:r>
      <w:r w:rsidR="00311AF1">
        <w:t xml:space="preserve">research into the latest toxicological data on these gases and the </w:t>
      </w:r>
      <w:r w:rsidR="005850BD">
        <w:t>standard</w:t>
      </w:r>
      <w:r w:rsidR="00311AF1">
        <w:t xml:space="preserve"> list</w:t>
      </w:r>
      <w:r w:rsidR="005850BD">
        <w:t>s</w:t>
      </w:r>
      <w:r w:rsidR="00311AF1">
        <w:t xml:space="preserve"> the references </w:t>
      </w:r>
      <w:r w:rsidR="008E6430">
        <w:t>on which these LC</w:t>
      </w:r>
      <w:r w:rsidR="008E6430" w:rsidRPr="008E6430">
        <w:rPr>
          <w:vertAlign w:val="subscript"/>
        </w:rPr>
        <w:t>50</w:t>
      </w:r>
      <w:r w:rsidR="008E6430">
        <w:t xml:space="preserve"> values were based.  The 1995 edition has proved to be a sound basis for P200 and there are relatively few changes given the fact that scientific knowledge continues to advance.</w:t>
      </w:r>
    </w:p>
    <w:p w14:paraId="5BFC73FE" w14:textId="77777777" w:rsidR="00F65671" w:rsidRPr="00926AD6" w:rsidRDefault="00926AD6" w:rsidP="00926AD6">
      <w:pPr>
        <w:spacing w:before="240"/>
        <w:ind w:left="1134" w:right="1134"/>
        <w:jc w:val="center"/>
        <w:rPr>
          <w:u w:val="single"/>
        </w:rPr>
      </w:pPr>
      <w:r>
        <w:rPr>
          <w:u w:val="single"/>
        </w:rPr>
        <w:tab/>
      </w:r>
      <w:r>
        <w:rPr>
          <w:u w:val="single"/>
        </w:rPr>
        <w:tab/>
      </w:r>
      <w:r>
        <w:rPr>
          <w:u w:val="single"/>
        </w:rPr>
        <w:tab/>
      </w:r>
      <w:r>
        <w:rPr>
          <w:u w:val="single"/>
        </w:rPr>
        <w:tab/>
      </w:r>
    </w:p>
    <w:p w14:paraId="7EFAAF89" w14:textId="77777777" w:rsidR="005360FB" w:rsidRPr="007B2B1F" w:rsidRDefault="005360FB" w:rsidP="00F65671">
      <w:pPr>
        <w:jc w:val="center"/>
      </w:pPr>
    </w:p>
    <w:sectPr w:rsidR="005360FB" w:rsidRPr="007B2B1F" w:rsidSect="00181506">
      <w:headerReference w:type="even" r:id="rId9"/>
      <w:headerReference w:type="default" r:id="rId10"/>
      <w:footerReference w:type="even" r:id="rId11"/>
      <w:footerReference w:type="default" r:id="rId12"/>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DF814" w14:textId="77777777" w:rsidR="00536E88" w:rsidRDefault="00536E88"/>
  </w:endnote>
  <w:endnote w:type="continuationSeparator" w:id="0">
    <w:p w14:paraId="4499633D" w14:textId="77777777" w:rsidR="00536E88" w:rsidRDefault="00536E88"/>
  </w:endnote>
  <w:endnote w:type="continuationNotice" w:id="1">
    <w:p w14:paraId="2D21543A" w14:textId="77777777" w:rsidR="00536E88" w:rsidRDefault="00536E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BBBE9" w14:textId="77777777" w:rsidR="00AA6F5C" w:rsidRPr="009D2A5B" w:rsidRDefault="00AA6F5C"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DD4B42">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E18D4" w14:textId="77777777" w:rsidR="00AA6F5C" w:rsidRPr="009D2A5B" w:rsidRDefault="00AA6F5C"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DD4B42">
      <w:rPr>
        <w:b/>
        <w:noProof/>
        <w:sz w:val="18"/>
      </w:rPr>
      <w:t>3</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655E1" w14:textId="77777777" w:rsidR="00536E88" w:rsidRPr="000B175B" w:rsidRDefault="00536E88" w:rsidP="000B175B">
      <w:pPr>
        <w:tabs>
          <w:tab w:val="right" w:pos="2155"/>
        </w:tabs>
        <w:spacing w:after="80"/>
        <w:ind w:left="680"/>
        <w:rPr>
          <w:u w:val="single"/>
        </w:rPr>
      </w:pPr>
      <w:r>
        <w:rPr>
          <w:u w:val="single"/>
        </w:rPr>
        <w:tab/>
      </w:r>
    </w:p>
  </w:footnote>
  <w:footnote w:type="continuationSeparator" w:id="0">
    <w:p w14:paraId="3D1E2C48" w14:textId="77777777" w:rsidR="00536E88" w:rsidRPr="00FC68B7" w:rsidRDefault="00536E88" w:rsidP="00FC68B7">
      <w:pPr>
        <w:tabs>
          <w:tab w:val="left" w:pos="2155"/>
        </w:tabs>
        <w:spacing w:after="80"/>
        <w:ind w:left="680"/>
        <w:rPr>
          <w:u w:val="single"/>
        </w:rPr>
      </w:pPr>
      <w:r>
        <w:rPr>
          <w:u w:val="single"/>
        </w:rPr>
        <w:tab/>
      </w:r>
    </w:p>
  </w:footnote>
  <w:footnote w:type="continuationNotice" w:id="1">
    <w:p w14:paraId="0E2D3409" w14:textId="77777777" w:rsidR="00536E88" w:rsidRDefault="00536E88"/>
  </w:footnote>
  <w:footnote w:id="2">
    <w:p w14:paraId="58C9E7DA" w14:textId="7C1BA29F" w:rsidR="001F4E61" w:rsidRPr="001F4E61" w:rsidRDefault="001F4E61" w:rsidP="00316EB7">
      <w:pPr>
        <w:pStyle w:val="FootnoteText"/>
        <w:tabs>
          <w:tab w:val="left" w:pos="1418"/>
        </w:tabs>
        <w:ind w:firstLine="0"/>
        <w:rPr>
          <w:lang w:val="fr-CH"/>
        </w:rPr>
      </w:pPr>
      <w:r>
        <w:rPr>
          <w:rStyle w:val="FootnoteReference"/>
        </w:rPr>
        <w:footnoteRef/>
      </w:r>
      <w:r>
        <w:t xml:space="preserve"> </w:t>
      </w:r>
      <w:r w:rsidR="00316EB7">
        <w:tab/>
      </w:r>
      <w:r w:rsidRPr="0086261F">
        <w:rPr>
          <w:color w:val="000000"/>
          <w:lang w:eastAsia="en-GB"/>
        </w:rPr>
        <w:t>In accordance with the programme of work of the Sub-Committee for</w:t>
      </w:r>
      <w:r w:rsidRPr="0086261F">
        <w:t xml:space="preserve"> 201</w:t>
      </w:r>
      <w:r>
        <w:t>7</w:t>
      </w:r>
      <w:r w:rsidRPr="0086261F">
        <w:t>–201</w:t>
      </w:r>
      <w:r>
        <w:t>8</w:t>
      </w:r>
      <w:r w:rsidRPr="0086261F">
        <w:t xml:space="preserve"> approved by the Committee at its </w:t>
      </w:r>
      <w:r>
        <w:t>eigh</w:t>
      </w:r>
      <w:r w:rsidRPr="0086261F">
        <w:t>th session (see ST/SG/AC.10/C.3/</w:t>
      </w:r>
      <w:r w:rsidRPr="00284946">
        <w:t>100, paragra</w:t>
      </w:r>
      <w:r>
        <w:t>ph 98 and ST/SG/AC.10/44, para. </w:t>
      </w:r>
      <w:r w:rsidRPr="00284946">
        <w:t>14</w:t>
      </w:r>
      <w:r w:rsidRPr="0086261F">
        <w:t>)</w:t>
      </w:r>
      <w:r w:rsidRPr="0086261F">
        <w:rPr>
          <w:color w:val="000000"/>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E598" w14:textId="6F93D1E4" w:rsidR="00AA6F5C" w:rsidRPr="00023445" w:rsidRDefault="00AA6F5C" w:rsidP="00023445">
    <w:pPr>
      <w:pStyle w:val="Header"/>
      <w:rPr>
        <w:szCs w:val="18"/>
      </w:rPr>
    </w:pPr>
    <w:r w:rsidRPr="00023445">
      <w:rPr>
        <w:szCs w:val="18"/>
      </w:rPr>
      <w:t>S</w:t>
    </w:r>
    <w:r>
      <w:rPr>
        <w:szCs w:val="18"/>
      </w:rPr>
      <w:t>T/SG/AC.10/C.3/201</w:t>
    </w:r>
    <w:r w:rsidR="00A15A38">
      <w:rPr>
        <w:szCs w:val="18"/>
      </w:rPr>
      <w:t>8</w:t>
    </w:r>
    <w:r w:rsidR="00926AD6">
      <w:rPr>
        <w:szCs w:val="18"/>
      </w:rPr>
      <w:t>/</w:t>
    </w:r>
    <w:r w:rsidR="00943C9D">
      <w:rPr>
        <w:szCs w:val="18"/>
      </w:rPr>
      <w:t>66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F2FBE" w14:textId="642435AD" w:rsidR="00AA6F5C" w:rsidRPr="00023445" w:rsidRDefault="00AA6F5C" w:rsidP="00023445">
    <w:pPr>
      <w:pStyle w:val="Header"/>
      <w:jc w:val="right"/>
      <w:rPr>
        <w:szCs w:val="18"/>
      </w:rPr>
    </w:pPr>
    <w:r w:rsidRPr="00023445">
      <w:rPr>
        <w:szCs w:val="18"/>
      </w:rPr>
      <w:t>ST</w:t>
    </w:r>
    <w:r>
      <w:rPr>
        <w:szCs w:val="18"/>
      </w:rPr>
      <w:t>/SG/AC.10/C.3/201</w:t>
    </w:r>
    <w:r w:rsidR="00A15A38">
      <w:rPr>
        <w:szCs w:val="18"/>
      </w:rPr>
      <w:t>8</w:t>
    </w:r>
    <w:r w:rsidR="00943C9D">
      <w:rPr>
        <w:szCs w:val="18"/>
      </w:rPr>
      <w:t>/66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D444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3C5898"/>
    <w:multiLevelType w:val="hybridMultilevel"/>
    <w:tmpl w:val="46CA02CC"/>
    <w:lvl w:ilvl="0" w:tplc="1528F3B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15:restartNumberingAfterBreak="0">
    <w:nsid w:val="0E212C73"/>
    <w:multiLevelType w:val="multilevel"/>
    <w:tmpl w:val="DF30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0AC37C2"/>
    <w:multiLevelType w:val="hybridMultilevel"/>
    <w:tmpl w:val="26AE626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240A41"/>
    <w:multiLevelType w:val="hybridMultilevel"/>
    <w:tmpl w:val="07CC6F4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670FF4"/>
    <w:multiLevelType w:val="hybridMultilevel"/>
    <w:tmpl w:val="7534A8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7954A9"/>
    <w:multiLevelType w:val="hybridMultilevel"/>
    <w:tmpl w:val="3C5285AC"/>
    <w:lvl w:ilvl="0" w:tplc="1528F3B0">
      <w:numFmt w:val="bullet"/>
      <w:lvlText w:val="—"/>
      <w:lvlJc w:val="left"/>
      <w:pPr>
        <w:ind w:left="1494"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6512C4"/>
    <w:multiLevelType w:val="hybridMultilevel"/>
    <w:tmpl w:val="A61AA302"/>
    <w:lvl w:ilvl="0" w:tplc="13286ADC">
      <w:start w:val="1"/>
      <w:numFmt w:val="decimal"/>
      <w:lvlText w:val="%1."/>
      <w:lvlJc w:val="left"/>
      <w:pPr>
        <w:ind w:left="1495" w:hanging="360"/>
      </w:pPr>
      <w:rPr>
        <w:rFonts w:hint="default"/>
        <w:strike w:val="0"/>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70704973"/>
    <w:multiLevelType w:val="hybridMultilevel"/>
    <w:tmpl w:val="2BE8D6B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19"/>
  </w:num>
  <w:num w:numId="12">
    <w:abstractNumId w:val="17"/>
  </w:num>
  <w:num w:numId="13">
    <w:abstractNumId w:val="11"/>
  </w:num>
  <w:num w:numId="14">
    <w:abstractNumId w:val="23"/>
  </w:num>
  <w:num w:numId="15">
    <w:abstractNumId w:val="16"/>
  </w:num>
  <w:num w:numId="16">
    <w:abstractNumId w:val="12"/>
  </w:num>
  <w:num w:numId="17">
    <w:abstractNumId w:val="0"/>
  </w:num>
  <w:num w:numId="18">
    <w:abstractNumId w:val="14"/>
  </w:num>
  <w:num w:numId="19">
    <w:abstractNumId w:val="18"/>
  </w:num>
  <w:num w:numId="20">
    <w:abstractNumId w:val="24"/>
  </w:num>
  <w:num w:numId="21">
    <w:abstractNumId w:val="13"/>
  </w:num>
  <w:num w:numId="22">
    <w:abstractNumId w:val="21"/>
  </w:num>
  <w:num w:numId="23">
    <w:abstractNumId w:val="15"/>
  </w:num>
  <w:num w:numId="24">
    <w:abstractNumId w:val="20"/>
  </w:num>
  <w:num w:numId="25">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4041"/>
    <w:rsid w:val="000062D2"/>
    <w:rsid w:val="00007271"/>
    <w:rsid w:val="00021776"/>
    <w:rsid w:val="00023445"/>
    <w:rsid w:val="000274B3"/>
    <w:rsid w:val="00030391"/>
    <w:rsid w:val="00037350"/>
    <w:rsid w:val="00037C49"/>
    <w:rsid w:val="00037F90"/>
    <w:rsid w:val="00040355"/>
    <w:rsid w:val="00046B1F"/>
    <w:rsid w:val="00050F6B"/>
    <w:rsid w:val="00051986"/>
    <w:rsid w:val="00051B9C"/>
    <w:rsid w:val="00057447"/>
    <w:rsid w:val="00057E97"/>
    <w:rsid w:val="00066DF5"/>
    <w:rsid w:val="0006793E"/>
    <w:rsid w:val="00072C8C"/>
    <w:rsid w:val="000733B5"/>
    <w:rsid w:val="00077628"/>
    <w:rsid w:val="00081815"/>
    <w:rsid w:val="000862B1"/>
    <w:rsid w:val="00087B55"/>
    <w:rsid w:val="0009003C"/>
    <w:rsid w:val="0009020C"/>
    <w:rsid w:val="000931C0"/>
    <w:rsid w:val="000972A0"/>
    <w:rsid w:val="000B0595"/>
    <w:rsid w:val="000B175B"/>
    <w:rsid w:val="000B3A0F"/>
    <w:rsid w:val="000B4EF7"/>
    <w:rsid w:val="000B57A4"/>
    <w:rsid w:val="000B75BF"/>
    <w:rsid w:val="000C15A9"/>
    <w:rsid w:val="000C2C03"/>
    <w:rsid w:val="000C2D2E"/>
    <w:rsid w:val="000C4D51"/>
    <w:rsid w:val="000C5384"/>
    <w:rsid w:val="000D2F52"/>
    <w:rsid w:val="000E0415"/>
    <w:rsid w:val="000E47CA"/>
    <w:rsid w:val="000F220A"/>
    <w:rsid w:val="000F3402"/>
    <w:rsid w:val="00107320"/>
    <w:rsid w:val="001103AA"/>
    <w:rsid w:val="00111981"/>
    <w:rsid w:val="00112D01"/>
    <w:rsid w:val="0011666B"/>
    <w:rsid w:val="00117D3E"/>
    <w:rsid w:val="00121DE7"/>
    <w:rsid w:val="001234B8"/>
    <w:rsid w:val="00124839"/>
    <w:rsid w:val="001275B3"/>
    <w:rsid w:val="001370F8"/>
    <w:rsid w:val="00152433"/>
    <w:rsid w:val="00153694"/>
    <w:rsid w:val="00154A06"/>
    <w:rsid w:val="00155068"/>
    <w:rsid w:val="001608CE"/>
    <w:rsid w:val="00160E58"/>
    <w:rsid w:val="00165F3A"/>
    <w:rsid w:val="00173E78"/>
    <w:rsid w:val="00181506"/>
    <w:rsid w:val="00183C52"/>
    <w:rsid w:val="00197FE9"/>
    <w:rsid w:val="001A3501"/>
    <w:rsid w:val="001A354A"/>
    <w:rsid w:val="001A7493"/>
    <w:rsid w:val="001B13A5"/>
    <w:rsid w:val="001B4B04"/>
    <w:rsid w:val="001C526E"/>
    <w:rsid w:val="001C6663"/>
    <w:rsid w:val="001C7895"/>
    <w:rsid w:val="001C7C7A"/>
    <w:rsid w:val="001D0C8C"/>
    <w:rsid w:val="001D1419"/>
    <w:rsid w:val="001D26DF"/>
    <w:rsid w:val="001D3A03"/>
    <w:rsid w:val="001D7F46"/>
    <w:rsid w:val="001E0B9E"/>
    <w:rsid w:val="001E7B67"/>
    <w:rsid w:val="001F21BB"/>
    <w:rsid w:val="001F4E61"/>
    <w:rsid w:val="001F602E"/>
    <w:rsid w:val="001F7435"/>
    <w:rsid w:val="00202CD0"/>
    <w:rsid w:val="00202DA8"/>
    <w:rsid w:val="0021157B"/>
    <w:rsid w:val="00211E0B"/>
    <w:rsid w:val="00227C99"/>
    <w:rsid w:val="00231BA1"/>
    <w:rsid w:val="00234C80"/>
    <w:rsid w:val="0025047F"/>
    <w:rsid w:val="00260C8D"/>
    <w:rsid w:val="002653E7"/>
    <w:rsid w:val="00267F5F"/>
    <w:rsid w:val="00274EB4"/>
    <w:rsid w:val="00282200"/>
    <w:rsid w:val="002865FA"/>
    <w:rsid w:val="00286B4D"/>
    <w:rsid w:val="0029019D"/>
    <w:rsid w:val="0029049E"/>
    <w:rsid w:val="0029750B"/>
    <w:rsid w:val="00297EA8"/>
    <w:rsid w:val="002A4361"/>
    <w:rsid w:val="002A523D"/>
    <w:rsid w:val="002A603B"/>
    <w:rsid w:val="002A6B8F"/>
    <w:rsid w:val="002C03A0"/>
    <w:rsid w:val="002C18EF"/>
    <w:rsid w:val="002C674A"/>
    <w:rsid w:val="002D4643"/>
    <w:rsid w:val="002D4B6C"/>
    <w:rsid w:val="002E09CE"/>
    <w:rsid w:val="002F175C"/>
    <w:rsid w:val="003027FF"/>
    <w:rsid w:val="00302E18"/>
    <w:rsid w:val="0030721A"/>
    <w:rsid w:val="00307AB6"/>
    <w:rsid w:val="00311AF1"/>
    <w:rsid w:val="00316EB7"/>
    <w:rsid w:val="00320B22"/>
    <w:rsid w:val="003229D8"/>
    <w:rsid w:val="0034446B"/>
    <w:rsid w:val="00344559"/>
    <w:rsid w:val="003453B6"/>
    <w:rsid w:val="003461FF"/>
    <w:rsid w:val="00347DDB"/>
    <w:rsid w:val="00350DA4"/>
    <w:rsid w:val="00352709"/>
    <w:rsid w:val="00363336"/>
    <w:rsid w:val="00371178"/>
    <w:rsid w:val="00383179"/>
    <w:rsid w:val="00387415"/>
    <w:rsid w:val="00392301"/>
    <w:rsid w:val="003927BA"/>
    <w:rsid w:val="00392DE1"/>
    <w:rsid w:val="003A0690"/>
    <w:rsid w:val="003A6810"/>
    <w:rsid w:val="003B1CA9"/>
    <w:rsid w:val="003B4A67"/>
    <w:rsid w:val="003B5F03"/>
    <w:rsid w:val="003C2CC4"/>
    <w:rsid w:val="003D4B23"/>
    <w:rsid w:val="003E312F"/>
    <w:rsid w:val="003E3D8A"/>
    <w:rsid w:val="003E7B83"/>
    <w:rsid w:val="00407087"/>
    <w:rsid w:val="00410C89"/>
    <w:rsid w:val="0042129D"/>
    <w:rsid w:val="00422E03"/>
    <w:rsid w:val="00425DBB"/>
    <w:rsid w:val="00426B9B"/>
    <w:rsid w:val="004325CB"/>
    <w:rsid w:val="0043402F"/>
    <w:rsid w:val="00442A83"/>
    <w:rsid w:val="0045413A"/>
    <w:rsid w:val="0045495B"/>
    <w:rsid w:val="0048397A"/>
    <w:rsid w:val="0049323F"/>
    <w:rsid w:val="004A0E10"/>
    <w:rsid w:val="004A12F2"/>
    <w:rsid w:val="004B4482"/>
    <w:rsid w:val="004B64EB"/>
    <w:rsid w:val="004C2461"/>
    <w:rsid w:val="004C333F"/>
    <w:rsid w:val="004C4010"/>
    <w:rsid w:val="004C40B9"/>
    <w:rsid w:val="004C4EE9"/>
    <w:rsid w:val="004C7462"/>
    <w:rsid w:val="004D4E04"/>
    <w:rsid w:val="004D5426"/>
    <w:rsid w:val="004D5ABD"/>
    <w:rsid w:val="004D7E81"/>
    <w:rsid w:val="004E0C05"/>
    <w:rsid w:val="004E15A8"/>
    <w:rsid w:val="004E4A1D"/>
    <w:rsid w:val="004E5A51"/>
    <w:rsid w:val="004E77B2"/>
    <w:rsid w:val="004F2161"/>
    <w:rsid w:val="004F2670"/>
    <w:rsid w:val="00503DEB"/>
    <w:rsid w:val="00504B2D"/>
    <w:rsid w:val="0052136D"/>
    <w:rsid w:val="00522B58"/>
    <w:rsid w:val="0052775E"/>
    <w:rsid w:val="00527D3F"/>
    <w:rsid w:val="00533623"/>
    <w:rsid w:val="00535C90"/>
    <w:rsid w:val="005360FB"/>
    <w:rsid w:val="00536E88"/>
    <w:rsid w:val="005413FA"/>
    <w:rsid w:val="005420F2"/>
    <w:rsid w:val="00544E1B"/>
    <w:rsid w:val="0054542B"/>
    <w:rsid w:val="00546993"/>
    <w:rsid w:val="00552A39"/>
    <w:rsid w:val="005561E5"/>
    <w:rsid w:val="00560D99"/>
    <w:rsid w:val="005628B6"/>
    <w:rsid w:val="00583D86"/>
    <w:rsid w:val="005850BD"/>
    <w:rsid w:val="00591D40"/>
    <w:rsid w:val="005A575C"/>
    <w:rsid w:val="005B3DB3"/>
    <w:rsid w:val="005B4E13"/>
    <w:rsid w:val="005B6F4B"/>
    <w:rsid w:val="005B7982"/>
    <w:rsid w:val="005C6FBC"/>
    <w:rsid w:val="005D2A2F"/>
    <w:rsid w:val="005D2D66"/>
    <w:rsid w:val="005D4BE6"/>
    <w:rsid w:val="005D68F4"/>
    <w:rsid w:val="005E6A77"/>
    <w:rsid w:val="005F13F1"/>
    <w:rsid w:val="005F6DF9"/>
    <w:rsid w:val="005F7B75"/>
    <w:rsid w:val="006001EE"/>
    <w:rsid w:val="006002FE"/>
    <w:rsid w:val="00605042"/>
    <w:rsid w:val="00605B54"/>
    <w:rsid w:val="00611232"/>
    <w:rsid w:val="00611681"/>
    <w:rsid w:val="00611FC4"/>
    <w:rsid w:val="00613196"/>
    <w:rsid w:val="006174F9"/>
    <w:rsid w:val="006176FB"/>
    <w:rsid w:val="00621BDE"/>
    <w:rsid w:val="00622024"/>
    <w:rsid w:val="00625568"/>
    <w:rsid w:val="00634B2E"/>
    <w:rsid w:val="00640B26"/>
    <w:rsid w:val="00652D0A"/>
    <w:rsid w:val="006623D5"/>
    <w:rsid w:val="00662BB6"/>
    <w:rsid w:val="00667F8F"/>
    <w:rsid w:val="00675ACA"/>
    <w:rsid w:val="00682C07"/>
    <w:rsid w:val="00684C21"/>
    <w:rsid w:val="006A155E"/>
    <w:rsid w:val="006A2530"/>
    <w:rsid w:val="006A6E31"/>
    <w:rsid w:val="006B30B8"/>
    <w:rsid w:val="006B469E"/>
    <w:rsid w:val="006B5767"/>
    <w:rsid w:val="006C1296"/>
    <w:rsid w:val="006C3589"/>
    <w:rsid w:val="006C4652"/>
    <w:rsid w:val="006C5451"/>
    <w:rsid w:val="006C779F"/>
    <w:rsid w:val="006D37AF"/>
    <w:rsid w:val="006D3E0B"/>
    <w:rsid w:val="006D51D0"/>
    <w:rsid w:val="006E564B"/>
    <w:rsid w:val="006E638E"/>
    <w:rsid w:val="006E7191"/>
    <w:rsid w:val="006F01EF"/>
    <w:rsid w:val="006F0204"/>
    <w:rsid w:val="006F0DDB"/>
    <w:rsid w:val="006F184C"/>
    <w:rsid w:val="006F33DD"/>
    <w:rsid w:val="00700EE8"/>
    <w:rsid w:val="00703577"/>
    <w:rsid w:val="00705894"/>
    <w:rsid w:val="00715700"/>
    <w:rsid w:val="00720D0C"/>
    <w:rsid w:val="0072632A"/>
    <w:rsid w:val="00731FF0"/>
    <w:rsid w:val="007327D5"/>
    <w:rsid w:val="00741709"/>
    <w:rsid w:val="007429B8"/>
    <w:rsid w:val="007567AF"/>
    <w:rsid w:val="007611CF"/>
    <w:rsid w:val="007629C8"/>
    <w:rsid w:val="007642A4"/>
    <w:rsid w:val="0077047D"/>
    <w:rsid w:val="00774240"/>
    <w:rsid w:val="0078065F"/>
    <w:rsid w:val="00783E37"/>
    <w:rsid w:val="00786E2F"/>
    <w:rsid w:val="007A2287"/>
    <w:rsid w:val="007B2B1F"/>
    <w:rsid w:val="007B6BA5"/>
    <w:rsid w:val="007C3390"/>
    <w:rsid w:val="007C4F4B"/>
    <w:rsid w:val="007E01E9"/>
    <w:rsid w:val="007E63F3"/>
    <w:rsid w:val="007F1888"/>
    <w:rsid w:val="007F6611"/>
    <w:rsid w:val="007F7106"/>
    <w:rsid w:val="008100FC"/>
    <w:rsid w:val="00811920"/>
    <w:rsid w:val="00815AD0"/>
    <w:rsid w:val="00817DBA"/>
    <w:rsid w:val="008242D7"/>
    <w:rsid w:val="008257B1"/>
    <w:rsid w:val="00826E9A"/>
    <w:rsid w:val="00843767"/>
    <w:rsid w:val="008458AA"/>
    <w:rsid w:val="008521A5"/>
    <w:rsid w:val="00853EBC"/>
    <w:rsid w:val="0086081B"/>
    <w:rsid w:val="0086171D"/>
    <w:rsid w:val="008679D9"/>
    <w:rsid w:val="00870542"/>
    <w:rsid w:val="00871389"/>
    <w:rsid w:val="00872459"/>
    <w:rsid w:val="00872DFA"/>
    <w:rsid w:val="008760E8"/>
    <w:rsid w:val="00882E80"/>
    <w:rsid w:val="00883999"/>
    <w:rsid w:val="00885B73"/>
    <w:rsid w:val="00887899"/>
    <w:rsid w:val="008878DE"/>
    <w:rsid w:val="008912EC"/>
    <w:rsid w:val="00892603"/>
    <w:rsid w:val="008979B1"/>
    <w:rsid w:val="008A6B25"/>
    <w:rsid w:val="008A6C4F"/>
    <w:rsid w:val="008B2335"/>
    <w:rsid w:val="008B5DF2"/>
    <w:rsid w:val="008B717B"/>
    <w:rsid w:val="008D2DF0"/>
    <w:rsid w:val="008D6F3C"/>
    <w:rsid w:val="008E0678"/>
    <w:rsid w:val="008E57F4"/>
    <w:rsid w:val="008E6430"/>
    <w:rsid w:val="008F03AD"/>
    <w:rsid w:val="0090194D"/>
    <w:rsid w:val="009079FF"/>
    <w:rsid w:val="00910A62"/>
    <w:rsid w:val="009119B2"/>
    <w:rsid w:val="0091237E"/>
    <w:rsid w:val="00916E19"/>
    <w:rsid w:val="009223CA"/>
    <w:rsid w:val="00926AD6"/>
    <w:rsid w:val="00927A75"/>
    <w:rsid w:val="009321E8"/>
    <w:rsid w:val="00932F3F"/>
    <w:rsid w:val="0093509F"/>
    <w:rsid w:val="00940F93"/>
    <w:rsid w:val="0094154D"/>
    <w:rsid w:val="00943C9D"/>
    <w:rsid w:val="00944398"/>
    <w:rsid w:val="0094558F"/>
    <w:rsid w:val="00954711"/>
    <w:rsid w:val="009554F4"/>
    <w:rsid w:val="009603D2"/>
    <w:rsid w:val="009605B0"/>
    <w:rsid w:val="00961690"/>
    <w:rsid w:val="00962F62"/>
    <w:rsid w:val="00965EE3"/>
    <w:rsid w:val="009665DB"/>
    <w:rsid w:val="00972CFB"/>
    <w:rsid w:val="009730AF"/>
    <w:rsid w:val="009760F3"/>
    <w:rsid w:val="009839CD"/>
    <w:rsid w:val="00983C3B"/>
    <w:rsid w:val="009873ED"/>
    <w:rsid w:val="00991F58"/>
    <w:rsid w:val="009969E0"/>
    <w:rsid w:val="009A016F"/>
    <w:rsid w:val="009A0E8D"/>
    <w:rsid w:val="009A0F88"/>
    <w:rsid w:val="009B1518"/>
    <w:rsid w:val="009B26E7"/>
    <w:rsid w:val="009C454F"/>
    <w:rsid w:val="009D2A5B"/>
    <w:rsid w:val="009E7FD0"/>
    <w:rsid w:val="009F1873"/>
    <w:rsid w:val="009F4DE9"/>
    <w:rsid w:val="009F6A26"/>
    <w:rsid w:val="00A00A3F"/>
    <w:rsid w:val="00A01489"/>
    <w:rsid w:val="00A14A62"/>
    <w:rsid w:val="00A15A38"/>
    <w:rsid w:val="00A176A0"/>
    <w:rsid w:val="00A17DBF"/>
    <w:rsid w:val="00A2573C"/>
    <w:rsid w:val="00A3009E"/>
    <w:rsid w:val="00A3026E"/>
    <w:rsid w:val="00A338F1"/>
    <w:rsid w:val="00A35910"/>
    <w:rsid w:val="00A36DE6"/>
    <w:rsid w:val="00A43CEC"/>
    <w:rsid w:val="00A51C2B"/>
    <w:rsid w:val="00A658A6"/>
    <w:rsid w:val="00A72F22"/>
    <w:rsid w:val="00A7360F"/>
    <w:rsid w:val="00A748A6"/>
    <w:rsid w:val="00A74AB0"/>
    <w:rsid w:val="00A769F4"/>
    <w:rsid w:val="00A776B4"/>
    <w:rsid w:val="00A9176C"/>
    <w:rsid w:val="00A94361"/>
    <w:rsid w:val="00A9587B"/>
    <w:rsid w:val="00A97439"/>
    <w:rsid w:val="00AA293C"/>
    <w:rsid w:val="00AA3817"/>
    <w:rsid w:val="00AA4BD0"/>
    <w:rsid w:val="00AA6F5C"/>
    <w:rsid w:val="00AB1C7D"/>
    <w:rsid w:val="00AB232E"/>
    <w:rsid w:val="00AC6790"/>
    <w:rsid w:val="00AC72CA"/>
    <w:rsid w:val="00AE0FDA"/>
    <w:rsid w:val="00AE1804"/>
    <w:rsid w:val="00AE4A41"/>
    <w:rsid w:val="00AE76C0"/>
    <w:rsid w:val="00AF0E53"/>
    <w:rsid w:val="00B04B62"/>
    <w:rsid w:val="00B0538F"/>
    <w:rsid w:val="00B11BB4"/>
    <w:rsid w:val="00B136A4"/>
    <w:rsid w:val="00B17C85"/>
    <w:rsid w:val="00B22BC2"/>
    <w:rsid w:val="00B240A1"/>
    <w:rsid w:val="00B24349"/>
    <w:rsid w:val="00B26431"/>
    <w:rsid w:val="00B30179"/>
    <w:rsid w:val="00B31374"/>
    <w:rsid w:val="00B31895"/>
    <w:rsid w:val="00B421C1"/>
    <w:rsid w:val="00B45128"/>
    <w:rsid w:val="00B50037"/>
    <w:rsid w:val="00B518AA"/>
    <w:rsid w:val="00B54EAD"/>
    <w:rsid w:val="00B55C71"/>
    <w:rsid w:val="00B56E4A"/>
    <w:rsid w:val="00B56E9C"/>
    <w:rsid w:val="00B61320"/>
    <w:rsid w:val="00B64B1F"/>
    <w:rsid w:val="00B6553F"/>
    <w:rsid w:val="00B70F1E"/>
    <w:rsid w:val="00B71FF3"/>
    <w:rsid w:val="00B77D05"/>
    <w:rsid w:val="00B81206"/>
    <w:rsid w:val="00B81E12"/>
    <w:rsid w:val="00B858B2"/>
    <w:rsid w:val="00B86014"/>
    <w:rsid w:val="00B9414F"/>
    <w:rsid w:val="00BA4ED2"/>
    <w:rsid w:val="00BB7CD1"/>
    <w:rsid w:val="00BC38BF"/>
    <w:rsid w:val="00BC3FA0"/>
    <w:rsid w:val="00BC74E9"/>
    <w:rsid w:val="00BC7776"/>
    <w:rsid w:val="00BD28B6"/>
    <w:rsid w:val="00BE73BF"/>
    <w:rsid w:val="00BF68A8"/>
    <w:rsid w:val="00C00584"/>
    <w:rsid w:val="00C050DF"/>
    <w:rsid w:val="00C10FE6"/>
    <w:rsid w:val="00C11A03"/>
    <w:rsid w:val="00C14945"/>
    <w:rsid w:val="00C22C0C"/>
    <w:rsid w:val="00C33595"/>
    <w:rsid w:val="00C37144"/>
    <w:rsid w:val="00C40026"/>
    <w:rsid w:val="00C42B3C"/>
    <w:rsid w:val="00C4527F"/>
    <w:rsid w:val="00C463DD"/>
    <w:rsid w:val="00C4724C"/>
    <w:rsid w:val="00C557D6"/>
    <w:rsid w:val="00C60319"/>
    <w:rsid w:val="00C629A0"/>
    <w:rsid w:val="00C62C07"/>
    <w:rsid w:val="00C63D2D"/>
    <w:rsid w:val="00C64629"/>
    <w:rsid w:val="00C66798"/>
    <w:rsid w:val="00C745C3"/>
    <w:rsid w:val="00C84A21"/>
    <w:rsid w:val="00C90189"/>
    <w:rsid w:val="00CB3E03"/>
    <w:rsid w:val="00CB5F93"/>
    <w:rsid w:val="00CC1ADB"/>
    <w:rsid w:val="00CD305F"/>
    <w:rsid w:val="00CD6056"/>
    <w:rsid w:val="00CE4A8F"/>
    <w:rsid w:val="00CE53C4"/>
    <w:rsid w:val="00CF559A"/>
    <w:rsid w:val="00D0663B"/>
    <w:rsid w:val="00D07D06"/>
    <w:rsid w:val="00D17DC5"/>
    <w:rsid w:val="00D2031B"/>
    <w:rsid w:val="00D25FE2"/>
    <w:rsid w:val="00D43252"/>
    <w:rsid w:val="00D47EEA"/>
    <w:rsid w:val="00D550D4"/>
    <w:rsid w:val="00D669EA"/>
    <w:rsid w:val="00D66F7C"/>
    <w:rsid w:val="00D67142"/>
    <w:rsid w:val="00D773DF"/>
    <w:rsid w:val="00D838E4"/>
    <w:rsid w:val="00D84C5B"/>
    <w:rsid w:val="00D85E66"/>
    <w:rsid w:val="00D9255F"/>
    <w:rsid w:val="00D94663"/>
    <w:rsid w:val="00D95303"/>
    <w:rsid w:val="00D978C6"/>
    <w:rsid w:val="00DA3C1C"/>
    <w:rsid w:val="00DA6DAD"/>
    <w:rsid w:val="00DB6229"/>
    <w:rsid w:val="00DB62C7"/>
    <w:rsid w:val="00DC179E"/>
    <w:rsid w:val="00DD4B42"/>
    <w:rsid w:val="00DD6F43"/>
    <w:rsid w:val="00DE4B5B"/>
    <w:rsid w:val="00DF1772"/>
    <w:rsid w:val="00DF469C"/>
    <w:rsid w:val="00DF7EE9"/>
    <w:rsid w:val="00E0214B"/>
    <w:rsid w:val="00E046DF"/>
    <w:rsid w:val="00E1261E"/>
    <w:rsid w:val="00E15557"/>
    <w:rsid w:val="00E240D2"/>
    <w:rsid w:val="00E27346"/>
    <w:rsid w:val="00E300A7"/>
    <w:rsid w:val="00E36F73"/>
    <w:rsid w:val="00E41E29"/>
    <w:rsid w:val="00E428FB"/>
    <w:rsid w:val="00E46DAD"/>
    <w:rsid w:val="00E536D3"/>
    <w:rsid w:val="00E54C9E"/>
    <w:rsid w:val="00E71132"/>
    <w:rsid w:val="00E71610"/>
    <w:rsid w:val="00E71BC8"/>
    <w:rsid w:val="00E7260F"/>
    <w:rsid w:val="00E73F5D"/>
    <w:rsid w:val="00E77E4E"/>
    <w:rsid w:val="00E822CB"/>
    <w:rsid w:val="00E86A12"/>
    <w:rsid w:val="00E92A64"/>
    <w:rsid w:val="00E96630"/>
    <w:rsid w:val="00EB2884"/>
    <w:rsid w:val="00EC106A"/>
    <w:rsid w:val="00EC22C2"/>
    <w:rsid w:val="00EC5341"/>
    <w:rsid w:val="00EC73C8"/>
    <w:rsid w:val="00ED32D3"/>
    <w:rsid w:val="00ED7A2A"/>
    <w:rsid w:val="00EE10AF"/>
    <w:rsid w:val="00EE2A6C"/>
    <w:rsid w:val="00EE32ED"/>
    <w:rsid w:val="00EE61F4"/>
    <w:rsid w:val="00EE6B3A"/>
    <w:rsid w:val="00EF1D7F"/>
    <w:rsid w:val="00F009F4"/>
    <w:rsid w:val="00F049A3"/>
    <w:rsid w:val="00F15FDD"/>
    <w:rsid w:val="00F2270C"/>
    <w:rsid w:val="00F2392F"/>
    <w:rsid w:val="00F31E5F"/>
    <w:rsid w:val="00F32BB7"/>
    <w:rsid w:val="00F37110"/>
    <w:rsid w:val="00F44668"/>
    <w:rsid w:val="00F454F0"/>
    <w:rsid w:val="00F54F54"/>
    <w:rsid w:val="00F60BA4"/>
    <w:rsid w:val="00F6100A"/>
    <w:rsid w:val="00F61ACB"/>
    <w:rsid w:val="00F65671"/>
    <w:rsid w:val="00F66565"/>
    <w:rsid w:val="00F72EB8"/>
    <w:rsid w:val="00F74D57"/>
    <w:rsid w:val="00F76B2F"/>
    <w:rsid w:val="00F8144A"/>
    <w:rsid w:val="00F84187"/>
    <w:rsid w:val="00F90C80"/>
    <w:rsid w:val="00F93781"/>
    <w:rsid w:val="00FA2FE2"/>
    <w:rsid w:val="00FA7D7F"/>
    <w:rsid w:val="00FB1B60"/>
    <w:rsid w:val="00FB4DF6"/>
    <w:rsid w:val="00FB613B"/>
    <w:rsid w:val="00FC302D"/>
    <w:rsid w:val="00FC68B7"/>
    <w:rsid w:val="00FC6BBC"/>
    <w:rsid w:val="00FC7CF8"/>
    <w:rsid w:val="00FD1538"/>
    <w:rsid w:val="00FE106A"/>
    <w:rsid w:val="00FE298B"/>
    <w:rsid w:val="00FE595C"/>
    <w:rsid w:val="00FF145D"/>
    <w:rsid w:val="00FF190E"/>
    <w:rsid w:val="00FF600F"/>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6816AC"/>
  <w14:defaultImageDpi w14:val="300"/>
  <w15:chartTrackingRefBased/>
  <w15:docId w15:val="{1C78720D-0E05-49F1-9D2F-DE6055C8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eastAsia="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paragraph" w:customStyle="1" w:styleId="Default">
    <w:name w:val="Default"/>
    <w:rsid w:val="00202CD0"/>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81506"/>
    <w:rPr>
      <w:b/>
      <w:sz w:val="28"/>
      <w:lang w:val="en-GB"/>
    </w:rPr>
  </w:style>
  <w:style w:type="character" w:customStyle="1" w:styleId="SingleTxtGChar">
    <w:name w:val="_ Single Txt_G Char"/>
    <w:link w:val="SingleTxtG"/>
    <w:rsid w:val="009839CD"/>
  </w:style>
  <w:style w:type="paragraph" w:styleId="ListParagraph">
    <w:name w:val="List Paragraph"/>
    <w:basedOn w:val="Normal"/>
    <w:uiPriority w:val="34"/>
    <w:qFormat/>
    <w:rsid w:val="00B50037"/>
    <w:pPr>
      <w:ind w:left="720"/>
      <w:contextualSpacing/>
    </w:pPr>
  </w:style>
  <w:style w:type="paragraph" w:styleId="CommentSubject">
    <w:name w:val="annotation subject"/>
    <w:basedOn w:val="CommentText"/>
    <w:next w:val="CommentText"/>
    <w:link w:val="CommentSubjectChar"/>
    <w:rsid w:val="004E4A1D"/>
    <w:pPr>
      <w:spacing w:line="240" w:lineRule="auto"/>
    </w:pPr>
    <w:rPr>
      <w:b/>
      <w:bCs/>
    </w:rPr>
  </w:style>
  <w:style w:type="character" w:customStyle="1" w:styleId="CommentTextChar">
    <w:name w:val="Comment Text Char"/>
    <w:basedOn w:val="DefaultParagraphFont"/>
    <w:link w:val="CommentText"/>
    <w:semiHidden/>
    <w:rsid w:val="004E4A1D"/>
    <w:rPr>
      <w:lang w:eastAsia="en-US"/>
    </w:rPr>
  </w:style>
  <w:style w:type="character" w:customStyle="1" w:styleId="CommentSubjectChar">
    <w:name w:val="Comment Subject Char"/>
    <w:basedOn w:val="CommentTextChar"/>
    <w:link w:val="CommentSubject"/>
    <w:rsid w:val="004E4A1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15936">
      <w:bodyDiv w:val="1"/>
      <w:marLeft w:val="0"/>
      <w:marRight w:val="0"/>
      <w:marTop w:val="0"/>
      <w:marBottom w:val="0"/>
      <w:divBdr>
        <w:top w:val="none" w:sz="0" w:space="0" w:color="auto"/>
        <w:left w:val="none" w:sz="0" w:space="0" w:color="auto"/>
        <w:bottom w:val="none" w:sz="0" w:space="0" w:color="auto"/>
        <w:right w:val="none" w:sz="0" w:space="0" w:color="auto"/>
      </w:divBdr>
      <w:divsChild>
        <w:div w:id="1246106037">
          <w:marLeft w:val="-8325"/>
          <w:marRight w:val="0"/>
          <w:marTop w:val="0"/>
          <w:marBottom w:val="0"/>
          <w:divBdr>
            <w:top w:val="none" w:sz="0" w:space="0" w:color="auto"/>
            <w:left w:val="none" w:sz="0" w:space="0" w:color="auto"/>
            <w:bottom w:val="none" w:sz="0" w:space="0" w:color="auto"/>
            <w:right w:val="none" w:sz="0" w:space="0" w:color="auto"/>
          </w:divBdr>
        </w:div>
        <w:div w:id="1290286841">
          <w:marLeft w:val="0"/>
          <w:marRight w:val="0"/>
          <w:marTop w:val="0"/>
          <w:marBottom w:val="0"/>
          <w:divBdr>
            <w:top w:val="none" w:sz="0" w:space="0" w:color="auto"/>
            <w:left w:val="none" w:sz="0" w:space="0" w:color="auto"/>
            <w:bottom w:val="none" w:sz="0" w:space="0" w:color="auto"/>
            <w:right w:val="none" w:sz="0" w:space="0" w:color="auto"/>
          </w:divBdr>
        </w:div>
      </w:divsChild>
    </w:div>
    <w:div w:id="439423516">
      <w:bodyDiv w:val="1"/>
      <w:marLeft w:val="0"/>
      <w:marRight w:val="0"/>
      <w:marTop w:val="0"/>
      <w:marBottom w:val="0"/>
      <w:divBdr>
        <w:top w:val="none" w:sz="0" w:space="0" w:color="auto"/>
        <w:left w:val="none" w:sz="0" w:space="0" w:color="auto"/>
        <w:bottom w:val="none" w:sz="0" w:space="0" w:color="auto"/>
        <w:right w:val="none" w:sz="0" w:space="0" w:color="auto"/>
      </w:divBdr>
    </w:div>
    <w:div w:id="449012072">
      <w:bodyDiv w:val="1"/>
      <w:marLeft w:val="0"/>
      <w:marRight w:val="0"/>
      <w:marTop w:val="0"/>
      <w:marBottom w:val="0"/>
      <w:divBdr>
        <w:top w:val="none" w:sz="0" w:space="0" w:color="auto"/>
        <w:left w:val="none" w:sz="0" w:space="0" w:color="auto"/>
        <w:bottom w:val="none" w:sz="0" w:space="0" w:color="auto"/>
        <w:right w:val="none" w:sz="0" w:space="0" w:color="auto"/>
      </w:divBdr>
    </w:div>
    <w:div w:id="474613976">
      <w:bodyDiv w:val="1"/>
      <w:marLeft w:val="0"/>
      <w:marRight w:val="0"/>
      <w:marTop w:val="0"/>
      <w:marBottom w:val="0"/>
      <w:divBdr>
        <w:top w:val="none" w:sz="0" w:space="0" w:color="auto"/>
        <w:left w:val="none" w:sz="0" w:space="0" w:color="auto"/>
        <w:bottom w:val="none" w:sz="0" w:space="0" w:color="auto"/>
        <w:right w:val="none" w:sz="0" w:space="0" w:color="auto"/>
      </w:divBdr>
    </w:div>
    <w:div w:id="494489484">
      <w:bodyDiv w:val="1"/>
      <w:marLeft w:val="0"/>
      <w:marRight w:val="0"/>
      <w:marTop w:val="0"/>
      <w:marBottom w:val="0"/>
      <w:divBdr>
        <w:top w:val="none" w:sz="0" w:space="0" w:color="auto"/>
        <w:left w:val="none" w:sz="0" w:space="0" w:color="auto"/>
        <w:bottom w:val="none" w:sz="0" w:space="0" w:color="auto"/>
        <w:right w:val="none" w:sz="0" w:space="0" w:color="auto"/>
      </w:divBdr>
    </w:div>
    <w:div w:id="522519480">
      <w:bodyDiv w:val="1"/>
      <w:marLeft w:val="0"/>
      <w:marRight w:val="0"/>
      <w:marTop w:val="0"/>
      <w:marBottom w:val="0"/>
      <w:divBdr>
        <w:top w:val="none" w:sz="0" w:space="0" w:color="auto"/>
        <w:left w:val="none" w:sz="0" w:space="0" w:color="auto"/>
        <w:bottom w:val="none" w:sz="0" w:space="0" w:color="auto"/>
        <w:right w:val="none" w:sz="0" w:space="0" w:color="auto"/>
      </w:divBdr>
      <w:divsChild>
        <w:div w:id="354892988">
          <w:marLeft w:val="0"/>
          <w:marRight w:val="0"/>
          <w:marTop w:val="0"/>
          <w:marBottom w:val="0"/>
          <w:divBdr>
            <w:top w:val="none" w:sz="0" w:space="0" w:color="auto"/>
            <w:left w:val="none" w:sz="0" w:space="0" w:color="auto"/>
            <w:bottom w:val="none" w:sz="0" w:space="0" w:color="auto"/>
            <w:right w:val="none" w:sz="0" w:space="0" w:color="auto"/>
          </w:divBdr>
        </w:div>
        <w:div w:id="1216618745">
          <w:marLeft w:val="-8325"/>
          <w:marRight w:val="0"/>
          <w:marTop w:val="0"/>
          <w:marBottom w:val="0"/>
          <w:divBdr>
            <w:top w:val="none" w:sz="0" w:space="0" w:color="auto"/>
            <w:left w:val="none" w:sz="0" w:space="0" w:color="auto"/>
            <w:bottom w:val="none" w:sz="0" w:space="0" w:color="auto"/>
            <w:right w:val="none" w:sz="0" w:space="0" w:color="auto"/>
          </w:divBdr>
        </w:div>
      </w:divsChild>
    </w:div>
    <w:div w:id="711853341">
      <w:bodyDiv w:val="1"/>
      <w:marLeft w:val="0"/>
      <w:marRight w:val="0"/>
      <w:marTop w:val="0"/>
      <w:marBottom w:val="0"/>
      <w:divBdr>
        <w:top w:val="none" w:sz="0" w:space="0" w:color="auto"/>
        <w:left w:val="none" w:sz="0" w:space="0" w:color="auto"/>
        <w:bottom w:val="none" w:sz="0" w:space="0" w:color="auto"/>
        <w:right w:val="none" w:sz="0" w:space="0" w:color="auto"/>
      </w:divBdr>
    </w:div>
    <w:div w:id="888960272">
      <w:bodyDiv w:val="1"/>
      <w:marLeft w:val="0"/>
      <w:marRight w:val="0"/>
      <w:marTop w:val="0"/>
      <w:marBottom w:val="0"/>
      <w:divBdr>
        <w:top w:val="none" w:sz="0" w:space="0" w:color="auto"/>
        <w:left w:val="none" w:sz="0" w:space="0" w:color="auto"/>
        <w:bottom w:val="none" w:sz="0" w:space="0" w:color="auto"/>
        <w:right w:val="none" w:sz="0" w:space="0" w:color="auto"/>
      </w:divBdr>
    </w:div>
    <w:div w:id="947009253">
      <w:bodyDiv w:val="1"/>
      <w:marLeft w:val="0"/>
      <w:marRight w:val="0"/>
      <w:marTop w:val="0"/>
      <w:marBottom w:val="0"/>
      <w:divBdr>
        <w:top w:val="none" w:sz="0" w:space="0" w:color="auto"/>
        <w:left w:val="none" w:sz="0" w:space="0" w:color="auto"/>
        <w:bottom w:val="none" w:sz="0" w:space="0" w:color="auto"/>
        <w:right w:val="none" w:sz="0" w:space="0" w:color="auto"/>
      </w:divBdr>
    </w:div>
    <w:div w:id="1023358823">
      <w:bodyDiv w:val="1"/>
      <w:marLeft w:val="0"/>
      <w:marRight w:val="0"/>
      <w:marTop w:val="0"/>
      <w:marBottom w:val="0"/>
      <w:divBdr>
        <w:top w:val="none" w:sz="0" w:space="0" w:color="auto"/>
        <w:left w:val="none" w:sz="0" w:space="0" w:color="auto"/>
        <w:bottom w:val="none" w:sz="0" w:space="0" w:color="auto"/>
        <w:right w:val="none" w:sz="0" w:space="0" w:color="auto"/>
      </w:divBdr>
    </w:div>
    <w:div w:id="1048534321">
      <w:bodyDiv w:val="1"/>
      <w:marLeft w:val="0"/>
      <w:marRight w:val="0"/>
      <w:marTop w:val="0"/>
      <w:marBottom w:val="0"/>
      <w:divBdr>
        <w:top w:val="none" w:sz="0" w:space="0" w:color="auto"/>
        <w:left w:val="none" w:sz="0" w:space="0" w:color="auto"/>
        <w:bottom w:val="none" w:sz="0" w:space="0" w:color="auto"/>
        <w:right w:val="none" w:sz="0" w:space="0" w:color="auto"/>
      </w:divBdr>
    </w:div>
    <w:div w:id="1094399280">
      <w:bodyDiv w:val="1"/>
      <w:marLeft w:val="0"/>
      <w:marRight w:val="0"/>
      <w:marTop w:val="0"/>
      <w:marBottom w:val="0"/>
      <w:divBdr>
        <w:top w:val="none" w:sz="0" w:space="0" w:color="auto"/>
        <w:left w:val="none" w:sz="0" w:space="0" w:color="auto"/>
        <w:bottom w:val="none" w:sz="0" w:space="0" w:color="auto"/>
        <w:right w:val="none" w:sz="0" w:space="0" w:color="auto"/>
      </w:divBdr>
    </w:div>
    <w:div w:id="1248877866">
      <w:bodyDiv w:val="1"/>
      <w:marLeft w:val="0"/>
      <w:marRight w:val="0"/>
      <w:marTop w:val="0"/>
      <w:marBottom w:val="0"/>
      <w:divBdr>
        <w:top w:val="none" w:sz="0" w:space="0" w:color="auto"/>
        <w:left w:val="none" w:sz="0" w:space="0" w:color="auto"/>
        <w:bottom w:val="none" w:sz="0" w:space="0" w:color="auto"/>
        <w:right w:val="none" w:sz="0" w:space="0" w:color="auto"/>
      </w:divBdr>
      <w:divsChild>
        <w:div w:id="1948805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2112543">
      <w:bodyDiv w:val="1"/>
      <w:marLeft w:val="0"/>
      <w:marRight w:val="0"/>
      <w:marTop w:val="0"/>
      <w:marBottom w:val="0"/>
      <w:divBdr>
        <w:top w:val="none" w:sz="0" w:space="0" w:color="auto"/>
        <w:left w:val="none" w:sz="0" w:space="0" w:color="auto"/>
        <w:bottom w:val="none" w:sz="0" w:space="0" w:color="auto"/>
        <w:right w:val="none" w:sz="0" w:space="0" w:color="auto"/>
      </w:divBdr>
    </w:div>
    <w:div w:id="1350910477">
      <w:bodyDiv w:val="1"/>
      <w:marLeft w:val="0"/>
      <w:marRight w:val="0"/>
      <w:marTop w:val="0"/>
      <w:marBottom w:val="0"/>
      <w:divBdr>
        <w:top w:val="none" w:sz="0" w:space="0" w:color="auto"/>
        <w:left w:val="none" w:sz="0" w:space="0" w:color="auto"/>
        <w:bottom w:val="none" w:sz="0" w:space="0" w:color="auto"/>
        <w:right w:val="none" w:sz="0" w:space="0" w:color="auto"/>
      </w:divBdr>
    </w:div>
    <w:div w:id="1383938424">
      <w:bodyDiv w:val="1"/>
      <w:marLeft w:val="0"/>
      <w:marRight w:val="0"/>
      <w:marTop w:val="0"/>
      <w:marBottom w:val="0"/>
      <w:divBdr>
        <w:top w:val="none" w:sz="0" w:space="0" w:color="auto"/>
        <w:left w:val="none" w:sz="0" w:space="0" w:color="auto"/>
        <w:bottom w:val="none" w:sz="0" w:space="0" w:color="auto"/>
        <w:right w:val="none" w:sz="0" w:space="0" w:color="auto"/>
      </w:divBdr>
    </w:div>
    <w:div w:id="1387221628">
      <w:bodyDiv w:val="1"/>
      <w:marLeft w:val="0"/>
      <w:marRight w:val="0"/>
      <w:marTop w:val="0"/>
      <w:marBottom w:val="0"/>
      <w:divBdr>
        <w:top w:val="none" w:sz="0" w:space="0" w:color="auto"/>
        <w:left w:val="none" w:sz="0" w:space="0" w:color="auto"/>
        <w:bottom w:val="none" w:sz="0" w:space="0" w:color="auto"/>
        <w:right w:val="none" w:sz="0" w:space="0" w:color="auto"/>
      </w:divBdr>
    </w:div>
    <w:div w:id="1565792773">
      <w:bodyDiv w:val="1"/>
      <w:marLeft w:val="0"/>
      <w:marRight w:val="0"/>
      <w:marTop w:val="0"/>
      <w:marBottom w:val="0"/>
      <w:divBdr>
        <w:top w:val="none" w:sz="0" w:space="0" w:color="auto"/>
        <w:left w:val="none" w:sz="0" w:space="0" w:color="auto"/>
        <w:bottom w:val="none" w:sz="0" w:space="0" w:color="auto"/>
        <w:right w:val="none" w:sz="0" w:space="0" w:color="auto"/>
      </w:divBdr>
      <w:divsChild>
        <w:div w:id="411048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2760258">
      <w:bodyDiv w:val="1"/>
      <w:marLeft w:val="0"/>
      <w:marRight w:val="0"/>
      <w:marTop w:val="0"/>
      <w:marBottom w:val="0"/>
      <w:divBdr>
        <w:top w:val="none" w:sz="0" w:space="0" w:color="auto"/>
        <w:left w:val="none" w:sz="0" w:space="0" w:color="auto"/>
        <w:bottom w:val="none" w:sz="0" w:space="0" w:color="auto"/>
        <w:right w:val="none" w:sz="0" w:space="0" w:color="auto"/>
      </w:divBdr>
    </w:div>
    <w:div w:id="1694766720">
      <w:bodyDiv w:val="1"/>
      <w:marLeft w:val="0"/>
      <w:marRight w:val="0"/>
      <w:marTop w:val="0"/>
      <w:marBottom w:val="0"/>
      <w:divBdr>
        <w:top w:val="none" w:sz="0" w:space="0" w:color="auto"/>
        <w:left w:val="none" w:sz="0" w:space="0" w:color="auto"/>
        <w:bottom w:val="none" w:sz="0" w:space="0" w:color="auto"/>
        <w:right w:val="none" w:sz="0" w:space="0" w:color="auto"/>
      </w:divBdr>
    </w:div>
    <w:div w:id="1806853410">
      <w:bodyDiv w:val="1"/>
      <w:marLeft w:val="0"/>
      <w:marRight w:val="0"/>
      <w:marTop w:val="0"/>
      <w:marBottom w:val="0"/>
      <w:divBdr>
        <w:top w:val="none" w:sz="0" w:space="0" w:color="auto"/>
        <w:left w:val="none" w:sz="0" w:space="0" w:color="auto"/>
        <w:bottom w:val="none" w:sz="0" w:space="0" w:color="auto"/>
        <w:right w:val="none" w:sz="0" w:space="0" w:color="auto"/>
      </w:divBdr>
    </w:div>
    <w:div w:id="1961380743">
      <w:bodyDiv w:val="1"/>
      <w:marLeft w:val="0"/>
      <w:marRight w:val="0"/>
      <w:marTop w:val="0"/>
      <w:marBottom w:val="0"/>
      <w:divBdr>
        <w:top w:val="none" w:sz="0" w:space="0" w:color="auto"/>
        <w:left w:val="none" w:sz="0" w:space="0" w:color="auto"/>
        <w:bottom w:val="none" w:sz="0" w:space="0" w:color="auto"/>
        <w:right w:val="none" w:sz="0" w:space="0" w:color="auto"/>
      </w:divBdr>
    </w:div>
    <w:div w:id="2032606847">
      <w:bodyDiv w:val="1"/>
      <w:marLeft w:val="0"/>
      <w:marRight w:val="0"/>
      <w:marTop w:val="0"/>
      <w:marBottom w:val="0"/>
      <w:divBdr>
        <w:top w:val="none" w:sz="0" w:space="0" w:color="auto"/>
        <w:left w:val="none" w:sz="0" w:space="0" w:color="auto"/>
        <w:bottom w:val="none" w:sz="0" w:space="0" w:color="auto"/>
        <w:right w:val="none" w:sz="0" w:space="0" w:color="auto"/>
      </w:divBdr>
    </w:div>
    <w:div w:id="2058167477">
      <w:bodyDiv w:val="1"/>
      <w:marLeft w:val="0"/>
      <w:marRight w:val="0"/>
      <w:marTop w:val="0"/>
      <w:marBottom w:val="0"/>
      <w:divBdr>
        <w:top w:val="none" w:sz="0" w:space="0" w:color="auto"/>
        <w:left w:val="none" w:sz="0" w:space="0" w:color="auto"/>
        <w:bottom w:val="none" w:sz="0" w:space="0" w:color="auto"/>
        <w:right w:val="none" w:sz="0" w:space="0" w:color="auto"/>
      </w:divBdr>
    </w:div>
    <w:div w:id="211316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86F21-C357-4DBD-9019-88DDA6567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676</Words>
  <Characters>3751</Characters>
  <Application>Microsoft Office Word</Application>
  <DocSecurity>0</DocSecurity>
  <Lines>104</Lines>
  <Paragraphs>71</Paragraphs>
  <ScaleCrop>false</ScaleCrop>
  <HeadingPairs>
    <vt:vector size="2" baseType="variant">
      <vt:variant>
        <vt:lpstr>Title</vt:lpstr>
      </vt:variant>
      <vt:variant>
        <vt:i4>1</vt:i4>
      </vt:variant>
    </vt:vector>
  </HeadingPairs>
  <TitlesOfParts>
    <vt:vector size="1" baseType="lpstr">
      <vt:lpstr>1126259</vt:lpstr>
    </vt:vector>
  </TitlesOfParts>
  <Manager/>
  <Company>CSD</Company>
  <LinksUpToDate>false</LinksUpToDate>
  <CharactersWithSpaces>4356</CharactersWithSpaces>
  <SharedDoc>false</SharedDoc>
  <HyperlinkBase/>
  <HLinks>
    <vt:vector size="6" baseType="variant">
      <vt:variant>
        <vt:i4>6160404</vt:i4>
      </vt:variant>
      <vt:variant>
        <vt:i4>-1</vt:i4>
      </vt:variant>
      <vt:variant>
        <vt:i4>2050</vt:i4>
      </vt:variant>
      <vt:variant>
        <vt:i4>1</vt:i4>
      </vt:variant>
      <vt:variant>
        <vt:lpwstr>recycle_English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subject/>
  <dc:creator>BAC</dc:creator>
  <cp:keywords>ECE/TRANS/WP.15/AC.1/2012/8</cp:keywords>
  <dc:description>Final</dc:description>
  <cp:lastModifiedBy>Laurence Berthet</cp:lastModifiedBy>
  <cp:revision>4</cp:revision>
  <cp:lastPrinted>2018-08-27T09:43:00Z</cp:lastPrinted>
  <dcterms:created xsi:type="dcterms:W3CDTF">2018-08-27T06:43:00Z</dcterms:created>
  <dcterms:modified xsi:type="dcterms:W3CDTF">2018-08-27T09:43:00Z</dcterms:modified>
  <cp:category/>
</cp:coreProperties>
</file>