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rsidTr="009F0F06">
        <w:trPr>
          <w:trHeight w:val="851"/>
        </w:trPr>
        <w:tc>
          <w:tcPr>
            <w:tcW w:w="1259" w:type="dxa"/>
            <w:tcBorders>
              <w:top w:val="nil"/>
              <w:left w:val="nil"/>
              <w:bottom w:val="single" w:sz="4" w:space="0" w:color="auto"/>
              <w:right w:val="nil"/>
            </w:tcBorders>
          </w:tcPr>
          <w:p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724CC6" w:rsidP="00E26FF8">
            <w:pPr>
              <w:ind w:right="200"/>
              <w:jc w:val="right"/>
            </w:pPr>
            <w:r w:rsidRPr="00724CC6">
              <w:rPr>
                <w:sz w:val="40"/>
              </w:rPr>
              <w:t>ST</w:t>
            </w:r>
            <w:r>
              <w:t>/SG/AC.10/C.</w:t>
            </w:r>
            <w:r w:rsidR="00E26FF8">
              <w:t>3</w:t>
            </w:r>
            <w:r>
              <w:t>/</w:t>
            </w:r>
            <w:r w:rsidR="00E4386C">
              <w:t>2018/</w:t>
            </w:r>
            <w:r w:rsidR="008A581F">
              <w:t>6</w:t>
            </w:r>
            <w:r w:rsidR="00112DC7">
              <w:t>5</w:t>
            </w:r>
          </w:p>
        </w:tc>
      </w:tr>
      <w:tr w:rsidR="003107FA" w:rsidRPr="006500BA" w:rsidTr="009F0F06">
        <w:trPr>
          <w:trHeight w:val="2835"/>
        </w:trPr>
        <w:tc>
          <w:tcPr>
            <w:tcW w:w="1259" w:type="dxa"/>
            <w:tcBorders>
              <w:top w:val="single" w:sz="4" w:space="0" w:color="auto"/>
              <w:left w:val="nil"/>
              <w:bottom w:val="single" w:sz="12" w:space="0" w:color="auto"/>
              <w:right w:val="nil"/>
            </w:tcBorders>
          </w:tcPr>
          <w:p w:rsidR="003107FA" w:rsidRPr="006500BA" w:rsidRDefault="00EB4961"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3107FA" w:rsidRDefault="00724CC6" w:rsidP="00724CC6">
            <w:pPr>
              <w:spacing w:before="240" w:line="240" w:lineRule="exact"/>
            </w:pPr>
            <w:r>
              <w:t>Distr.: General</w:t>
            </w:r>
          </w:p>
          <w:p w:rsidR="00724CC6" w:rsidRDefault="00E26FF8" w:rsidP="00724CC6">
            <w:pPr>
              <w:spacing w:line="240" w:lineRule="exact"/>
            </w:pPr>
            <w:r>
              <w:t>14</w:t>
            </w:r>
            <w:r w:rsidR="00B03947">
              <w:t xml:space="preserve"> September</w:t>
            </w:r>
            <w:r w:rsidR="00724CC6">
              <w:t xml:space="preserve"> 2018</w:t>
            </w:r>
          </w:p>
          <w:p w:rsidR="000F77A6" w:rsidRDefault="000F77A6" w:rsidP="00724CC6">
            <w:pPr>
              <w:spacing w:line="240" w:lineRule="exact"/>
            </w:pPr>
          </w:p>
          <w:p w:rsidR="00724CC6" w:rsidRDefault="00FC0C52" w:rsidP="00724CC6">
            <w:pPr>
              <w:spacing w:line="240" w:lineRule="exact"/>
            </w:pPr>
            <w:r>
              <w:t>English</w:t>
            </w:r>
          </w:p>
          <w:p w:rsidR="00724CC6" w:rsidRPr="006500BA" w:rsidRDefault="00724CC6" w:rsidP="00724CC6">
            <w:pPr>
              <w:spacing w:line="240" w:lineRule="exact"/>
            </w:pPr>
            <w:r>
              <w:t>Original: English</w:t>
            </w:r>
            <w:r w:rsidR="00FC0C52">
              <w:t xml:space="preserve"> and French</w:t>
            </w:r>
          </w:p>
        </w:tc>
      </w:tr>
    </w:tbl>
    <w:p w:rsidR="00724CC6" w:rsidRPr="006500BA" w:rsidRDefault="00724CC6" w:rsidP="00724CC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724CC6" w:rsidRPr="006500BA" w:rsidRDefault="00724CC6" w:rsidP="00724CC6">
      <w:pPr>
        <w:spacing w:before="120"/>
        <w:rPr>
          <w:rFonts w:ascii="Helv" w:hAnsi="Helv" w:cs="Helv"/>
          <w:b/>
          <w:color w:val="000000"/>
        </w:rPr>
      </w:pPr>
      <w:r w:rsidRPr="006500BA">
        <w:rPr>
          <w:b/>
        </w:rPr>
        <w:t xml:space="preserve">Sub-Committee of Experts on the </w:t>
      </w:r>
      <w:r>
        <w:rPr>
          <w:b/>
        </w:rPr>
        <w:t>Transport of Dangerous Goods</w:t>
      </w:r>
    </w:p>
    <w:p w:rsidR="00724CC6" w:rsidRPr="006500BA" w:rsidRDefault="00724CC6" w:rsidP="00724CC6">
      <w:pPr>
        <w:spacing w:before="120"/>
        <w:rPr>
          <w:b/>
        </w:rPr>
      </w:pPr>
      <w:r>
        <w:rPr>
          <w:b/>
        </w:rPr>
        <w:t xml:space="preserve">Fifty-fourth </w:t>
      </w:r>
      <w:r w:rsidRPr="006500BA">
        <w:rPr>
          <w:b/>
        </w:rPr>
        <w:t>session</w:t>
      </w:r>
    </w:p>
    <w:p w:rsidR="00724CC6" w:rsidRDefault="00724CC6" w:rsidP="00724CC6">
      <w:pPr>
        <w:rPr>
          <w:lang w:val="en-US"/>
        </w:rPr>
      </w:pPr>
      <w:r w:rsidRPr="006500BA">
        <w:t>Geneva,</w:t>
      </w:r>
      <w:r>
        <w:t xml:space="preserve"> 26 November-4 December 2018</w:t>
      </w:r>
      <w:r>
        <w:br/>
      </w:r>
      <w:r>
        <w:rPr>
          <w:lang w:val="en-US"/>
        </w:rPr>
        <w:t xml:space="preserve">Item </w:t>
      </w:r>
      <w:r w:rsidR="0054034B">
        <w:rPr>
          <w:lang w:val="en-US"/>
        </w:rPr>
        <w:t>2</w:t>
      </w:r>
      <w:r w:rsidR="000F77A6">
        <w:rPr>
          <w:lang w:val="en-US"/>
        </w:rPr>
        <w:t xml:space="preserve"> (a)</w:t>
      </w:r>
      <w:r>
        <w:rPr>
          <w:lang w:val="en-US"/>
        </w:rPr>
        <w:t xml:space="preserve"> of the provisional agenda</w:t>
      </w:r>
    </w:p>
    <w:p w:rsidR="0054034B" w:rsidRPr="0059088D" w:rsidRDefault="0054034B" w:rsidP="0054034B">
      <w:pPr>
        <w:rPr>
          <w:b/>
          <w:bCs/>
        </w:rPr>
      </w:pPr>
      <w:r w:rsidRPr="0059088D">
        <w:rPr>
          <w:b/>
          <w:bCs/>
        </w:rPr>
        <w:t xml:space="preserve">Recommendations made by the Sub-Committee </w:t>
      </w:r>
      <w:r w:rsidRPr="0059088D">
        <w:rPr>
          <w:b/>
          <w:bCs/>
        </w:rPr>
        <w:br/>
        <w:t xml:space="preserve">on its </w:t>
      </w:r>
      <w:r w:rsidR="0040705D">
        <w:rPr>
          <w:b/>
          <w:bCs/>
        </w:rPr>
        <w:t>fifty-first</w:t>
      </w:r>
      <w:r w:rsidRPr="0059088D">
        <w:rPr>
          <w:b/>
          <w:bCs/>
        </w:rPr>
        <w:t xml:space="preserve">, </w:t>
      </w:r>
      <w:r w:rsidR="0040705D">
        <w:rPr>
          <w:b/>
          <w:bCs/>
        </w:rPr>
        <w:t>fifty-second</w:t>
      </w:r>
      <w:r w:rsidRPr="0059088D">
        <w:rPr>
          <w:b/>
          <w:bCs/>
        </w:rPr>
        <w:t xml:space="preserve"> </w:t>
      </w:r>
      <w:r w:rsidRPr="0059088D">
        <w:rPr>
          <w:b/>
          <w:bCs/>
        </w:rPr>
        <w:br/>
        <w:t xml:space="preserve">and </w:t>
      </w:r>
      <w:r w:rsidR="0040705D">
        <w:rPr>
          <w:b/>
          <w:bCs/>
        </w:rPr>
        <w:t>fifty-third</w:t>
      </w:r>
      <w:r w:rsidRPr="0059088D">
        <w:rPr>
          <w:b/>
          <w:bCs/>
        </w:rPr>
        <w:t xml:space="preserve"> sessions and pending issues</w:t>
      </w:r>
      <w:r>
        <w:rPr>
          <w:b/>
          <w:bCs/>
        </w:rPr>
        <w:t>:</w:t>
      </w:r>
    </w:p>
    <w:p w:rsidR="0054034B" w:rsidRDefault="0054034B" w:rsidP="0054034B">
      <w:r w:rsidRPr="000B5B54">
        <w:rPr>
          <w:b/>
        </w:rPr>
        <w:t>review</w:t>
      </w:r>
      <w:r w:rsidRPr="0059088D">
        <w:rPr>
          <w:b/>
        </w:rPr>
        <w:t xml:space="preserve"> of draft amendments already </w:t>
      </w:r>
      <w:r w:rsidRPr="0059088D">
        <w:rPr>
          <w:b/>
        </w:rPr>
        <w:br/>
        <w:t>adopted during the biennium</w:t>
      </w:r>
      <w:r>
        <w:t xml:space="preserve"> </w:t>
      </w:r>
    </w:p>
    <w:p w:rsidR="0054034B" w:rsidRPr="0059088D" w:rsidRDefault="0054034B" w:rsidP="0054034B">
      <w:pPr>
        <w:pStyle w:val="HChG"/>
        <w:rPr>
          <w:lang w:eastAsia="en-GB" w:bidi="en-GB"/>
        </w:rPr>
      </w:pPr>
      <w:r w:rsidRPr="0059088D">
        <w:rPr>
          <w:lang w:eastAsia="en-GB" w:bidi="en-GB"/>
        </w:rPr>
        <w:tab/>
      </w:r>
      <w:r w:rsidRPr="0059088D">
        <w:rPr>
          <w:lang w:eastAsia="en-GB" w:bidi="en-GB"/>
        </w:rPr>
        <w:tab/>
        <w:t xml:space="preserve">Consolidated list of </w:t>
      </w:r>
      <w:r w:rsidR="00B75D1E">
        <w:rPr>
          <w:lang w:eastAsia="en-GB" w:bidi="en-GB"/>
        </w:rPr>
        <w:t>draft amendments</w:t>
      </w:r>
    </w:p>
    <w:p w:rsidR="0054034B" w:rsidRPr="0059088D" w:rsidRDefault="0054034B" w:rsidP="0054034B">
      <w:pPr>
        <w:pStyle w:val="H1G"/>
      </w:pPr>
      <w:r w:rsidRPr="0059088D">
        <w:tab/>
      </w:r>
      <w:r w:rsidRPr="0059088D">
        <w:tab/>
        <w:t>Note by the secretariat</w:t>
      </w:r>
      <w:r w:rsidR="00E26FF8">
        <w:rPr>
          <w:rStyle w:val="FootnoteReference"/>
        </w:rPr>
        <w:footnoteReference w:customMarkFollows="1" w:id="2"/>
        <w:t>*</w:t>
      </w:r>
    </w:p>
    <w:p w:rsidR="0054034B" w:rsidRPr="0059088D" w:rsidRDefault="0054034B" w:rsidP="00E26FF8">
      <w:pPr>
        <w:pStyle w:val="SingleTxtG"/>
      </w:pPr>
      <w:r w:rsidRPr="0059088D">
        <w:t xml:space="preserve">This document contains a consolidated list of </w:t>
      </w:r>
      <w:r w:rsidR="00B75D1E">
        <w:t>draft amendments</w:t>
      </w:r>
      <w:r w:rsidRPr="0059088D">
        <w:t xml:space="preserve"> adopted by the Sub-Committee of Experts at its </w:t>
      </w:r>
      <w:r w:rsidR="00015EAC">
        <w:t>fifty-first</w:t>
      </w:r>
      <w:r w:rsidRPr="0059088D">
        <w:t xml:space="preserve">, </w:t>
      </w:r>
      <w:r w:rsidR="00015EAC">
        <w:t>fifty-second and fifty-third</w:t>
      </w:r>
      <w:r w:rsidRPr="0059088D">
        <w:t xml:space="preserve"> sessions, as follows:</w:t>
      </w:r>
    </w:p>
    <w:p w:rsidR="00946D2D" w:rsidRPr="000E4463" w:rsidRDefault="00946D2D" w:rsidP="00946D2D">
      <w:pPr>
        <w:tabs>
          <w:tab w:val="right" w:pos="8929"/>
          <w:tab w:val="right" w:pos="9638"/>
        </w:tabs>
        <w:spacing w:after="120"/>
        <w:ind w:left="283"/>
      </w:pPr>
      <w:r w:rsidRPr="000E4463">
        <w:rPr>
          <w:i/>
          <w:sz w:val="18"/>
        </w:rPr>
        <w:tab/>
      </w:r>
      <w:r w:rsidRPr="000E4463">
        <w:rPr>
          <w:i/>
          <w:sz w:val="18"/>
        </w:rPr>
        <w:tab/>
        <w:t>Page</w:t>
      </w:r>
    </w:p>
    <w:p w:rsidR="00946D2D" w:rsidRPr="000E4463" w:rsidRDefault="009239FE" w:rsidP="00E26FF8">
      <w:pPr>
        <w:tabs>
          <w:tab w:val="left" w:pos="1418"/>
          <w:tab w:val="left" w:pos="1843"/>
          <w:tab w:val="left" w:leader="dot" w:pos="7654"/>
          <w:tab w:val="right" w:pos="8929"/>
          <w:tab w:val="right" w:pos="9638"/>
        </w:tabs>
        <w:spacing w:before="120" w:after="120"/>
        <w:ind w:left="1134"/>
      </w:pPr>
      <w:r>
        <w:t xml:space="preserve">Part </w:t>
      </w:r>
      <w:r w:rsidR="00E26FF8">
        <w:t>I</w:t>
      </w:r>
      <w:r w:rsidR="00E26FF8">
        <w:tab/>
      </w:r>
      <w:r w:rsidR="00946D2D" w:rsidRPr="000E4463">
        <w:t xml:space="preserve">Draft amendments to the twentieth revised edition of the </w:t>
      </w:r>
      <w:r w:rsidR="00946D2D" w:rsidRPr="000E4463">
        <w:br/>
      </w:r>
      <w:r w:rsidR="00946D2D">
        <w:tab/>
      </w:r>
      <w:r>
        <w:tab/>
      </w:r>
      <w:r w:rsidR="00946D2D" w:rsidRPr="000E4463">
        <w:t xml:space="preserve">Recommendations on the Transport of Dangerous Goods, </w:t>
      </w:r>
      <w:r w:rsidR="00946D2D" w:rsidRPr="000E4463">
        <w:br/>
      </w:r>
      <w:r w:rsidR="00946D2D">
        <w:tab/>
      </w:r>
      <w:r>
        <w:tab/>
      </w:r>
      <w:r w:rsidR="00946D2D" w:rsidRPr="000E4463">
        <w:t>Model Regulations (ST/SG/AC.10/1/Rev.20)</w:t>
      </w:r>
      <w:r w:rsidR="00946D2D" w:rsidRPr="000E4463">
        <w:tab/>
      </w:r>
      <w:r w:rsidR="00946D2D" w:rsidRPr="000E4463">
        <w:tab/>
      </w:r>
      <w:r w:rsidR="00946D2D" w:rsidRPr="000E4463">
        <w:tab/>
        <w:t>2</w:t>
      </w:r>
    </w:p>
    <w:p w:rsidR="00946D2D" w:rsidRPr="000E4463" w:rsidRDefault="009239FE" w:rsidP="00E26FF8">
      <w:pPr>
        <w:tabs>
          <w:tab w:val="right" w:pos="850"/>
          <w:tab w:val="left" w:pos="1418"/>
          <w:tab w:val="left" w:pos="1843"/>
          <w:tab w:val="left" w:leader="dot" w:pos="7654"/>
          <w:tab w:val="right" w:pos="8929"/>
          <w:tab w:val="right" w:pos="9638"/>
        </w:tabs>
        <w:spacing w:before="120" w:after="120"/>
        <w:ind w:left="1840" w:hanging="706"/>
      </w:pPr>
      <w:r>
        <w:t xml:space="preserve">Part </w:t>
      </w:r>
      <w:r w:rsidR="00946D2D" w:rsidRPr="00837B90">
        <w:t>II.</w:t>
      </w:r>
      <w:r w:rsidR="00946D2D" w:rsidRPr="00837B90">
        <w:tab/>
      </w:r>
      <w:r w:rsidR="00E26FF8">
        <w:tab/>
      </w:r>
      <w:r w:rsidR="00946D2D" w:rsidRPr="00837B90">
        <w:t xml:space="preserve">Draft amendments to the sixth revised edition of the Recommendations on the </w:t>
      </w:r>
      <w:r w:rsidR="00946D2D" w:rsidRPr="00837B90">
        <w:br/>
        <w:t xml:space="preserve">Transport of Dangerous Goods, Manual of Tests and Criteria </w:t>
      </w:r>
      <w:r w:rsidR="00E26FF8">
        <w:br/>
      </w:r>
      <w:r w:rsidR="00946D2D" w:rsidRPr="00837B90">
        <w:t>(ST/SG/A</w:t>
      </w:r>
      <w:r w:rsidR="000F77A6">
        <w:t xml:space="preserve">C.10/11/Rev.6) </w:t>
      </w:r>
      <w:r w:rsidR="00946D2D" w:rsidRPr="00837B90">
        <w:t xml:space="preserve">as amended by </w:t>
      </w:r>
      <w:r w:rsidR="00E26FF8">
        <w:br/>
      </w:r>
      <w:r w:rsidR="00946D2D" w:rsidRPr="00837B90">
        <w:t>ST/SG/AC.10/11/Rev.6/Amend.1</w:t>
      </w:r>
      <w:r w:rsidR="00946D2D" w:rsidRPr="00837B90">
        <w:tab/>
      </w:r>
      <w:r w:rsidR="00946D2D" w:rsidRPr="000E4463">
        <w:tab/>
      </w:r>
      <w:r w:rsidR="00946D2D" w:rsidRPr="000E4463">
        <w:tab/>
      </w:r>
      <w:r w:rsidR="00FF7DC6">
        <w:t>29</w:t>
      </w:r>
    </w:p>
    <w:p w:rsidR="00946D2D" w:rsidRPr="000E4463" w:rsidRDefault="00946D2D" w:rsidP="00F827E8">
      <w:pPr>
        <w:tabs>
          <w:tab w:val="right" w:pos="850"/>
          <w:tab w:val="left" w:pos="1418"/>
          <w:tab w:val="left" w:pos="1843"/>
          <w:tab w:val="left" w:leader="dot" w:pos="7654"/>
          <w:tab w:val="right" w:pos="8929"/>
          <w:tab w:val="right" w:pos="9638"/>
        </w:tabs>
        <w:spacing w:before="120" w:after="120"/>
        <w:ind w:left="851" w:hanging="1"/>
      </w:pPr>
      <w:r>
        <w:tab/>
      </w:r>
    </w:p>
    <w:p w:rsidR="00724CC6" w:rsidRDefault="00724CC6">
      <w:pPr>
        <w:suppressAutoHyphens w:val="0"/>
        <w:spacing w:line="240" w:lineRule="auto"/>
      </w:pPr>
      <w:r>
        <w:br w:type="page"/>
      </w:r>
    </w:p>
    <w:p w:rsidR="0089110F" w:rsidRPr="0059088D" w:rsidRDefault="0089110F" w:rsidP="0089110F">
      <w:pPr>
        <w:pStyle w:val="HChG"/>
      </w:pPr>
      <w:r w:rsidRPr="0059088D">
        <w:lastRenderedPageBreak/>
        <w:t>Part I</w:t>
      </w:r>
      <w:r>
        <w:tab/>
      </w:r>
      <w:r w:rsidRPr="0059088D">
        <w:tab/>
        <w:t xml:space="preserve">Draft amendments to the </w:t>
      </w:r>
      <w:r>
        <w:t>twentieth</w:t>
      </w:r>
      <w:r w:rsidRPr="0059088D">
        <w:t xml:space="preserve"> revised edition of the Recommendations on the Transport of Dangerous Goods, Model Regulations (ST/SG/AC.10/1/Rev.</w:t>
      </w:r>
      <w:r>
        <w:t>20</w:t>
      </w:r>
      <w:r w:rsidRPr="0059088D">
        <w:t>)</w:t>
      </w:r>
    </w:p>
    <w:p w:rsidR="0089110F" w:rsidRPr="000E4463" w:rsidRDefault="0089110F" w:rsidP="0089110F">
      <w:pPr>
        <w:pStyle w:val="H1G"/>
      </w:pPr>
      <w:r>
        <w:tab/>
      </w:r>
      <w:r>
        <w:tab/>
      </w:r>
      <w:r w:rsidRPr="000E4463">
        <w:t>Chapter 1.1</w:t>
      </w:r>
    </w:p>
    <w:p w:rsidR="0089110F" w:rsidRPr="000E4463" w:rsidRDefault="0089110F" w:rsidP="0089110F">
      <w:pPr>
        <w:pStyle w:val="SingleTxtG"/>
      </w:pPr>
      <w:r w:rsidRPr="000E4463">
        <w:t>[1.1.1.2</w:t>
      </w:r>
      <w:r w:rsidRPr="000E4463">
        <w:tab/>
        <w:t>Amend paragraph (c) to read as follows:</w:t>
      </w:r>
    </w:p>
    <w:p w:rsidR="0089110F" w:rsidRPr="000E4463" w:rsidRDefault="0089110F" w:rsidP="0089110F">
      <w:pPr>
        <w:pStyle w:val="SingleTxtG"/>
      </w:pPr>
      <w:r w:rsidRPr="000E4463">
        <w:t>“(c)</w:t>
      </w:r>
      <w:r w:rsidRPr="000E4463">
        <w:tab/>
        <w:t>Lithium battery powered cargo tracking devices or data loggers attached to packages, overpacks or cargo transport units if they meet the following:</w:t>
      </w:r>
    </w:p>
    <w:p w:rsidR="0089110F" w:rsidRPr="000E4463" w:rsidRDefault="0089110F" w:rsidP="0089110F">
      <w:pPr>
        <w:pStyle w:val="SingleTxtG"/>
        <w:ind w:left="1701"/>
      </w:pPr>
      <w:r w:rsidRPr="000E4463">
        <w:t>(i)</w:t>
      </w:r>
      <w:r w:rsidRPr="000E4463">
        <w:tab/>
        <w:t>Each cell or battery meets the applicable provisions of 2.9.4;</w:t>
      </w:r>
    </w:p>
    <w:p w:rsidR="0089110F" w:rsidRPr="000E4463" w:rsidRDefault="0089110F" w:rsidP="0089110F">
      <w:pPr>
        <w:pStyle w:val="SingleTxtG"/>
        <w:ind w:left="1701"/>
      </w:pPr>
      <w:r w:rsidRPr="000E4463">
        <w:t>(ii)</w:t>
      </w:r>
      <w:r w:rsidRPr="000E4463">
        <w:tab/>
        <w:t>The batteries and cells are afforded protection by an outer casing of adequate strength and design or by the device in which they are contained to prevent damage under normal conditions of transport.”.]</w:t>
      </w:r>
    </w:p>
    <w:p w:rsidR="0089110F" w:rsidRDefault="0089110F" w:rsidP="0089110F">
      <w:pPr>
        <w:pStyle w:val="SingleTxtG"/>
        <w:rPr>
          <w:i/>
        </w:rPr>
      </w:pPr>
      <w:r w:rsidRPr="000E4463">
        <w:rPr>
          <w:i/>
        </w:rPr>
        <w:t xml:space="preserve">(Reference document: </w:t>
      </w:r>
      <w:r w:rsidR="000F77A6">
        <w:rPr>
          <w:i/>
          <w:iCs/>
          <w:lang w:val="fr-FR"/>
        </w:rPr>
        <w:t>ST/SG/AC.10/C.3/102/Add.1</w:t>
      </w:r>
      <w:r w:rsidRPr="000E4463">
        <w:rPr>
          <w:i/>
        </w:rPr>
        <w:t>)</w:t>
      </w:r>
    </w:p>
    <w:p w:rsidR="00A033D9" w:rsidRPr="007D36A1" w:rsidRDefault="00A033D9" w:rsidP="00A033D9">
      <w:pPr>
        <w:pStyle w:val="H1G"/>
      </w:pPr>
      <w:r>
        <w:tab/>
      </w:r>
      <w:r>
        <w:tab/>
      </w:r>
      <w:r w:rsidRPr="007D36A1">
        <w:t>Chapter 1.2</w:t>
      </w:r>
    </w:p>
    <w:p w:rsidR="00A033D9" w:rsidRPr="00A033D9" w:rsidRDefault="00A033D9" w:rsidP="004631AC">
      <w:pPr>
        <w:pStyle w:val="SingleTxtG"/>
      </w:pPr>
      <w:r w:rsidRPr="00A033D9">
        <w:t>1.2.1</w:t>
      </w:r>
      <w:r w:rsidRPr="00A033D9">
        <w:tab/>
        <w:t>Amend the definitions hereafter as follows:</w:t>
      </w:r>
    </w:p>
    <w:p w:rsidR="00A033D9" w:rsidRPr="00A033D9" w:rsidRDefault="00A033D9" w:rsidP="004631AC">
      <w:pPr>
        <w:pStyle w:val="SingleTxtG"/>
      </w:pPr>
      <w:r w:rsidRPr="00A033D9">
        <w:t>Dose rate:</w:t>
      </w:r>
      <w:r w:rsidRPr="00A033D9">
        <w:tab/>
        <w:t>Insert the following new definition, in alphabetical order:</w:t>
      </w:r>
    </w:p>
    <w:p w:rsidR="00A033D9" w:rsidRPr="00A033D9" w:rsidRDefault="000D5193" w:rsidP="004631AC">
      <w:pPr>
        <w:pStyle w:val="SingleTxtG"/>
      </w:pPr>
      <w:r>
        <w:t>“</w:t>
      </w:r>
      <w:r w:rsidR="00A033D9" w:rsidRPr="00EF2068">
        <w:rPr>
          <w:i/>
          <w:iCs/>
        </w:rPr>
        <w:t>Dose rate</w:t>
      </w:r>
      <w:r w:rsidR="00A033D9" w:rsidRPr="00A033D9">
        <w:t xml:space="preserve"> mean</w:t>
      </w:r>
      <w:r w:rsidR="00EF2068">
        <w:t>s</w:t>
      </w:r>
      <w:r w:rsidR="00A033D9" w:rsidRPr="00A033D9">
        <w:t xml:space="preserve"> the ambient dose equivalent or the directional dose equivalent, as appropriate, per unit time, measured at the point of interest.</w:t>
      </w:r>
      <w:r>
        <w:t>”.</w:t>
      </w:r>
    </w:p>
    <w:p w:rsidR="00A033D9" w:rsidRPr="004631AC" w:rsidRDefault="00A033D9" w:rsidP="004631AC">
      <w:pPr>
        <w:pStyle w:val="SingleTxtG"/>
        <w:rPr>
          <w:i/>
          <w:iCs/>
        </w:rPr>
      </w:pPr>
      <w:r w:rsidRPr="004631AC">
        <w:rPr>
          <w:i/>
          <w:iCs/>
        </w:rPr>
        <w:tab/>
        <w:t>(Reference document: ST/SG/AC.10/C.3/2018/54)</w:t>
      </w:r>
    </w:p>
    <w:p w:rsidR="00A033D9" w:rsidRPr="00A033D9" w:rsidRDefault="00A033D9" w:rsidP="004631AC">
      <w:pPr>
        <w:pStyle w:val="SingleTxtG"/>
      </w:pPr>
      <w:r w:rsidRPr="00A033D9">
        <w:t>1.2.1</w:t>
      </w:r>
      <w:r w:rsidRPr="00A033D9">
        <w:tab/>
        <w:t xml:space="preserve">Radiation level: </w:t>
      </w:r>
      <w:r w:rsidR="000D5193">
        <w:tab/>
      </w:r>
      <w:r w:rsidRPr="00A033D9">
        <w:t>Delete the entry.</w:t>
      </w:r>
    </w:p>
    <w:p w:rsidR="00A033D9" w:rsidRPr="004631AC" w:rsidRDefault="00A033D9" w:rsidP="00E0473D">
      <w:pPr>
        <w:pStyle w:val="SingleTxtG"/>
        <w:rPr>
          <w:i/>
          <w:iCs/>
        </w:rPr>
      </w:pPr>
      <w:r w:rsidRPr="004631AC">
        <w:rPr>
          <w:u w:val="single"/>
        </w:rPr>
        <w:tab/>
      </w:r>
      <w:r w:rsidRPr="004631AC">
        <w:rPr>
          <w:i/>
          <w:iCs/>
        </w:rPr>
        <w:t>(Reference document: ST/SG/AC.10/C.3/2018/54)</w:t>
      </w:r>
    </w:p>
    <w:p w:rsidR="00A033D9" w:rsidRPr="00A033D9" w:rsidRDefault="00A033D9" w:rsidP="004631AC">
      <w:pPr>
        <w:pStyle w:val="SingleTxtG"/>
      </w:pPr>
      <w:r w:rsidRPr="00A033D9">
        <w:t>1.2.1</w:t>
      </w:r>
      <w:r w:rsidRPr="00A033D9">
        <w:tab/>
        <w:t xml:space="preserve">Transport index: In the first sentence after “SCO-I” add “or SCO-III”. </w:t>
      </w:r>
    </w:p>
    <w:p w:rsidR="00A033D9" w:rsidRPr="004631AC" w:rsidRDefault="00A033D9" w:rsidP="004631AC">
      <w:pPr>
        <w:pStyle w:val="SingleTxtG"/>
        <w:rPr>
          <w:i/>
          <w:iCs/>
        </w:rPr>
      </w:pPr>
      <w:r w:rsidRPr="004631AC">
        <w:rPr>
          <w:i/>
          <w:iCs/>
        </w:rPr>
        <w:tab/>
        <w:t>(Reference document: ST/SG/AC.10/C.3/2018/54)</w:t>
      </w:r>
    </w:p>
    <w:p w:rsidR="0089110F" w:rsidRPr="000E4463" w:rsidRDefault="0089110F" w:rsidP="0089110F">
      <w:pPr>
        <w:pStyle w:val="H1G"/>
      </w:pPr>
      <w:r w:rsidRPr="000E4463">
        <w:tab/>
      </w:r>
      <w:r w:rsidRPr="000E4463">
        <w:tab/>
        <w:t>Chapter 1.4</w:t>
      </w:r>
    </w:p>
    <w:p w:rsidR="009B3B0D" w:rsidRPr="0040076D" w:rsidRDefault="009B3B0D" w:rsidP="009B3B0D">
      <w:pPr>
        <w:pStyle w:val="SingleTxtG"/>
      </w:pPr>
      <w:r w:rsidRPr="0040076D">
        <w:t>1.4.1 table,</w:t>
      </w:r>
      <w:r w:rsidRPr="0040076D">
        <w:tab/>
        <w:t>Add the new entries “0512” and “0513” to read as follows:</w:t>
      </w:r>
    </w:p>
    <w:p w:rsidR="009B3B0D" w:rsidRPr="0040076D" w:rsidRDefault="009B3B0D" w:rsidP="009B3B0D">
      <w:pPr>
        <w:pStyle w:val="SingleTxtG"/>
      </w:pPr>
      <w:r w:rsidRPr="0040076D">
        <w:t>“Class 1, Division 1.4</w:t>
      </w:r>
      <w:r w:rsidRPr="0040076D">
        <w:tab/>
        <w:t>UN Nos. 0104, 0237, 0255, 0267, 0289, 0361, 0365, 0366, 0440, 0441, 0455, 0456, 0500, 0512 and 0513”.</w:t>
      </w:r>
    </w:p>
    <w:p w:rsidR="009B3B0D" w:rsidRPr="004631AC" w:rsidRDefault="009B3B0D">
      <w:pPr>
        <w:pStyle w:val="SingleTxtG"/>
        <w:rPr>
          <w:i/>
          <w:iCs/>
          <w:lang w:val="en-US"/>
        </w:rPr>
      </w:pPr>
      <w:r w:rsidRPr="0040076D">
        <w:rPr>
          <w:i/>
          <w:iCs/>
          <w:lang w:val="en-US"/>
        </w:rPr>
        <w:t xml:space="preserve">(Reference document: </w:t>
      </w:r>
      <w:r w:rsidR="00EF2068">
        <w:rPr>
          <w:i/>
          <w:iCs/>
          <w:lang w:val="fr-FR"/>
        </w:rPr>
        <w:t>ST/SG/AC.10/C.3/106/Add.1</w:t>
      </w:r>
      <w:r w:rsidRPr="0040076D">
        <w:rPr>
          <w:i/>
          <w:iCs/>
          <w:lang w:val="en-US"/>
        </w:rPr>
        <w:t>)</w:t>
      </w:r>
    </w:p>
    <w:p w:rsidR="00FD03C8" w:rsidRDefault="00FD03C8" w:rsidP="003370F1">
      <w:pPr>
        <w:pStyle w:val="SingleTxtG"/>
      </w:pPr>
      <w:r>
        <w:t>1.4.3</w:t>
      </w:r>
      <w:r>
        <w:tab/>
        <w:t>In table 1.4.1, add the following new row after “Class 1, division 1.5”:</w:t>
      </w:r>
    </w:p>
    <w:p w:rsidR="00FD03C8" w:rsidRDefault="00FD03C8" w:rsidP="00FD03C8">
      <w:pPr>
        <w:pStyle w:val="SingleTxtG"/>
      </w:pPr>
      <w:r>
        <w:t>“Class 1, Division 1.6:</w:t>
      </w:r>
      <w:r>
        <w:tab/>
      </w:r>
      <w:r w:rsidRPr="003A35D8">
        <w:t>explosives</w:t>
      </w:r>
      <w:r>
        <w:t>”.</w:t>
      </w:r>
    </w:p>
    <w:p w:rsidR="00FD03C8" w:rsidRDefault="00FD03C8" w:rsidP="00FD03C8">
      <w:pPr>
        <w:pStyle w:val="SingleTxtG"/>
      </w:pPr>
      <w:r w:rsidRPr="001949FE">
        <w:rPr>
          <w:i/>
        </w:rPr>
        <w:t xml:space="preserve">(Reference document: </w:t>
      </w:r>
      <w:r w:rsidR="00AC0C09">
        <w:rPr>
          <w:i/>
          <w:iCs/>
          <w:lang w:val="fr-FR"/>
        </w:rPr>
        <w:t>ST/SG/AC.10/C.3/104/Add.1</w:t>
      </w:r>
      <w:r w:rsidRPr="001949FE">
        <w:rPr>
          <w:i/>
        </w:rPr>
        <w:t>)</w:t>
      </w:r>
    </w:p>
    <w:p w:rsidR="0089110F" w:rsidRPr="000E4463" w:rsidRDefault="0089110F" w:rsidP="0089110F">
      <w:pPr>
        <w:pStyle w:val="SingleTxtG"/>
      </w:pPr>
      <w:r w:rsidRPr="000E4463">
        <w:t>[1.4.3.1.2</w:t>
      </w:r>
      <w:r w:rsidRPr="000E4463">
        <w:tab/>
        <w:t>In table 1.4.1, amend the line for Division 6.2 to read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6196"/>
      </w:tblGrid>
      <w:tr w:rsidR="0089110F" w:rsidRPr="000E4463" w:rsidTr="00AC0C09">
        <w:trPr>
          <w:trHeight w:val="719"/>
          <w:jc w:val="center"/>
        </w:trPr>
        <w:tc>
          <w:tcPr>
            <w:tcW w:w="1378" w:type="dxa"/>
            <w:shd w:val="clear" w:color="auto" w:fill="auto"/>
          </w:tcPr>
          <w:p w:rsidR="0089110F" w:rsidRPr="000E4463" w:rsidRDefault="0089110F" w:rsidP="005B6F18">
            <w:pPr>
              <w:ind w:right="43"/>
              <w:rPr>
                <w:color w:val="000000"/>
              </w:rPr>
            </w:pPr>
            <w:r w:rsidRPr="000E4463">
              <w:rPr>
                <w:color w:val="000000"/>
              </w:rPr>
              <w:t>Division 6.2</w:t>
            </w:r>
          </w:p>
        </w:tc>
        <w:tc>
          <w:tcPr>
            <w:tcW w:w="6196" w:type="dxa"/>
            <w:shd w:val="clear" w:color="auto" w:fill="auto"/>
          </w:tcPr>
          <w:p w:rsidR="0089110F" w:rsidRPr="000E4463" w:rsidRDefault="0089110F" w:rsidP="005B6F18">
            <w:pPr>
              <w:pStyle w:val="SingleTxtG"/>
              <w:ind w:left="0"/>
            </w:pPr>
            <w:r w:rsidRPr="000E4463">
              <w:rPr>
                <w:color w:val="000000"/>
              </w:rPr>
              <w:t>Infectious substances of Category A (UN 2814 and UN 2900) and medical waste of Category A (UN 3549)”</w:t>
            </w:r>
            <w:r w:rsidRPr="000E4463">
              <w:t>].</w:t>
            </w:r>
          </w:p>
        </w:tc>
      </w:tr>
    </w:tbl>
    <w:p w:rsidR="0089110F" w:rsidRDefault="0089110F" w:rsidP="0089110F">
      <w:pPr>
        <w:pStyle w:val="SingleTxtG"/>
        <w:rPr>
          <w:i/>
          <w:iCs/>
        </w:rPr>
      </w:pPr>
      <w:r w:rsidRPr="000E4463">
        <w:rPr>
          <w:i/>
          <w:iCs/>
        </w:rPr>
        <w:t xml:space="preserve">(Reference document: </w:t>
      </w:r>
      <w:r w:rsidR="00DC75AB">
        <w:rPr>
          <w:i/>
          <w:iCs/>
          <w:lang w:val="fr-FR"/>
        </w:rPr>
        <w:t>ST/SG/AC.10/C.3/102/Add.1</w:t>
      </w:r>
      <w:r w:rsidRPr="000E4463">
        <w:rPr>
          <w:i/>
          <w:iCs/>
        </w:rPr>
        <w:t>)</w:t>
      </w:r>
    </w:p>
    <w:p w:rsidR="00D621F0" w:rsidRPr="00632EF6" w:rsidRDefault="00D621F0" w:rsidP="00D621F0">
      <w:pPr>
        <w:pStyle w:val="SingleTxtG"/>
        <w:rPr>
          <w:lang w:val="en-US"/>
        </w:rPr>
      </w:pPr>
      <w:bookmarkStart w:id="0" w:name="_GoBack"/>
      <w:bookmarkEnd w:id="0"/>
      <w:r>
        <w:lastRenderedPageBreak/>
        <w:t>1</w:t>
      </w:r>
      <w:r w:rsidRPr="00632EF6">
        <w:rPr>
          <w:lang w:val="en-US"/>
        </w:rPr>
        <w:t>.4.3.2.3</w:t>
      </w:r>
      <w:r w:rsidRPr="00632EF6">
        <w:rPr>
          <w:lang w:val="en-US"/>
        </w:rPr>
        <w:tab/>
        <w:t xml:space="preserve">In footnote 2, replace </w:t>
      </w:r>
      <w:r>
        <w:rPr>
          <w:lang w:val="en-US"/>
        </w:rPr>
        <w:t>“</w:t>
      </w:r>
      <w:r w:rsidRPr="00632EF6">
        <w:rPr>
          <w:lang w:val="en-US"/>
        </w:rPr>
        <w:t>INFCIRC/225/Rev.4 (corrected), IAEA Vienna (1999)</w:t>
      </w:r>
      <w:r>
        <w:rPr>
          <w:lang w:val="en-US"/>
        </w:rPr>
        <w:t>”</w:t>
      </w:r>
      <w:r w:rsidRPr="00632EF6">
        <w:rPr>
          <w:lang w:val="en-US"/>
        </w:rPr>
        <w:t> </w:t>
      </w:r>
      <w:r>
        <w:rPr>
          <w:lang w:val="en-US"/>
        </w:rPr>
        <w:t>by</w:t>
      </w:r>
      <w:r w:rsidRPr="00632EF6">
        <w:rPr>
          <w:lang w:val="en-US"/>
        </w:rPr>
        <w:t> </w:t>
      </w:r>
      <w:r>
        <w:rPr>
          <w:lang w:val="en-US"/>
        </w:rPr>
        <w:t>“</w:t>
      </w:r>
      <w:r w:rsidRPr="00632EF6">
        <w:rPr>
          <w:lang w:val="en-US"/>
        </w:rPr>
        <w:t xml:space="preserve">INFCIRC/225/Rev.5, </w:t>
      </w:r>
      <w:r>
        <w:rPr>
          <w:lang w:val="en-US"/>
        </w:rPr>
        <w:t>IAEA</w:t>
      </w:r>
      <w:r w:rsidRPr="00632EF6">
        <w:rPr>
          <w:lang w:val="en-US"/>
        </w:rPr>
        <w:t>, Vienn</w:t>
      </w:r>
      <w:r>
        <w:rPr>
          <w:lang w:val="en-US"/>
        </w:rPr>
        <w:t>a</w:t>
      </w:r>
      <w:r w:rsidRPr="00632EF6">
        <w:rPr>
          <w:lang w:val="en-US"/>
        </w:rPr>
        <w:t xml:space="preserve"> (2011)</w:t>
      </w:r>
      <w:r>
        <w:rPr>
          <w:lang w:val="en-US"/>
        </w:rPr>
        <w:t>”.</w:t>
      </w:r>
    </w:p>
    <w:p w:rsidR="00D621F0" w:rsidRDefault="00D621F0">
      <w:pPr>
        <w:pStyle w:val="SingleTxtG"/>
        <w:rPr>
          <w:i/>
          <w:iCs/>
          <w:lang w:val="en-US"/>
        </w:rPr>
      </w:pPr>
      <w:r w:rsidRPr="00216FF6">
        <w:rPr>
          <w:i/>
          <w:iCs/>
          <w:lang w:val="en-US"/>
        </w:rPr>
        <w:t>(Reference document:</w:t>
      </w:r>
      <w:r w:rsidRPr="00216FF6">
        <w:rPr>
          <w:lang w:val="en-US"/>
        </w:rPr>
        <w:t xml:space="preserve"> </w:t>
      </w:r>
      <w:r w:rsidR="00EB5083">
        <w:rPr>
          <w:i/>
          <w:iCs/>
          <w:lang w:val="fr-FR"/>
        </w:rPr>
        <w:t>ST/SG/AC.10/C.3/106/Add.1</w:t>
      </w:r>
      <w:r>
        <w:rPr>
          <w:i/>
          <w:iCs/>
          <w:lang w:val="en-US"/>
        </w:rPr>
        <w:t>)</w:t>
      </w:r>
    </w:p>
    <w:p w:rsidR="00560543" w:rsidRPr="007D36A1" w:rsidRDefault="00560543" w:rsidP="00560543">
      <w:pPr>
        <w:pStyle w:val="H1G"/>
      </w:pPr>
      <w:r>
        <w:tab/>
      </w:r>
      <w:r>
        <w:tab/>
      </w:r>
      <w:r w:rsidRPr="007D36A1">
        <w:t>Chapter 1.5</w:t>
      </w:r>
    </w:p>
    <w:p w:rsidR="00560543" w:rsidRPr="007D36A1" w:rsidRDefault="00560543" w:rsidP="00560543">
      <w:pPr>
        <w:pStyle w:val="SingleTxtG"/>
        <w:tabs>
          <w:tab w:val="left" w:pos="2268"/>
        </w:tabs>
      </w:pPr>
      <w:r w:rsidRPr="007D36A1">
        <w:t>1.5.1.1</w:t>
      </w:r>
      <w:r w:rsidRPr="007D36A1">
        <w:tab/>
        <w:t>In the first sentence, replace “to persons” by “to people”. Amend the second and third sentences to read “These Regulations are based on the IAEA “Regulations for the Safe Transport of Radioactive material, 2018 Edition, IAEA Safety Standards Series No. SSR–6, (Rev.1) IAEA, Vienna 2018). Explanatory material can be found in “Advisory Material for the IAEA Regulations for the Safe Transport of Radioactive Material (2018 Edition)”, Safety Standard Series No. SSG-26, (Rev.1) IAEA Vienna (2019).”</w:t>
      </w:r>
    </w:p>
    <w:p w:rsidR="00560543" w:rsidRPr="007D36A1" w:rsidRDefault="00560543" w:rsidP="00560543">
      <w:pPr>
        <w:pStyle w:val="SingleTxtG"/>
        <w:tabs>
          <w:tab w:val="left" w:pos="2268"/>
        </w:tabs>
        <w:rPr>
          <w:i/>
        </w:rPr>
      </w:pPr>
      <w:r>
        <w:rPr>
          <w:i/>
        </w:rPr>
        <w:t>(Reference document: ST/SG/AC.10/C.3/2018/54)</w:t>
      </w:r>
    </w:p>
    <w:p w:rsidR="00560543" w:rsidRPr="007D36A1" w:rsidRDefault="00560543" w:rsidP="00560543">
      <w:pPr>
        <w:pStyle w:val="SingleTxtG"/>
        <w:tabs>
          <w:tab w:val="left" w:pos="2268"/>
        </w:tabs>
      </w:pPr>
      <w:r w:rsidRPr="007D36A1">
        <w:t>1.5.1.2</w:t>
      </w:r>
      <w:r w:rsidRPr="007D36A1">
        <w:tab/>
        <w:t>In the first sentence, replace “persons” by “people” and replace “from the effects of radiation in the transport” by “from harmful effects of ionizing radiation during the transport of radioactive material”.</w:t>
      </w:r>
    </w:p>
    <w:p w:rsidR="00560543" w:rsidRPr="007D36A1" w:rsidRDefault="00560543" w:rsidP="00560543">
      <w:pPr>
        <w:pStyle w:val="SingleTxtG"/>
        <w:tabs>
          <w:tab w:val="left" w:pos="2268"/>
        </w:tabs>
      </w:pPr>
      <w:r w:rsidRPr="007D36A1">
        <w:t>In (b), replace “radiation levels” by “dose rate”.</w:t>
      </w:r>
    </w:p>
    <w:p w:rsidR="00560543" w:rsidRPr="007D36A1" w:rsidRDefault="00560543" w:rsidP="00560543">
      <w:pPr>
        <w:pStyle w:val="SingleTxtG"/>
        <w:tabs>
          <w:tab w:val="left" w:pos="2268"/>
        </w:tabs>
      </w:pPr>
      <w:r w:rsidRPr="007D36A1">
        <w:t>In the last sentence, replace “Finally” by “Thirdly” and add the following new sentence at the end: “Finally, further protection is provided by making arrangements for planning and preparing emergency response to protect people, property and the environment.”.</w:t>
      </w:r>
    </w:p>
    <w:p w:rsidR="00560543" w:rsidRDefault="00560543" w:rsidP="00560543">
      <w:pPr>
        <w:pStyle w:val="SingleTxtG"/>
        <w:tabs>
          <w:tab w:val="left" w:pos="2268"/>
        </w:tabs>
        <w:rPr>
          <w:i/>
        </w:rPr>
      </w:pPr>
      <w:r>
        <w:rPr>
          <w:i/>
        </w:rPr>
        <w:t>(Reference document: ST/SG/AC.10/C.3/2018/54)</w:t>
      </w:r>
    </w:p>
    <w:p w:rsidR="00560543" w:rsidRPr="007D36A1" w:rsidRDefault="00560543" w:rsidP="00560543">
      <w:pPr>
        <w:pStyle w:val="SingleTxtG"/>
        <w:tabs>
          <w:tab w:val="left" w:pos="2268"/>
        </w:tabs>
      </w:pPr>
      <w:r w:rsidRPr="007D36A1">
        <w:t>1.5.1.5.1</w:t>
      </w:r>
      <w:r w:rsidRPr="007D36A1">
        <w:tab/>
        <w:t>In sub-paragraph (a) after “5.2.1.7,” add “5.4.1.5.7.1 (f) (i) and (ii), 5.4.1.5.7.1 (i),” and after “7.1.8.3.1” add “7.1.8.4.3”.</w:t>
      </w:r>
    </w:p>
    <w:p w:rsidR="00560543" w:rsidRDefault="00560543" w:rsidP="00560543">
      <w:pPr>
        <w:pStyle w:val="SingleTxtG"/>
        <w:tabs>
          <w:tab w:val="left" w:pos="2268"/>
        </w:tabs>
        <w:rPr>
          <w:i/>
        </w:rPr>
      </w:pPr>
      <w:r>
        <w:rPr>
          <w:i/>
        </w:rPr>
        <w:t>(Reference document: ST/SG/AC.10/C.3/2018/54)</w:t>
      </w:r>
    </w:p>
    <w:p w:rsidR="00560543" w:rsidRPr="007D36A1" w:rsidRDefault="00560543" w:rsidP="00560543">
      <w:pPr>
        <w:pStyle w:val="SingleTxtG"/>
        <w:tabs>
          <w:tab w:val="left" w:pos="2268"/>
        </w:tabs>
      </w:pPr>
      <w:r w:rsidRPr="007D36A1">
        <w:t>1.5.1.5.2</w:t>
      </w:r>
      <w:r w:rsidRPr="007D36A1">
        <w:tab/>
        <w:t>Delete the second sentence.</w:t>
      </w:r>
    </w:p>
    <w:p w:rsidR="00560543" w:rsidRDefault="00560543" w:rsidP="00560543">
      <w:pPr>
        <w:pStyle w:val="SingleTxtG"/>
        <w:tabs>
          <w:tab w:val="left" w:pos="2268"/>
        </w:tabs>
        <w:rPr>
          <w:i/>
        </w:rPr>
      </w:pPr>
      <w:r>
        <w:rPr>
          <w:i/>
        </w:rPr>
        <w:t>(Reference document: ST/SG/AC.10/C.3/2018/54)</w:t>
      </w:r>
    </w:p>
    <w:p w:rsidR="00560543" w:rsidRPr="007D36A1" w:rsidRDefault="00560543" w:rsidP="00560543">
      <w:pPr>
        <w:pStyle w:val="SingleTxtG"/>
        <w:tabs>
          <w:tab w:val="left" w:pos="2268"/>
        </w:tabs>
      </w:pPr>
      <w:r w:rsidRPr="007D36A1">
        <w:t>1.5.2.4</w:t>
      </w:r>
      <w:r w:rsidRPr="007D36A1">
        <w:tab/>
      </w:r>
      <w:r w:rsidRPr="007D36A1">
        <w:tab/>
        <w:t>In the last sentence replace “individual monitoring or workplace monitoring” by “workplace monitoring or individual monitoring”.</w:t>
      </w:r>
    </w:p>
    <w:p w:rsidR="00560543" w:rsidRDefault="00560543" w:rsidP="00560543">
      <w:pPr>
        <w:pStyle w:val="SingleTxtG"/>
        <w:tabs>
          <w:tab w:val="left" w:pos="2268"/>
        </w:tabs>
        <w:rPr>
          <w:i/>
        </w:rPr>
      </w:pPr>
      <w:r>
        <w:rPr>
          <w:i/>
        </w:rPr>
        <w:t>(Reference document: ST/SG/AC.10/C.3/2018/54)</w:t>
      </w:r>
    </w:p>
    <w:p w:rsidR="00560543" w:rsidRPr="007D36A1" w:rsidRDefault="00560543" w:rsidP="00560543">
      <w:pPr>
        <w:pStyle w:val="SingleTxtG"/>
        <w:tabs>
          <w:tab w:val="left" w:pos="2268"/>
        </w:tabs>
        <w:rPr>
          <w:i/>
        </w:rPr>
      </w:pPr>
      <w:r w:rsidRPr="007D36A1">
        <w:t>1.5.4.2</w:t>
      </w:r>
      <w:r w:rsidRPr="007D36A1">
        <w:tab/>
        <w:t xml:space="preserve">In the second sentence, replace “through alternative means” by “through means alternative to the other provisions of these Regulations,” and replace “for single or a planned series of multiple consignments” by “for a single </w:t>
      </w:r>
      <w:r w:rsidRPr="007D36A1">
        <w:rPr>
          <w:i/>
        </w:rPr>
        <w:t>consignment</w:t>
      </w:r>
      <w:r w:rsidRPr="007D36A1">
        <w:t xml:space="preserve"> or a planned series of multiple </w:t>
      </w:r>
      <w:r w:rsidRPr="007D36A1">
        <w:rPr>
          <w:i/>
        </w:rPr>
        <w:t>consignments</w:t>
      </w:r>
      <w:r w:rsidRPr="007D36A1">
        <w:t>”. In the third sentence, at the end, after “applicable requirements” add “in these Regulations”.</w:t>
      </w:r>
    </w:p>
    <w:p w:rsidR="00560543" w:rsidRPr="007D36A1" w:rsidRDefault="00560543" w:rsidP="00560543">
      <w:pPr>
        <w:pStyle w:val="SingleTxtG"/>
        <w:tabs>
          <w:tab w:val="left" w:pos="2268"/>
        </w:tabs>
        <w:rPr>
          <w:i/>
        </w:rPr>
      </w:pPr>
      <w:r>
        <w:rPr>
          <w:i/>
        </w:rPr>
        <w:t>(Reference document: ST/SG/AC.10/C.3/2018/54)</w:t>
      </w:r>
    </w:p>
    <w:p w:rsidR="00560543" w:rsidRPr="007D36A1" w:rsidRDefault="00560543" w:rsidP="00560543">
      <w:pPr>
        <w:pStyle w:val="SingleTxtG"/>
        <w:tabs>
          <w:tab w:val="left" w:pos="2268"/>
        </w:tabs>
      </w:pPr>
      <w:r w:rsidRPr="007D36A1">
        <w:t>1.5.6.1</w:t>
      </w:r>
      <w:r w:rsidRPr="007D36A1">
        <w:tab/>
      </w:r>
      <w:r w:rsidRPr="007D36A1">
        <w:tab/>
        <w:t>In the introductory sentence, replace “radiation level” by “dose rate”. In (b), at the beginning, replace “carrier, consignor or consignee” by “</w:t>
      </w:r>
      <w:r w:rsidRPr="007D36A1">
        <w:rPr>
          <w:i/>
        </w:rPr>
        <w:t>consignor,</w:t>
      </w:r>
      <w:r w:rsidRPr="007D36A1">
        <w:t xml:space="preserve"> </w:t>
      </w:r>
      <w:r w:rsidRPr="007D36A1">
        <w:rPr>
          <w:i/>
        </w:rPr>
        <w:t>carrier</w:t>
      </w:r>
      <w:r w:rsidRPr="007D36A1">
        <w:t xml:space="preserve">, or </w:t>
      </w:r>
      <w:r w:rsidRPr="007D36A1">
        <w:rPr>
          <w:i/>
        </w:rPr>
        <w:t>consignee”.</w:t>
      </w:r>
      <w:r w:rsidRPr="007D36A1">
        <w:t xml:space="preserve"> In (b) (iii), replace “similar circumstances” by “the causes and circumstances similar to those”. In (b) (iv), replace “on corrective or protective actions” by “the corrective or protective actions”.</w:t>
      </w:r>
    </w:p>
    <w:p w:rsidR="00560543" w:rsidRDefault="00560543">
      <w:pPr>
        <w:pStyle w:val="SingleTxtG"/>
        <w:rPr>
          <w:i/>
          <w:iCs/>
          <w:lang w:val="en-US"/>
        </w:rPr>
      </w:pPr>
      <w:r>
        <w:rPr>
          <w:i/>
        </w:rPr>
        <w:t>(Reference document: ST/SG/AC.10/C.3/2018/54)</w:t>
      </w:r>
    </w:p>
    <w:p w:rsidR="00032726" w:rsidRDefault="00032726" w:rsidP="00032726">
      <w:pPr>
        <w:pStyle w:val="H1G"/>
      </w:pPr>
      <w:r>
        <w:lastRenderedPageBreak/>
        <w:tab/>
      </w:r>
      <w:r>
        <w:tab/>
        <w:t>Chapter 2.1</w:t>
      </w:r>
    </w:p>
    <w:p w:rsidR="00032726" w:rsidRPr="00C44277" w:rsidRDefault="00032726" w:rsidP="00032726">
      <w:pPr>
        <w:pStyle w:val="SingleTxtG"/>
      </w:pPr>
      <w:r w:rsidRPr="00C44277">
        <w:t>2.1.3.6.4 (b)</w:t>
      </w:r>
      <w:r w:rsidRPr="00C44277">
        <w:tab/>
      </w:r>
      <w:r>
        <w:t>In the Note, delete “such as described in ISO 12097-3” and add the following new sentence:</w:t>
      </w:r>
    </w:p>
    <w:p w:rsidR="00032726" w:rsidRPr="00C44277" w:rsidRDefault="00032726" w:rsidP="00032726">
      <w:pPr>
        <w:pStyle w:val="SingleTxtG"/>
      </w:pPr>
      <w:r w:rsidRPr="00C44277">
        <w:t>“</w:t>
      </w:r>
      <w:r w:rsidRPr="0099190A">
        <w:rPr>
          <w:i/>
          <w:iCs/>
        </w:rPr>
        <w:t>One such method is described in ISO 14451-2 using a heating rate of 80 K/min.</w:t>
      </w:r>
      <w:r>
        <w:t>”</w:t>
      </w:r>
      <w:r w:rsidRPr="00C44277">
        <w:t xml:space="preserve">  </w:t>
      </w:r>
    </w:p>
    <w:p w:rsidR="00032726" w:rsidRPr="004F64CF" w:rsidRDefault="00032726" w:rsidP="00032726">
      <w:pPr>
        <w:pStyle w:val="SingleTxtG"/>
        <w:rPr>
          <w:i/>
          <w:iCs/>
          <w:lang w:val="en-US"/>
        </w:rPr>
      </w:pPr>
      <w:r w:rsidRPr="004F64CF">
        <w:rPr>
          <w:i/>
          <w:iCs/>
          <w:lang w:val="en-US"/>
        </w:rPr>
        <w:t>(Reference document:</w:t>
      </w:r>
      <w:r>
        <w:rPr>
          <w:i/>
          <w:iCs/>
          <w:lang w:val="en-US"/>
        </w:rPr>
        <w:t xml:space="preserve"> </w:t>
      </w:r>
      <w:bookmarkStart w:id="1" w:name="_Hlk524439451"/>
      <w:r w:rsidR="00EB5083">
        <w:rPr>
          <w:i/>
          <w:iCs/>
          <w:lang w:val="fr-FR"/>
        </w:rPr>
        <w:t>ST/SG/AC.10/C.3/106/Add.1</w:t>
      </w:r>
      <w:bookmarkEnd w:id="1"/>
      <w:r w:rsidRPr="004F64CF">
        <w:rPr>
          <w:i/>
          <w:iCs/>
          <w:lang w:val="en-US"/>
        </w:rPr>
        <w:t>)</w:t>
      </w:r>
    </w:p>
    <w:p w:rsidR="00032726" w:rsidRDefault="00032726" w:rsidP="00032726">
      <w:pPr>
        <w:pStyle w:val="H1G"/>
      </w:pPr>
      <w:r w:rsidRPr="004F64CF">
        <w:rPr>
          <w:lang w:val="en-US"/>
        </w:rPr>
        <w:tab/>
      </w:r>
      <w:r w:rsidRPr="004F64CF">
        <w:rPr>
          <w:lang w:val="en-US"/>
        </w:rPr>
        <w:tab/>
      </w:r>
      <w:r>
        <w:t>Chapter 2.2</w:t>
      </w:r>
    </w:p>
    <w:p w:rsidR="00032726" w:rsidRDefault="00032726" w:rsidP="00032726">
      <w:pPr>
        <w:pStyle w:val="SingleTxtG"/>
      </w:pPr>
      <w:r>
        <w:t>2.2.2.1 (a) (ii)</w:t>
      </w:r>
      <w:r>
        <w:tab/>
      </w:r>
      <w:r>
        <w:tab/>
        <w:t>Replace “ISO 10156:2010” by “ISO 10156:2017”.</w:t>
      </w:r>
    </w:p>
    <w:p w:rsidR="00032726" w:rsidRPr="00CC56EE" w:rsidRDefault="00032726" w:rsidP="00032726">
      <w:pPr>
        <w:pStyle w:val="SingleTxtG"/>
        <w:rPr>
          <w:i/>
          <w:iCs/>
        </w:rPr>
      </w:pPr>
      <w:r w:rsidRPr="00CC56EE">
        <w:rPr>
          <w:i/>
          <w:iCs/>
        </w:rPr>
        <w:t>(Reference document</w:t>
      </w:r>
      <w:r>
        <w:rPr>
          <w:i/>
          <w:iCs/>
        </w:rPr>
        <w:t>:</w:t>
      </w:r>
      <w:r w:rsidRPr="00CC56EE">
        <w:rPr>
          <w:i/>
          <w:iCs/>
        </w:rPr>
        <w:t xml:space="preserve"> </w:t>
      </w:r>
      <w:r w:rsidR="00C4365D">
        <w:rPr>
          <w:i/>
          <w:iCs/>
          <w:lang w:val="fr-FR"/>
        </w:rPr>
        <w:t>ST/SG/AC.10/C.3/106/Add.1</w:t>
      </w:r>
      <w:r w:rsidRPr="00CC56EE">
        <w:rPr>
          <w:i/>
          <w:iCs/>
        </w:rPr>
        <w:t>)</w:t>
      </w:r>
    </w:p>
    <w:p w:rsidR="00032726" w:rsidRDefault="00032726" w:rsidP="00032726">
      <w:pPr>
        <w:pStyle w:val="SingleTxtG"/>
      </w:pPr>
      <w:r>
        <w:t>2.2.2.1 (b) (iii)</w:t>
      </w:r>
      <w:r>
        <w:tab/>
        <w:t>In the Note, replace “ISO 10156:2010” by “ISO 10156:2017”.</w:t>
      </w:r>
    </w:p>
    <w:p w:rsidR="00032726" w:rsidRPr="00CC56EE" w:rsidRDefault="00032726" w:rsidP="00032726">
      <w:pPr>
        <w:pStyle w:val="SingleTxtG"/>
        <w:rPr>
          <w:i/>
          <w:iCs/>
        </w:rPr>
      </w:pPr>
      <w:r w:rsidRPr="00CC56EE">
        <w:rPr>
          <w:i/>
          <w:iCs/>
        </w:rPr>
        <w:t>(Reference document</w:t>
      </w:r>
      <w:r>
        <w:rPr>
          <w:i/>
          <w:iCs/>
        </w:rPr>
        <w:t>:</w:t>
      </w:r>
      <w:r w:rsidRPr="00CC56EE">
        <w:rPr>
          <w:i/>
          <w:iCs/>
        </w:rPr>
        <w:t xml:space="preserve"> </w:t>
      </w:r>
      <w:r w:rsidR="00C4365D">
        <w:rPr>
          <w:i/>
          <w:iCs/>
          <w:lang w:val="fr-FR"/>
        </w:rPr>
        <w:t>ST/SG/AC.10/C.3/106/Add.1</w:t>
      </w:r>
      <w:r w:rsidRPr="00CC56EE">
        <w:rPr>
          <w:i/>
          <w:iCs/>
        </w:rPr>
        <w:t>)</w:t>
      </w:r>
    </w:p>
    <w:p w:rsidR="00032726" w:rsidRDefault="00032726" w:rsidP="00032726">
      <w:pPr>
        <w:pStyle w:val="SingleTxtG"/>
      </w:pPr>
      <w:r w:rsidRPr="006A7F00">
        <w:t>2.2.3 (a) and (d)</w:t>
      </w:r>
      <w:r>
        <w:tab/>
        <w:t>Replace “ISO 10156:2010” by “ISO 10156:2017”.</w:t>
      </w:r>
    </w:p>
    <w:p w:rsidR="00032726" w:rsidRPr="00CE3CF5" w:rsidRDefault="00032726" w:rsidP="00032726">
      <w:pPr>
        <w:pStyle w:val="SingleTxtG"/>
        <w:rPr>
          <w:i/>
          <w:iCs/>
        </w:rPr>
      </w:pPr>
      <w:r w:rsidRPr="00CC56EE">
        <w:rPr>
          <w:i/>
          <w:iCs/>
        </w:rPr>
        <w:t>(Reference document</w:t>
      </w:r>
      <w:r>
        <w:rPr>
          <w:i/>
          <w:iCs/>
        </w:rPr>
        <w:t>:</w:t>
      </w:r>
      <w:r w:rsidRPr="00CC56EE">
        <w:rPr>
          <w:i/>
          <w:iCs/>
        </w:rPr>
        <w:t xml:space="preserve"> </w:t>
      </w:r>
      <w:r w:rsidR="00C4365D">
        <w:rPr>
          <w:i/>
          <w:iCs/>
          <w:lang w:val="fr-FR"/>
        </w:rPr>
        <w:t>ST/SG/AC.10/C.3/106/Add.1</w:t>
      </w:r>
      <w:r>
        <w:rPr>
          <w:i/>
          <w:iCs/>
        </w:rPr>
        <w:t>)</w:t>
      </w:r>
    </w:p>
    <w:p w:rsidR="00032726" w:rsidRDefault="00032726" w:rsidP="00032726">
      <w:pPr>
        <w:pStyle w:val="H1G"/>
      </w:pPr>
      <w:r>
        <w:tab/>
      </w:r>
      <w:r>
        <w:tab/>
        <w:t>Chapter 2.4</w:t>
      </w:r>
    </w:p>
    <w:p w:rsidR="00032726" w:rsidRPr="00500DA7" w:rsidRDefault="00032726" w:rsidP="00032726">
      <w:pPr>
        <w:pStyle w:val="SingleTxtG"/>
      </w:pPr>
      <w:r>
        <w:t>2.4.3.2.3.1</w:t>
      </w:r>
      <w:r>
        <w:tab/>
        <w:t>In the Note, delete “except for type G”.</w:t>
      </w:r>
    </w:p>
    <w:p w:rsidR="00032726" w:rsidRDefault="00032726">
      <w:pPr>
        <w:pStyle w:val="SingleTxtG"/>
        <w:rPr>
          <w:i/>
          <w:iCs/>
          <w:lang w:val="en-US"/>
        </w:rPr>
      </w:pPr>
      <w:r w:rsidRPr="001B36C9">
        <w:rPr>
          <w:i/>
          <w:iCs/>
          <w:lang w:val="en-US"/>
        </w:rPr>
        <w:t xml:space="preserve">(Reference document: </w:t>
      </w:r>
      <w:r w:rsidR="00C4365D">
        <w:rPr>
          <w:i/>
          <w:iCs/>
          <w:lang w:val="fr-FR"/>
        </w:rPr>
        <w:t>ST/SG/AC.10/C.3/106/Add.1</w:t>
      </w:r>
      <w:r w:rsidRPr="001B36C9">
        <w:rPr>
          <w:i/>
          <w:iCs/>
          <w:lang w:val="en-US"/>
        </w:rPr>
        <w:t>)</w:t>
      </w:r>
    </w:p>
    <w:p w:rsidR="00032726" w:rsidRDefault="00032726" w:rsidP="00032726">
      <w:pPr>
        <w:pStyle w:val="H1G"/>
      </w:pPr>
      <w:r>
        <w:tab/>
      </w:r>
      <w:r>
        <w:tab/>
        <w:t>Chapter 2.5</w:t>
      </w:r>
    </w:p>
    <w:p w:rsidR="00032726" w:rsidRPr="003B3A0D" w:rsidRDefault="00032726" w:rsidP="00032726">
      <w:pPr>
        <w:pStyle w:val="SingleTxtG"/>
      </w:pPr>
      <w:r w:rsidRPr="00E816ED">
        <w:t>2.5.3.2.4</w:t>
      </w:r>
      <w:r w:rsidR="00E26FF8">
        <w:tab/>
      </w:r>
      <w:r>
        <w:t>In the table, for “</w:t>
      </w:r>
      <w:r w:rsidRPr="00234E6F">
        <w:t>D</w:t>
      </w:r>
      <w:r>
        <w:t>I</w:t>
      </w:r>
      <w:r w:rsidRPr="00234E6F">
        <w:t>-(4-</w:t>
      </w:r>
      <w:r>
        <w:t>tert</w:t>
      </w:r>
      <w:r w:rsidRPr="00234E6F">
        <w:t>-</w:t>
      </w:r>
      <w:r>
        <w:t>BUTYLCYCLOHEXYL</w:t>
      </w:r>
      <w:r w:rsidRPr="00234E6F">
        <w:t xml:space="preserve">) </w:t>
      </w:r>
      <w:r>
        <w:t>PEROXYDICARBONATE”, for concentration “</w:t>
      </w:r>
      <w:r w:rsidRPr="00CA445C">
        <w:t>≤</w:t>
      </w:r>
      <w:r>
        <w:t xml:space="preserve"> </w:t>
      </w:r>
      <w:r w:rsidRPr="00CA445C">
        <w:t>42</w:t>
      </w:r>
      <w:r>
        <w:t xml:space="preserve"> as a paste”, in column “Packing Method”, replace “OP7” by “OP8” and in column “Number (Generic entry)”, replace “3116” by “3118”.</w:t>
      </w:r>
    </w:p>
    <w:p w:rsidR="00032726" w:rsidRPr="004631AC" w:rsidRDefault="00032726">
      <w:pPr>
        <w:pStyle w:val="SingleTxtG"/>
        <w:rPr>
          <w:i/>
          <w:iCs/>
          <w:lang w:val="en-US"/>
        </w:rPr>
      </w:pPr>
      <w:r w:rsidRPr="008024E1">
        <w:rPr>
          <w:i/>
          <w:iCs/>
        </w:rPr>
        <w:t>(</w:t>
      </w:r>
      <w:r w:rsidRPr="008024E1">
        <w:rPr>
          <w:i/>
          <w:iCs/>
          <w:lang w:val="en-US"/>
        </w:rPr>
        <w:t xml:space="preserve">Reference document: </w:t>
      </w:r>
      <w:r w:rsidR="009B5004">
        <w:rPr>
          <w:i/>
          <w:iCs/>
          <w:lang w:val="fr-FR"/>
        </w:rPr>
        <w:t>ST/SG/AC.10/C.3/106/Add.1</w:t>
      </w:r>
      <w:r w:rsidRPr="008024E1">
        <w:rPr>
          <w:i/>
          <w:iCs/>
          <w:lang w:val="en-US"/>
        </w:rPr>
        <w:t>)</w:t>
      </w:r>
    </w:p>
    <w:p w:rsidR="0089110F" w:rsidRPr="000E4463" w:rsidRDefault="0089110F" w:rsidP="0089110F">
      <w:pPr>
        <w:pStyle w:val="H1G"/>
      </w:pPr>
      <w:r w:rsidRPr="000E4463">
        <w:tab/>
      </w:r>
      <w:r w:rsidRPr="000E4463">
        <w:tab/>
        <w:t>Chapter 2.6</w:t>
      </w:r>
    </w:p>
    <w:p w:rsidR="00032726" w:rsidRDefault="00032726" w:rsidP="00032726">
      <w:pPr>
        <w:pStyle w:val="SingleTxtG"/>
      </w:pPr>
      <w:r>
        <w:t>2.6.1 (b)</w:t>
      </w:r>
      <w:r>
        <w:tab/>
        <w:t>Delete “, rickettsiae”.</w:t>
      </w:r>
    </w:p>
    <w:p w:rsidR="00032726" w:rsidRDefault="00032726" w:rsidP="00032726">
      <w:pPr>
        <w:pStyle w:val="SingleTxtG"/>
        <w:rPr>
          <w:i/>
          <w:iCs/>
        </w:rPr>
      </w:pPr>
      <w:r w:rsidRPr="006B4002">
        <w:rPr>
          <w:i/>
          <w:iCs/>
        </w:rPr>
        <w:t xml:space="preserve">(Reference document: </w:t>
      </w:r>
      <w:r w:rsidR="009B5004">
        <w:rPr>
          <w:i/>
          <w:iCs/>
          <w:lang w:val="fr-FR"/>
        </w:rPr>
        <w:t>ST/SG/AC.10/C.3/106/Add.1</w:t>
      </w:r>
      <w:r w:rsidRPr="006B4002">
        <w:rPr>
          <w:i/>
          <w:iCs/>
        </w:rPr>
        <w:t>)</w:t>
      </w:r>
    </w:p>
    <w:p w:rsidR="00032726" w:rsidRDefault="00032726" w:rsidP="00032726">
      <w:pPr>
        <w:pStyle w:val="SingleTxtG"/>
      </w:pPr>
      <w:r>
        <w:t>2.6.3.1.1</w:t>
      </w:r>
      <w:r>
        <w:tab/>
        <w:t>Delete “, rickettsiae”.</w:t>
      </w:r>
    </w:p>
    <w:p w:rsidR="00032726" w:rsidRPr="004631AC" w:rsidRDefault="00032726">
      <w:pPr>
        <w:pStyle w:val="SingleTxtG"/>
        <w:rPr>
          <w:i/>
          <w:iCs/>
          <w:lang w:val="en-US"/>
        </w:rPr>
      </w:pPr>
      <w:r w:rsidRPr="001B36C9">
        <w:rPr>
          <w:i/>
          <w:iCs/>
          <w:lang w:val="en-US"/>
        </w:rPr>
        <w:t>(Reference document:</w:t>
      </w:r>
      <w:r w:rsidRPr="00C351AD">
        <w:rPr>
          <w:i/>
          <w:iCs/>
        </w:rPr>
        <w:t xml:space="preserve"> </w:t>
      </w:r>
      <w:r w:rsidR="009B5004">
        <w:rPr>
          <w:i/>
          <w:iCs/>
          <w:lang w:val="fr-FR"/>
        </w:rPr>
        <w:t>ST/SG/AC.10/C.3/106/Add.1</w:t>
      </w:r>
      <w:r w:rsidRPr="001B36C9">
        <w:rPr>
          <w:i/>
          <w:iCs/>
          <w:lang w:val="en-US"/>
        </w:rPr>
        <w:t>)</w:t>
      </w:r>
    </w:p>
    <w:p w:rsidR="0089110F" w:rsidRPr="000E4463" w:rsidRDefault="0089110F" w:rsidP="0089110F">
      <w:pPr>
        <w:pStyle w:val="SingleTxtG"/>
      </w:pPr>
      <w:r w:rsidRPr="000E4463">
        <w:t>[2.6.3.1.6</w:t>
      </w:r>
      <w:r w:rsidRPr="000E4463">
        <w:tab/>
        <w:t>Amend to read as follows:</w:t>
      </w:r>
    </w:p>
    <w:p w:rsidR="0089110F" w:rsidRPr="000E4463" w:rsidRDefault="0089110F" w:rsidP="0089110F">
      <w:pPr>
        <w:pStyle w:val="SingleTxtG"/>
      </w:pPr>
      <w:r w:rsidRPr="000E4463">
        <w:t>“Medical or clinical wastes are wastes derived from the veterinary treatment of animals</w:t>
      </w:r>
      <w:r w:rsidRPr="000E4463">
        <w:rPr>
          <w:u w:val="single"/>
        </w:rPr>
        <w:t>,</w:t>
      </w:r>
      <w:r w:rsidRPr="000E4463">
        <w:t xml:space="preserve"> the medical treatment of humans or from bio-research.”].</w:t>
      </w:r>
    </w:p>
    <w:p w:rsidR="0089110F" w:rsidRPr="000E4463" w:rsidRDefault="0089110F" w:rsidP="0089110F">
      <w:pPr>
        <w:pStyle w:val="SingleTxtG"/>
        <w:rPr>
          <w:i/>
          <w:iCs/>
        </w:rPr>
      </w:pPr>
      <w:r w:rsidRPr="000E4463">
        <w:rPr>
          <w:i/>
          <w:iCs/>
        </w:rPr>
        <w:t xml:space="preserve">(Reference document: </w:t>
      </w:r>
      <w:r w:rsidR="009B5004">
        <w:rPr>
          <w:i/>
          <w:iCs/>
          <w:lang w:val="fr-FR"/>
        </w:rPr>
        <w:t>ST/SG/AC.10/C.3/102/Add.1</w:t>
      </w:r>
      <w:r w:rsidRPr="000E4463">
        <w:rPr>
          <w:i/>
          <w:iCs/>
        </w:rPr>
        <w:t>)</w:t>
      </w:r>
    </w:p>
    <w:p w:rsidR="0089110F" w:rsidRPr="000E4463" w:rsidRDefault="0089110F" w:rsidP="0089110F">
      <w:pPr>
        <w:pStyle w:val="SingleTxtG"/>
      </w:pPr>
      <w:r w:rsidRPr="000E4463">
        <w:t>[2.6.3.2.1</w:t>
      </w:r>
      <w:r w:rsidRPr="000E4463">
        <w:tab/>
        <w:t>Replace “or UN 3373” by “, UN 3373 or UN 3549”].</w:t>
      </w:r>
    </w:p>
    <w:p w:rsidR="0089110F" w:rsidRDefault="0089110F" w:rsidP="0089110F">
      <w:pPr>
        <w:pStyle w:val="SingleTxtG"/>
        <w:rPr>
          <w:i/>
          <w:iCs/>
        </w:rPr>
      </w:pPr>
      <w:r w:rsidRPr="000E4463">
        <w:rPr>
          <w:i/>
          <w:iCs/>
        </w:rPr>
        <w:t xml:space="preserve">(Reference document: </w:t>
      </w:r>
      <w:r w:rsidR="003C266F">
        <w:rPr>
          <w:i/>
          <w:iCs/>
          <w:lang w:val="fr-FR"/>
        </w:rPr>
        <w:t>ST/SG/AC.10/C.3/102/Add.1</w:t>
      </w:r>
      <w:r w:rsidRPr="000E4463">
        <w:rPr>
          <w:i/>
          <w:iCs/>
        </w:rPr>
        <w:t>)</w:t>
      </w:r>
    </w:p>
    <w:p w:rsidR="0051406B" w:rsidRDefault="0051406B" w:rsidP="00412F73">
      <w:pPr>
        <w:pStyle w:val="SingleTxtG"/>
      </w:pPr>
    </w:p>
    <w:p w:rsidR="00412F73" w:rsidRDefault="00412F73" w:rsidP="00412F73">
      <w:pPr>
        <w:pStyle w:val="SingleTxtG"/>
      </w:pPr>
      <w:r w:rsidRPr="00341490">
        <w:lastRenderedPageBreak/>
        <w:t>2.6.3.2.2.</w:t>
      </w:r>
      <w:r>
        <w:t>2, Note 3</w:t>
      </w:r>
      <w:r>
        <w:tab/>
        <w:t>Delete “, mycoplasmas, rickettsia”.</w:t>
      </w:r>
    </w:p>
    <w:p w:rsidR="00412F73" w:rsidRPr="000E4463" w:rsidRDefault="00412F73">
      <w:pPr>
        <w:pStyle w:val="SingleTxtG"/>
        <w:rPr>
          <w:i/>
          <w:iCs/>
        </w:rPr>
      </w:pPr>
      <w:r w:rsidRPr="006B4002">
        <w:rPr>
          <w:i/>
          <w:iCs/>
        </w:rPr>
        <w:t xml:space="preserve">(Reference document: </w:t>
      </w:r>
      <w:r w:rsidR="003C266F">
        <w:rPr>
          <w:i/>
          <w:iCs/>
          <w:lang w:val="fr-FR"/>
        </w:rPr>
        <w:t>ST/SG/AC.10/C.3/106/Add.1</w:t>
      </w:r>
      <w:r w:rsidRPr="006B4002">
        <w:rPr>
          <w:i/>
          <w:iCs/>
        </w:rPr>
        <w:t>)</w:t>
      </w:r>
    </w:p>
    <w:p w:rsidR="0089110F" w:rsidRPr="000E4463" w:rsidRDefault="0089110F" w:rsidP="0089110F">
      <w:pPr>
        <w:pStyle w:val="SingleTxtG"/>
      </w:pPr>
      <w:r w:rsidRPr="000E4463">
        <w:t>[2.6.3.2.3.9 (a)</w:t>
      </w:r>
      <w:r w:rsidRPr="000E4463">
        <w:tab/>
        <w:t>In the parenthesis, after “UN 3291” add “and UN 3549”].</w:t>
      </w:r>
    </w:p>
    <w:p w:rsidR="0089110F" w:rsidRPr="000E4463" w:rsidRDefault="0089110F" w:rsidP="0089110F">
      <w:pPr>
        <w:pStyle w:val="SingleTxtG"/>
        <w:rPr>
          <w:i/>
          <w:iCs/>
        </w:rPr>
      </w:pPr>
      <w:r w:rsidRPr="000E4463">
        <w:rPr>
          <w:i/>
          <w:iCs/>
        </w:rPr>
        <w:t xml:space="preserve">(Reference document: </w:t>
      </w:r>
      <w:r w:rsidR="003C266F">
        <w:rPr>
          <w:i/>
          <w:iCs/>
          <w:lang w:val="fr-FR"/>
        </w:rPr>
        <w:t>ST/SG/AC.10/C.3/102/Add.1</w:t>
      </w:r>
      <w:r w:rsidRPr="000E4463">
        <w:rPr>
          <w:i/>
          <w:iCs/>
        </w:rPr>
        <w:t>)</w:t>
      </w:r>
    </w:p>
    <w:p w:rsidR="0089110F" w:rsidRPr="000E4463" w:rsidRDefault="0089110F" w:rsidP="0089110F">
      <w:pPr>
        <w:pStyle w:val="SingleTxtG"/>
      </w:pPr>
      <w:r w:rsidRPr="000E4463">
        <w:t>[2.6.3.5.1</w:t>
      </w:r>
      <w:r w:rsidRPr="000E4463">
        <w:tab/>
        <w:t>Amend to read as follows:</w:t>
      </w:r>
    </w:p>
    <w:p w:rsidR="0089110F" w:rsidRPr="000E4463" w:rsidRDefault="0089110F" w:rsidP="0089110F">
      <w:pPr>
        <w:pStyle w:val="SingleTxtG"/>
      </w:pPr>
      <w:r w:rsidRPr="000E4463">
        <w:t>2.6.3.5.1</w:t>
      </w:r>
      <w:r w:rsidRPr="000E4463">
        <w:tab/>
        <w:t>Medical or clinical waste containing:</w:t>
      </w:r>
    </w:p>
    <w:p w:rsidR="0089110F" w:rsidRPr="000E4463" w:rsidRDefault="0089110F" w:rsidP="0089110F">
      <w:pPr>
        <w:pStyle w:val="SingleTxtG"/>
      </w:pPr>
      <w:r w:rsidRPr="000E4463">
        <w:t>(a)</w:t>
      </w:r>
      <w:r w:rsidRPr="000E4463">
        <w:tab/>
        <w:t>Category A infectious substances shall be assigned to UN 2814, UN 2900 or UN 3549 as appropriate. Solid medical waste containing Category A infectious substances generated from the medical treatment of humans or veterinary treatment of animals may be assigned to UN 3549. The UN 3549 entry shall not be used for waste from bio-research or liquid waste;</w:t>
      </w:r>
      <w:r w:rsidRPr="000E4463">
        <w:rPr>
          <w:u w:val="single"/>
        </w:rPr>
        <w:t xml:space="preserve"> </w:t>
      </w:r>
    </w:p>
    <w:p w:rsidR="0089110F" w:rsidRPr="000E4463" w:rsidRDefault="0089110F" w:rsidP="0089110F">
      <w:pPr>
        <w:pStyle w:val="SingleTxtG"/>
      </w:pPr>
      <w:r w:rsidRPr="000E4463">
        <w:t>(b)</w:t>
      </w:r>
      <w:r w:rsidRPr="000E4463">
        <w:tab/>
        <w:t>Category B infectious substances shall be assigned to UN 3291.”]</w:t>
      </w:r>
    </w:p>
    <w:p w:rsidR="0089110F" w:rsidRDefault="0089110F" w:rsidP="00A867E2">
      <w:pPr>
        <w:pStyle w:val="SingleTxtG"/>
        <w:spacing w:after="0"/>
        <w:rPr>
          <w:i/>
          <w:iCs/>
        </w:rPr>
      </w:pPr>
      <w:r w:rsidRPr="000E4463">
        <w:rPr>
          <w:i/>
          <w:iCs/>
        </w:rPr>
        <w:t xml:space="preserve">(Reference document: </w:t>
      </w:r>
      <w:r w:rsidR="003C266F">
        <w:rPr>
          <w:i/>
          <w:iCs/>
          <w:lang w:val="fr-FR"/>
        </w:rPr>
        <w:t>ST/SG/AC.10/C.3/102/Add.1</w:t>
      </w:r>
      <w:r w:rsidRPr="000E4463">
        <w:rPr>
          <w:i/>
          <w:iCs/>
        </w:rPr>
        <w:t>)</w:t>
      </w:r>
    </w:p>
    <w:p w:rsidR="00DF763D" w:rsidRPr="007D36A1" w:rsidRDefault="00DF763D" w:rsidP="00DF763D">
      <w:pPr>
        <w:pStyle w:val="H1G"/>
      </w:pPr>
      <w:r>
        <w:tab/>
      </w:r>
      <w:r>
        <w:tab/>
      </w:r>
      <w:r w:rsidRPr="007D36A1">
        <w:t>Chapter 2.7</w:t>
      </w:r>
    </w:p>
    <w:p w:rsidR="00DF763D" w:rsidRPr="007D36A1" w:rsidRDefault="00DF763D" w:rsidP="00DF763D">
      <w:pPr>
        <w:pStyle w:val="SingleTxtG"/>
        <w:tabs>
          <w:tab w:val="left" w:pos="2268"/>
        </w:tabs>
      </w:pPr>
      <w:r w:rsidRPr="007D36A1">
        <w:t>2.7.2.1.1</w:t>
      </w:r>
      <w:r w:rsidRPr="007D36A1">
        <w:tab/>
        <w:t>Replace “2.7.2.4.2” by “2.7.2.4”.</w:t>
      </w:r>
    </w:p>
    <w:p w:rsidR="00DF763D"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Table 2.7.2.1.1</w:t>
      </w:r>
      <w:r w:rsidRPr="007D36A1">
        <w:tab/>
        <w:t>For UN 2913, in the Proper shipping name, replace “SCO-I or SCO-II” by “SCO-I, SCO-II or SCO-III”.</w:t>
      </w:r>
    </w:p>
    <w:p w:rsidR="00DF763D"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2.7.2.2.2</w:t>
      </w:r>
      <w:r w:rsidRPr="007D36A1">
        <w:tab/>
        <w:t>In (a), replace “the International Basic Safety Standards for Protection against Ionizing Radiation and for the Safety of Radiation Sources, Safety Series No.115, IAEA, Vienna (1996)” by  “</w:t>
      </w:r>
      <w:r w:rsidRPr="007D36A1">
        <w:rPr>
          <w:bCs/>
        </w:rPr>
        <w:t xml:space="preserve">Radiation Protection and Safety of Radiation Sources: International Basic Safety Standards, </w:t>
      </w:r>
      <w:r w:rsidRPr="007D36A1">
        <w:t>IAEA Safety Standards</w:t>
      </w:r>
      <w:r w:rsidRPr="007D36A1">
        <w:rPr>
          <w:bCs/>
        </w:rPr>
        <w:t xml:space="preserve"> </w:t>
      </w:r>
      <w:r w:rsidRPr="007D36A1">
        <w:t>Series No. GSR Part 3, IAEA, Vienna (2014)”.</w:t>
      </w:r>
    </w:p>
    <w:p w:rsidR="00DF763D" w:rsidRPr="007D36A1" w:rsidRDefault="00DF763D" w:rsidP="00DF763D">
      <w:pPr>
        <w:pStyle w:val="SingleTxtG"/>
        <w:tabs>
          <w:tab w:val="left" w:pos="2268"/>
        </w:tabs>
      </w:pPr>
      <w:r w:rsidRPr="007D36A1">
        <w:t>In (b), at the end, replace “the International Basic Safety Standards for Protection against Ionizing Radiation and for the Safety of Radiation Sources, Safety Series No.115, IAEA, Vienna (1996)” by  “GSR Part 3”.</w:t>
      </w:r>
    </w:p>
    <w:p w:rsidR="00DF763D" w:rsidRPr="007D36A1"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2.7.2.2.3</w:t>
      </w:r>
      <w:r w:rsidRPr="007D36A1">
        <w:tab/>
        <w:t xml:space="preserve">Replace “daughter nuclide” by “progeny nuclide” (twice). At the end, replace “daughter nuclides” by “progeny nuclides”. </w:t>
      </w:r>
    </w:p>
    <w:p w:rsidR="00DF763D"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Table 2.7.2.2.1</w:t>
      </w:r>
      <w:r w:rsidRPr="007D36A1">
        <w:tab/>
        <w:t xml:space="preserve"> Add the following rows in proper order</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DF763D" w:rsidRPr="007D36A1" w:rsidTr="00450213">
        <w:trPr>
          <w:trHeight w:hRule="exact" w:val="300"/>
        </w:trPr>
        <w:tc>
          <w:tcPr>
            <w:tcW w:w="1526" w:type="dxa"/>
            <w:shd w:val="clear" w:color="auto" w:fill="auto"/>
            <w:hideMark/>
          </w:tcPr>
          <w:p w:rsidR="00DF763D" w:rsidRPr="007D36A1" w:rsidRDefault="00DF763D" w:rsidP="00450213">
            <w:pPr>
              <w:ind w:right="-20"/>
              <w:jc w:val="both"/>
              <w:rPr>
                <w:sz w:val="18"/>
                <w:szCs w:val="18"/>
                <w:lang w:eastAsia="en-GB"/>
              </w:rPr>
            </w:pPr>
            <w:r w:rsidRPr="007D36A1">
              <w:rPr>
                <w:color w:val="231F20"/>
                <w:sz w:val="18"/>
                <w:szCs w:val="18"/>
                <w:lang w:eastAsia="en-GB"/>
              </w:rPr>
              <w:t>Ba-135m</w:t>
            </w:r>
          </w:p>
        </w:tc>
        <w:tc>
          <w:tcPr>
            <w:tcW w:w="1060" w:type="dxa"/>
            <w:shd w:val="clear" w:color="auto" w:fill="auto"/>
            <w:hideMark/>
          </w:tcPr>
          <w:p w:rsidR="00DF763D" w:rsidRPr="007D36A1" w:rsidRDefault="00DF763D" w:rsidP="00450213">
            <w:pPr>
              <w:ind w:right="-20"/>
              <w:rPr>
                <w:sz w:val="18"/>
                <w:lang w:eastAsia="en-GB"/>
              </w:rPr>
            </w:pPr>
            <w:r w:rsidRPr="007D36A1">
              <w:rPr>
                <w:color w:val="231F20"/>
                <w:sz w:val="18"/>
                <w:szCs w:val="18"/>
                <w:lang w:eastAsia="en-GB"/>
              </w:rPr>
              <w:t>2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position w:val="7"/>
                <w:sz w:val="18"/>
                <w:lang w:eastAsia="en-GB"/>
              </w:rPr>
              <w:t>1</w:t>
            </w:r>
          </w:p>
        </w:tc>
        <w:tc>
          <w:tcPr>
            <w:tcW w:w="992" w:type="dxa"/>
            <w:shd w:val="clear" w:color="auto" w:fill="auto"/>
            <w:hideMark/>
          </w:tcPr>
          <w:p w:rsidR="00DF763D" w:rsidRPr="007D36A1" w:rsidRDefault="00DF763D" w:rsidP="00450213">
            <w:pPr>
              <w:ind w:right="-20"/>
              <w:rPr>
                <w:sz w:val="18"/>
                <w:lang w:eastAsia="en-GB"/>
              </w:rPr>
            </w:pPr>
            <w:r w:rsidRPr="007D36A1">
              <w:rPr>
                <w:color w:val="231F20"/>
                <w:sz w:val="18"/>
                <w:szCs w:val="18"/>
                <w:lang w:eastAsia="en-GB"/>
              </w:rPr>
              <w:t>6</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spacing w:val="-1"/>
                <w:position w:val="7"/>
                <w:sz w:val="18"/>
                <w:lang w:eastAsia="en-GB"/>
              </w:rPr>
              <w:t>–1</w:t>
            </w:r>
          </w:p>
        </w:tc>
        <w:tc>
          <w:tcPr>
            <w:tcW w:w="992" w:type="dxa"/>
            <w:shd w:val="clear" w:color="auto" w:fill="auto"/>
            <w:hideMark/>
          </w:tcPr>
          <w:p w:rsidR="00DF763D" w:rsidRPr="007D36A1" w:rsidRDefault="00DF763D" w:rsidP="00450213">
            <w:pPr>
              <w:ind w:right="-20"/>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szCs w:val="18"/>
                <w:lang w:eastAsia="en-GB"/>
              </w:rPr>
              <w:t>2</w:t>
            </w:r>
          </w:p>
        </w:tc>
        <w:tc>
          <w:tcPr>
            <w:tcW w:w="992" w:type="dxa"/>
            <w:shd w:val="clear" w:color="auto" w:fill="auto"/>
            <w:hideMark/>
          </w:tcPr>
          <w:p w:rsidR="00DF763D" w:rsidRPr="007D36A1" w:rsidRDefault="00DF763D" w:rsidP="00450213">
            <w:pPr>
              <w:ind w:left="-171" w:right="-20" w:firstLine="205"/>
              <w:jc w:val="both"/>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lang w:eastAsia="en-GB"/>
              </w:rPr>
              <w:t>6</w:t>
            </w:r>
          </w:p>
        </w:tc>
      </w:tr>
      <w:tr w:rsidR="00DF763D" w:rsidRPr="007D36A1" w:rsidTr="00450213">
        <w:trPr>
          <w:trHeight w:val="301"/>
        </w:trPr>
        <w:tc>
          <w:tcPr>
            <w:tcW w:w="1526" w:type="dxa"/>
            <w:shd w:val="clear" w:color="auto" w:fill="auto"/>
          </w:tcPr>
          <w:p w:rsidR="00DF763D" w:rsidRPr="007D36A1" w:rsidRDefault="00DF763D" w:rsidP="00450213">
            <w:pPr>
              <w:tabs>
                <w:tab w:val="left" w:pos="2460"/>
                <w:tab w:val="left" w:pos="3640"/>
                <w:tab w:val="left" w:pos="4700"/>
                <w:tab w:val="left" w:pos="6040"/>
              </w:tabs>
              <w:ind w:right="-20"/>
              <w:rPr>
                <w:color w:val="231F20"/>
                <w:sz w:val="18"/>
                <w:szCs w:val="18"/>
                <w:lang w:eastAsia="en-GB"/>
              </w:rPr>
            </w:pPr>
            <w:r w:rsidRPr="007D36A1">
              <w:rPr>
                <w:color w:val="231F20"/>
                <w:sz w:val="18"/>
                <w:szCs w:val="18"/>
                <w:lang w:eastAsia="en-GB"/>
              </w:rPr>
              <w:t>Ge-69</w:t>
            </w:r>
          </w:p>
        </w:tc>
        <w:tc>
          <w:tcPr>
            <w:tcW w:w="1060" w:type="dxa"/>
            <w:shd w:val="clear" w:color="auto" w:fill="auto"/>
          </w:tcPr>
          <w:p w:rsidR="00DF763D" w:rsidRPr="007D36A1" w:rsidRDefault="00DF763D" w:rsidP="00450213">
            <w:pPr>
              <w:spacing w:line="280" w:lineRule="atLeast"/>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w:t>
            </w:r>
            <w:r w:rsidRPr="007D36A1">
              <w:rPr>
                <w:spacing w:val="-1"/>
                <w:sz w:val="18"/>
                <w:szCs w:val="18"/>
              </w:rPr>
              <w:t>0</w:t>
            </w:r>
            <w:r w:rsidRPr="007D36A1">
              <w:rPr>
                <w:position w:val="7"/>
                <w:sz w:val="18"/>
                <w:szCs w:val="18"/>
              </w:rPr>
              <w:t>0</w:t>
            </w:r>
          </w:p>
        </w:tc>
        <w:tc>
          <w:tcPr>
            <w:tcW w:w="992" w:type="dxa"/>
            <w:shd w:val="clear" w:color="auto" w:fill="auto"/>
          </w:tcPr>
          <w:p w:rsidR="00DF763D" w:rsidRPr="007D36A1" w:rsidRDefault="00DF763D" w:rsidP="00450213">
            <w:pPr>
              <w:spacing w:line="280" w:lineRule="atLeast"/>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7D36A1">
              <w:rPr>
                <w:position w:val="7"/>
                <w:sz w:val="18"/>
                <w:szCs w:val="18"/>
              </w:rPr>
              <w:t>0</w:t>
            </w:r>
          </w:p>
        </w:tc>
        <w:tc>
          <w:tcPr>
            <w:tcW w:w="992" w:type="dxa"/>
            <w:shd w:val="clear" w:color="auto" w:fill="auto"/>
          </w:tcPr>
          <w:p w:rsidR="00DF763D" w:rsidRPr="007D36A1" w:rsidRDefault="00DF763D" w:rsidP="00450213">
            <w:pPr>
              <w:spacing w:line="280" w:lineRule="atLeast"/>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7D36A1">
              <w:rPr>
                <w:position w:val="7"/>
                <w:sz w:val="18"/>
                <w:szCs w:val="18"/>
              </w:rPr>
              <w:t>1</w:t>
            </w:r>
          </w:p>
        </w:tc>
        <w:tc>
          <w:tcPr>
            <w:tcW w:w="992" w:type="dxa"/>
            <w:shd w:val="clear" w:color="auto" w:fill="auto"/>
          </w:tcPr>
          <w:p w:rsidR="00DF763D" w:rsidRPr="007D36A1" w:rsidRDefault="00DF763D" w:rsidP="00450213">
            <w:pPr>
              <w:tabs>
                <w:tab w:val="left" w:pos="2460"/>
                <w:tab w:val="left" w:pos="3640"/>
                <w:tab w:val="left" w:pos="4700"/>
                <w:tab w:val="left" w:pos="6040"/>
              </w:tabs>
              <w:ind w:left="-171" w:right="-20"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szCs w:val="18"/>
                <w:lang w:eastAsia="en-GB"/>
              </w:rPr>
              <w:t>6</w:t>
            </w:r>
          </w:p>
        </w:tc>
      </w:tr>
      <w:tr w:rsidR="00DF763D" w:rsidRPr="007D36A1" w:rsidTr="00450213">
        <w:trPr>
          <w:trHeight w:val="301"/>
        </w:trPr>
        <w:tc>
          <w:tcPr>
            <w:tcW w:w="1526" w:type="dxa"/>
            <w:shd w:val="clear" w:color="auto" w:fill="auto"/>
          </w:tcPr>
          <w:p w:rsidR="00DF763D" w:rsidRPr="007D36A1" w:rsidRDefault="00DF763D" w:rsidP="00450213">
            <w:pPr>
              <w:tabs>
                <w:tab w:val="left" w:pos="2460"/>
                <w:tab w:val="left" w:pos="3640"/>
                <w:tab w:val="left" w:pos="4700"/>
                <w:tab w:val="left" w:pos="6040"/>
              </w:tabs>
              <w:ind w:right="-20"/>
              <w:rPr>
                <w:sz w:val="18"/>
                <w:szCs w:val="18"/>
                <w:lang w:eastAsia="en-GB"/>
              </w:rPr>
            </w:pPr>
            <w:r w:rsidRPr="007D36A1">
              <w:rPr>
                <w:color w:val="231F20"/>
                <w:sz w:val="18"/>
                <w:szCs w:val="18"/>
                <w:lang w:eastAsia="en-GB"/>
              </w:rPr>
              <w:t>I</w:t>
            </w:r>
            <w:r w:rsidRPr="007D36A1">
              <w:rPr>
                <w:color w:val="231F20"/>
                <w:spacing w:val="-5"/>
                <w:sz w:val="18"/>
                <w:szCs w:val="18"/>
                <w:lang w:eastAsia="en-GB"/>
              </w:rPr>
              <w:t>r</w:t>
            </w:r>
            <w:r w:rsidRPr="007D36A1">
              <w:rPr>
                <w:color w:val="231F20"/>
                <w:sz w:val="18"/>
                <w:szCs w:val="18"/>
                <w:lang w:eastAsia="en-GB"/>
              </w:rPr>
              <w:t>-193m</w:t>
            </w:r>
          </w:p>
        </w:tc>
        <w:tc>
          <w:tcPr>
            <w:tcW w:w="1060" w:type="dxa"/>
            <w:shd w:val="clear" w:color="auto" w:fill="auto"/>
          </w:tcPr>
          <w:p w:rsidR="00DF763D" w:rsidRPr="007D36A1" w:rsidRDefault="00DF763D" w:rsidP="00450213">
            <w:pPr>
              <w:spacing w:line="280" w:lineRule="atLeast"/>
              <w:rPr>
                <w:sz w:val="18"/>
                <w:szCs w:val="18"/>
              </w:rPr>
            </w:pPr>
            <w:r w:rsidRPr="007D36A1">
              <w:rPr>
                <w:sz w:val="18"/>
                <w:szCs w:val="18"/>
              </w:rPr>
              <w:t>4 ×</w:t>
            </w:r>
            <w:r w:rsidRPr="007D36A1">
              <w:rPr>
                <w:spacing w:val="-1"/>
                <w:sz w:val="18"/>
                <w:szCs w:val="18"/>
              </w:rPr>
              <w:t xml:space="preserve"> </w:t>
            </w:r>
            <w:r w:rsidRPr="007D36A1">
              <w:rPr>
                <w:sz w:val="18"/>
                <w:szCs w:val="18"/>
              </w:rPr>
              <w:t>1</w:t>
            </w:r>
            <w:r w:rsidRPr="007D36A1">
              <w:rPr>
                <w:spacing w:val="-1"/>
                <w:sz w:val="18"/>
                <w:szCs w:val="18"/>
              </w:rPr>
              <w:t>0</w:t>
            </w:r>
            <w:r w:rsidRPr="007D36A1">
              <w:rPr>
                <w:position w:val="7"/>
                <w:sz w:val="18"/>
                <w:szCs w:val="18"/>
              </w:rPr>
              <w:t>1</w:t>
            </w:r>
          </w:p>
        </w:tc>
        <w:tc>
          <w:tcPr>
            <w:tcW w:w="992" w:type="dxa"/>
            <w:shd w:val="clear" w:color="auto" w:fill="auto"/>
          </w:tcPr>
          <w:p w:rsidR="00DF763D" w:rsidRPr="007D36A1" w:rsidRDefault="00DF763D" w:rsidP="00450213">
            <w:pPr>
              <w:spacing w:line="280" w:lineRule="atLeast"/>
              <w:rPr>
                <w:sz w:val="18"/>
                <w:szCs w:val="18"/>
              </w:rPr>
            </w:pPr>
            <w:r w:rsidRPr="007D36A1">
              <w:rPr>
                <w:sz w:val="18"/>
                <w:szCs w:val="18"/>
              </w:rPr>
              <w:t>4</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7D36A1">
              <w:rPr>
                <w:spacing w:val="-1"/>
                <w:position w:val="7"/>
                <w:sz w:val="18"/>
                <w:szCs w:val="18"/>
              </w:rPr>
              <w:t>0</w:t>
            </w:r>
          </w:p>
        </w:tc>
        <w:tc>
          <w:tcPr>
            <w:tcW w:w="992" w:type="dxa"/>
            <w:shd w:val="clear" w:color="auto" w:fill="auto"/>
          </w:tcPr>
          <w:p w:rsidR="00DF763D" w:rsidRPr="007D36A1" w:rsidRDefault="00DF763D" w:rsidP="00450213">
            <w:pPr>
              <w:spacing w:line="280" w:lineRule="atLeast"/>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7D36A1">
              <w:rPr>
                <w:position w:val="7"/>
                <w:sz w:val="18"/>
                <w:szCs w:val="18"/>
              </w:rPr>
              <w:t>4</w:t>
            </w:r>
          </w:p>
        </w:tc>
        <w:tc>
          <w:tcPr>
            <w:tcW w:w="992" w:type="dxa"/>
            <w:shd w:val="clear" w:color="auto" w:fill="auto"/>
          </w:tcPr>
          <w:p w:rsidR="00DF763D" w:rsidRPr="007D36A1" w:rsidRDefault="00DF763D" w:rsidP="00450213">
            <w:pPr>
              <w:tabs>
                <w:tab w:val="left" w:pos="2460"/>
                <w:tab w:val="left" w:pos="3640"/>
                <w:tab w:val="left" w:pos="4700"/>
                <w:tab w:val="left" w:pos="6040"/>
              </w:tabs>
              <w:ind w:left="-171" w:right="-20"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szCs w:val="18"/>
                <w:lang w:eastAsia="en-GB"/>
              </w:rPr>
              <w:t>7</w:t>
            </w:r>
          </w:p>
        </w:tc>
      </w:tr>
      <w:tr w:rsidR="00DF763D" w:rsidRPr="007D36A1" w:rsidTr="00450213">
        <w:trPr>
          <w:trHeight w:hRule="exact" w:val="300"/>
        </w:trPr>
        <w:tc>
          <w:tcPr>
            <w:tcW w:w="1526" w:type="dxa"/>
            <w:shd w:val="clear" w:color="auto" w:fill="auto"/>
          </w:tcPr>
          <w:p w:rsidR="00DF763D" w:rsidRPr="007D36A1" w:rsidRDefault="00DF763D" w:rsidP="00450213">
            <w:pPr>
              <w:ind w:right="-20"/>
              <w:rPr>
                <w:color w:val="231F20"/>
                <w:sz w:val="18"/>
                <w:szCs w:val="18"/>
                <w:lang w:eastAsia="en-GB"/>
              </w:rPr>
            </w:pPr>
            <w:r w:rsidRPr="007D36A1">
              <w:rPr>
                <w:color w:val="231F20"/>
                <w:sz w:val="18"/>
                <w:szCs w:val="18"/>
                <w:lang w:eastAsia="en-GB"/>
              </w:rPr>
              <w:t>Ni-57</w:t>
            </w:r>
          </w:p>
        </w:tc>
        <w:tc>
          <w:tcPr>
            <w:tcW w:w="1060" w:type="dxa"/>
            <w:shd w:val="clear" w:color="auto" w:fill="auto"/>
          </w:tcPr>
          <w:p w:rsidR="00DF763D" w:rsidRPr="007D36A1" w:rsidRDefault="00DF763D" w:rsidP="00450213">
            <w:pPr>
              <w:ind w:right="-20"/>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lang w:eastAsia="en-GB"/>
              </w:rPr>
              <w:t>–1</w:t>
            </w:r>
          </w:p>
        </w:tc>
        <w:tc>
          <w:tcPr>
            <w:tcW w:w="992" w:type="dxa"/>
            <w:shd w:val="clear" w:color="auto" w:fill="auto"/>
          </w:tcPr>
          <w:p w:rsidR="00DF763D" w:rsidRPr="007D36A1" w:rsidRDefault="00DF763D" w:rsidP="00450213">
            <w:pPr>
              <w:ind w:right="-20"/>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lang w:eastAsia="en-GB"/>
              </w:rPr>
              <w:t>–1</w:t>
            </w:r>
          </w:p>
        </w:tc>
        <w:tc>
          <w:tcPr>
            <w:tcW w:w="992" w:type="dxa"/>
            <w:shd w:val="clear" w:color="auto" w:fill="auto"/>
            <w:hideMark/>
          </w:tcPr>
          <w:p w:rsidR="00DF763D" w:rsidRPr="007D36A1" w:rsidRDefault="00DF763D" w:rsidP="00450213">
            <w:pPr>
              <w:ind w:right="-20"/>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position w:val="7"/>
                <w:sz w:val="18"/>
                <w:szCs w:val="18"/>
                <w:lang w:eastAsia="en-GB"/>
              </w:rPr>
              <w:t>1</w:t>
            </w:r>
          </w:p>
        </w:tc>
        <w:tc>
          <w:tcPr>
            <w:tcW w:w="992" w:type="dxa"/>
            <w:shd w:val="clear" w:color="auto" w:fill="auto"/>
            <w:hideMark/>
          </w:tcPr>
          <w:p w:rsidR="00DF763D" w:rsidRPr="007D36A1" w:rsidRDefault="00DF763D" w:rsidP="00450213">
            <w:pPr>
              <w:ind w:left="-171" w:right="-20"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szCs w:val="18"/>
                <w:lang w:eastAsia="en-GB"/>
              </w:rPr>
              <w:t>6</w:t>
            </w:r>
          </w:p>
        </w:tc>
      </w:tr>
      <w:tr w:rsidR="00DF763D" w:rsidRPr="007D36A1" w:rsidTr="00450213">
        <w:trPr>
          <w:trHeight w:hRule="exact" w:val="300"/>
        </w:trPr>
        <w:tc>
          <w:tcPr>
            <w:tcW w:w="1526" w:type="dxa"/>
            <w:shd w:val="clear" w:color="auto" w:fill="auto"/>
            <w:hideMark/>
          </w:tcPr>
          <w:p w:rsidR="00DF763D" w:rsidRPr="007D36A1" w:rsidRDefault="00DF763D" w:rsidP="00450213">
            <w:pPr>
              <w:ind w:right="-20"/>
              <w:rPr>
                <w:color w:val="231F20"/>
                <w:sz w:val="18"/>
                <w:szCs w:val="18"/>
                <w:lang w:eastAsia="en-GB"/>
              </w:rPr>
            </w:pPr>
            <w:r w:rsidRPr="007D36A1">
              <w:rPr>
                <w:color w:val="231F20"/>
                <w:sz w:val="18"/>
                <w:szCs w:val="18"/>
                <w:lang w:eastAsia="en-GB"/>
              </w:rPr>
              <w:t>S</w:t>
            </w:r>
            <w:r w:rsidRPr="007D36A1">
              <w:rPr>
                <w:color w:val="231F20"/>
                <w:spacing w:val="-4"/>
                <w:sz w:val="18"/>
                <w:szCs w:val="18"/>
                <w:lang w:eastAsia="en-GB"/>
              </w:rPr>
              <w:t>r</w:t>
            </w:r>
            <w:r w:rsidRPr="007D36A1">
              <w:rPr>
                <w:color w:val="231F20"/>
                <w:sz w:val="18"/>
                <w:szCs w:val="18"/>
                <w:lang w:eastAsia="en-GB"/>
              </w:rPr>
              <w:t>-83</w:t>
            </w:r>
          </w:p>
        </w:tc>
        <w:tc>
          <w:tcPr>
            <w:tcW w:w="1060" w:type="dxa"/>
            <w:shd w:val="clear" w:color="auto" w:fill="auto"/>
            <w:hideMark/>
          </w:tcPr>
          <w:p w:rsidR="00DF763D" w:rsidRPr="007D36A1" w:rsidRDefault="00DF763D" w:rsidP="00450213">
            <w:pPr>
              <w:ind w:right="-20"/>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7D36A1">
              <w:rPr>
                <w:color w:val="231F20"/>
                <w:position w:val="7"/>
                <w:sz w:val="18"/>
                <w:lang w:eastAsia="en-GB"/>
              </w:rPr>
              <w:t>0</w:t>
            </w:r>
          </w:p>
        </w:tc>
        <w:tc>
          <w:tcPr>
            <w:tcW w:w="992" w:type="dxa"/>
            <w:shd w:val="clear" w:color="auto" w:fill="auto"/>
            <w:hideMark/>
          </w:tcPr>
          <w:p w:rsidR="00DF763D" w:rsidRPr="007D36A1" w:rsidRDefault="00DF763D" w:rsidP="00450213">
            <w:pPr>
              <w:ind w:right="-20"/>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7D36A1">
              <w:rPr>
                <w:color w:val="231F20"/>
                <w:position w:val="7"/>
                <w:sz w:val="18"/>
                <w:lang w:eastAsia="en-GB"/>
              </w:rPr>
              <w:t>0</w:t>
            </w:r>
          </w:p>
        </w:tc>
        <w:tc>
          <w:tcPr>
            <w:tcW w:w="992" w:type="dxa"/>
            <w:shd w:val="clear" w:color="auto" w:fill="auto"/>
            <w:hideMark/>
          </w:tcPr>
          <w:p w:rsidR="00DF763D" w:rsidRPr="007D36A1" w:rsidRDefault="00DF763D" w:rsidP="00450213">
            <w:pPr>
              <w:ind w:right="-20"/>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lang w:eastAsia="en-GB"/>
              </w:rPr>
              <w:t>1</w:t>
            </w:r>
          </w:p>
        </w:tc>
        <w:tc>
          <w:tcPr>
            <w:tcW w:w="992" w:type="dxa"/>
            <w:shd w:val="clear" w:color="auto" w:fill="auto"/>
            <w:hideMark/>
          </w:tcPr>
          <w:p w:rsidR="00DF763D" w:rsidRPr="007D36A1" w:rsidRDefault="00DF763D" w:rsidP="00450213">
            <w:pPr>
              <w:ind w:left="-171" w:right="-20"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lang w:eastAsia="en-GB"/>
              </w:rPr>
              <w:t>6</w:t>
            </w:r>
          </w:p>
        </w:tc>
      </w:tr>
      <w:tr w:rsidR="00DF763D" w:rsidRPr="007D36A1" w:rsidTr="00450213">
        <w:trPr>
          <w:trHeight w:hRule="exact" w:val="300"/>
        </w:trPr>
        <w:tc>
          <w:tcPr>
            <w:tcW w:w="1526" w:type="dxa"/>
            <w:shd w:val="clear" w:color="auto" w:fill="auto"/>
          </w:tcPr>
          <w:p w:rsidR="00DF763D" w:rsidRPr="007D36A1" w:rsidRDefault="00DF763D" w:rsidP="00450213">
            <w:pPr>
              <w:ind w:right="-20"/>
              <w:rPr>
                <w:color w:val="231F20"/>
                <w:sz w:val="18"/>
                <w:szCs w:val="18"/>
                <w:lang w:eastAsia="en-GB"/>
              </w:rPr>
            </w:pPr>
            <w:r w:rsidRPr="007D36A1">
              <w:rPr>
                <w:color w:val="231F20"/>
                <w:sz w:val="18"/>
                <w:szCs w:val="18"/>
                <w:lang w:eastAsia="en-GB"/>
              </w:rPr>
              <w:t>Tb-149</w:t>
            </w:r>
          </w:p>
        </w:tc>
        <w:tc>
          <w:tcPr>
            <w:tcW w:w="1060" w:type="dxa"/>
            <w:shd w:val="clear" w:color="auto" w:fill="auto"/>
          </w:tcPr>
          <w:p w:rsidR="00DF763D" w:rsidRPr="007D36A1" w:rsidRDefault="00DF763D" w:rsidP="00450213">
            <w:pPr>
              <w:ind w:right="-20"/>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szCs w:val="18"/>
                <w:lang w:eastAsia="en-GB"/>
              </w:rPr>
              <w:t>–1</w:t>
            </w:r>
          </w:p>
        </w:tc>
        <w:tc>
          <w:tcPr>
            <w:tcW w:w="992" w:type="dxa"/>
            <w:shd w:val="clear" w:color="auto" w:fill="auto"/>
          </w:tcPr>
          <w:p w:rsidR="00DF763D" w:rsidRPr="007D36A1" w:rsidRDefault="00DF763D" w:rsidP="00450213">
            <w:pPr>
              <w:ind w:right="-20"/>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szCs w:val="18"/>
                <w:lang w:eastAsia="en-GB"/>
              </w:rPr>
              <w:t>–1</w:t>
            </w:r>
          </w:p>
        </w:tc>
        <w:tc>
          <w:tcPr>
            <w:tcW w:w="992" w:type="dxa"/>
            <w:shd w:val="clear" w:color="auto" w:fill="auto"/>
          </w:tcPr>
          <w:p w:rsidR="00DF763D" w:rsidRPr="007D36A1" w:rsidRDefault="00DF763D" w:rsidP="00450213">
            <w:pPr>
              <w:ind w:right="-20"/>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szCs w:val="18"/>
                <w:lang w:eastAsia="en-GB"/>
              </w:rPr>
              <w:t>1</w:t>
            </w:r>
          </w:p>
        </w:tc>
        <w:tc>
          <w:tcPr>
            <w:tcW w:w="992" w:type="dxa"/>
            <w:shd w:val="clear" w:color="auto" w:fill="auto"/>
          </w:tcPr>
          <w:p w:rsidR="00DF763D" w:rsidRPr="007D36A1" w:rsidRDefault="00DF763D" w:rsidP="00450213">
            <w:pPr>
              <w:ind w:left="-171" w:right="-20"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szCs w:val="18"/>
                <w:lang w:eastAsia="en-GB"/>
              </w:rPr>
              <w:t>6</w:t>
            </w:r>
          </w:p>
        </w:tc>
      </w:tr>
      <w:tr w:rsidR="00DF763D" w:rsidRPr="007D36A1" w:rsidTr="00450213">
        <w:trPr>
          <w:trHeight w:hRule="exact" w:val="288"/>
        </w:trPr>
        <w:tc>
          <w:tcPr>
            <w:tcW w:w="1526" w:type="dxa"/>
            <w:shd w:val="clear" w:color="auto" w:fill="auto"/>
          </w:tcPr>
          <w:p w:rsidR="00DF763D" w:rsidRPr="007D36A1" w:rsidRDefault="00DF763D" w:rsidP="00450213">
            <w:pPr>
              <w:ind w:right="-20"/>
              <w:rPr>
                <w:color w:val="231F20"/>
                <w:sz w:val="18"/>
                <w:szCs w:val="18"/>
                <w:lang w:eastAsia="en-GB"/>
              </w:rPr>
            </w:pPr>
            <w:r w:rsidRPr="007D36A1">
              <w:rPr>
                <w:color w:val="231F20"/>
                <w:sz w:val="18"/>
                <w:szCs w:val="18"/>
                <w:lang w:eastAsia="en-GB"/>
              </w:rPr>
              <w:t>Tb-161</w:t>
            </w:r>
          </w:p>
        </w:tc>
        <w:tc>
          <w:tcPr>
            <w:tcW w:w="1060" w:type="dxa"/>
            <w:shd w:val="clear" w:color="auto" w:fill="auto"/>
          </w:tcPr>
          <w:p w:rsidR="00DF763D" w:rsidRPr="007D36A1" w:rsidRDefault="00DF763D" w:rsidP="00450213">
            <w:pPr>
              <w:ind w:right="-20"/>
              <w:rPr>
                <w:color w:val="231F20"/>
                <w:sz w:val="18"/>
                <w:szCs w:val="18"/>
                <w:lang w:eastAsia="en-GB"/>
              </w:rPr>
            </w:pPr>
            <w:r w:rsidRPr="007D36A1">
              <w:rPr>
                <w:color w:val="231F20"/>
                <w:sz w:val="18"/>
                <w:szCs w:val="18"/>
                <w:lang w:eastAsia="en-GB"/>
              </w:rPr>
              <w:t>3 × 10</w:t>
            </w:r>
            <w:r w:rsidRPr="007D36A1">
              <w:rPr>
                <w:color w:val="231F20"/>
                <w:sz w:val="18"/>
                <w:szCs w:val="18"/>
                <w:vertAlign w:val="superscript"/>
                <w:lang w:eastAsia="en-GB"/>
              </w:rPr>
              <w:t>1</w:t>
            </w:r>
          </w:p>
        </w:tc>
        <w:tc>
          <w:tcPr>
            <w:tcW w:w="992" w:type="dxa"/>
            <w:shd w:val="clear" w:color="auto" w:fill="auto"/>
          </w:tcPr>
          <w:p w:rsidR="00DF763D" w:rsidRPr="007D36A1" w:rsidRDefault="00DF763D" w:rsidP="00450213">
            <w:pPr>
              <w:ind w:right="-20"/>
              <w:rPr>
                <w:color w:val="231F20"/>
                <w:sz w:val="18"/>
                <w:szCs w:val="18"/>
                <w:lang w:eastAsia="en-GB"/>
              </w:rPr>
            </w:pPr>
            <w:r w:rsidRPr="007D36A1">
              <w:rPr>
                <w:color w:val="231F20"/>
                <w:sz w:val="18"/>
                <w:szCs w:val="18"/>
                <w:lang w:eastAsia="en-GB"/>
              </w:rPr>
              <w:t>7 × 10</w:t>
            </w:r>
            <w:r w:rsidRPr="007D36A1">
              <w:rPr>
                <w:color w:val="231F20"/>
                <w:sz w:val="18"/>
                <w:szCs w:val="18"/>
                <w:vertAlign w:val="superscript"/>
                <w:lang w:eastAsia="en-GB"/>
              </w:rPr>
              <w:t>-1</w:t>
            </w:r>
          </w:p>
        </w:tc>
        <w:tc>
          <w:tcPr>
            <w:tcW w:w="992" w:type="dxa"/>
            <w:shd w:val="clear" w:color="auto" w:fill="auto"/>
          </w:tcPr>
          <w:p w:rsidR="00DF763D" w:rsidRPr="007D36A1" w:rsidRDefault="00DF763D" w:rsidP="00450213">
            <w:pPr>
              <w:ind w:right="-20"/>
              <w:jc w:val="both"/>
              <w:rPr>
                <w:color w:val="231F20"/>
                <w:sz w:val="18"/>
                <w:szCs w:val="18"/>
                <w:lang w:eastAsia="en-GB"/>
              </w:rPr>
            </w:pPr>
            <w:r w:rsidRPr="007D36A1">
              <w:rPr>
                <w:color w:val="231F20"/>
                <w:sz w:val="18"/>
                <w:szCs w:val="18"/>
                <w:lang w:eastAsia="en-GB"/>
              </w:rPr>
              <w:t>1 × 10</w:t>
            </w:r>
            <w:r w:rsidRPr="007D36A1">
              <w:rPr>
                <w:color w:val="231F20"/>
                <w:sz w:val="18"/>
                <w:szCs w:val="18"/>
                <w:vertAlign w:val="superscript"/>
                <w:lang w:eastAsia="en-GB"/>
              </w:rPr>
              <w:t>3</w:t>
            </w:r>
          </w:p>
        </w:tc>
        <w:tc>
          <w:tcPr>
            <w:tcW w:w="992" w:type="dxa"/>
            <w:shd w:val="clear" w:color="auto" w:fill="auto"/>
          </w:tcPr>
          <w:p w:rsidR="00DF763D" w:rsidRPr="007D36A1" w:rsidRDefault="00DF763D" w:rsidP="00450213">
            <w:pPr>
              <w:ind w:left="-171" w:right="-20" w:firstLine="205"/>
              <w:rPr>
                <w:color w:val="231F20"/>
                <w:sz w:val="18"/>
                <w:szCs w:val="18"/>
                <w:lang w:eastAsia="en-GB"/>
              </w:rPr>
            </w:pPr>
            <w:r w:rsidRPr="007D36A1">
              <w:rPr>
                <w:color w:val="231F20"/>
                <w:sz w:val="18"/>
                <w:szCs w:val="18"/>
                <w:lang w:eastAsia="en-GB"/>
              </w:rPr>
              <w:t>1 × 10</w:t>
            </w:r>
            <w:r w:rsidRPr="007D36A1">
              <w:rPr>
                <w:color w:val="231F20"/>
                <w:sz w:val="18"/>
                <w:szCs w:val="18"/>
                <w:vertAlign w:val="superscript"/>
                <w:lang w:eastAsia="en-GB"/>
              </w:rPr>
              <w:t>6</w:t>
            </w:r>
          </w:p>
        </w:tc>
      </w:tr>
    </w:tbl>
    <w:p w:rsidR="00DF763D" w:rsidRPr="007D36A1" w:rsidRDefault="00DF763D" w:rsidP="00DF763D">
      <w:pPr>
        <w:pStyle w:val="SingleTxtG"/>
        <w:tabs>
          <w:tab w:val="left" w:pos="2268"/>
        </w:tabs>
        <w:spacing w:before="120"/>
      </w:pPr>
      <w:r w:rsidRPr="007D36A1">
        <w:lastRenderedPageBreak/>
        <w:t>In table note (b), at the end of the introductory sentence, add “(the activity to be taken into account is that of the parent nuclide only). After “Th-nat” and “U-nat”, insert a reference to footnote *. Footnote * reads: “* In the case of Th-natural, the parent nuclide is Th-232, in the case of U-natural the parent nuclide is U-238.”.</w:t>
      </w:r>
    </w:p>
    <w:p w:rsidR="00DF763D"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2.7.2.3.1.2</w:t>
      </w:r>
      <w:r w:rsidRPr="007D36A1">
        <w:tab/>
        <w:t xml:space="preserve">In sub-paragraph (c) delete “that meet the requirements of 2.7.2.3.1.3,”. Under sub-paragraph (c), delete sub-paragraph (ii) and renumber sub-paragraph (iii) as (ii). </w:t>
      </w:r>
    </w:p>
    <w:p w:rsidR="00DF763D"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2.7.2.3.1.3</w:t>
      </w:r>
      <w:r w:rsidRPr="007D36A1">
        <w:tab/>
        <w:t xml:space="preserve">Delete and add “2.7.2.3.1.3 </w:t>
      </w:r>
      <w:r w:rsidRPr="007D36A1">
        <w:tab/>
      </w:r>
      <w:r w:rsidRPr="007D36A1">
        <w:rPr>
          <w:i/>
        </w:rPr>
        <w:t>Deleted</w:t>
      </w:r>
      <w:r w:rsidRPr="007D36A1">
        <w:t>”.</w:t>
      </w:r>
    </w:p>
    <w:p w:rsidR="00DF763D"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2.7.2.3.2</w:t>
      </w:r>
      <w:r w:rsidRPr="007D36A1">
        <w:tab/>
        <w:t>In the introductory sentence before (a), replace “two” by “three”. Add the following new sub-paragraph (c):</w:t>
      </w:r>
    </w:p>
    <w:p w:rsidR="00DF763D" w:rsidRPr="007D36A1" w:rsidRDefault="00DF763D" w:rsidP="00DF763D">
      <w:pPr>
        <w:pStyle w:val="SingleTxtG"/>
        <w:tabs>
          <w:tab w:val="left" w:pos="2268"/>
        </w:tabs>
      </w:pPr>
      <w:r w:rsidRPr="007D36A1">
        <w:t>“(c)</w:t>
      </w:r>
      <w:r w:rsidRPr="007D36A1">
        <w:tab/>
        <w:t xml:space="preserve">SCO-III: A large solid object which, because of its size, cannot be transported in a type of package described in these Regulations and for which: </w:t>
      </w:r>
    </w:p>
    <w:p w:rsidR="00DF763D" w:rsidRPr="007D36A1" w:rsidRDefault="00DF763D" w:rsidP="00DF763D">
      <w:pPr>
        <w:pStyle w:val="SingleTxtG"/>
        <w:tabs>
          <w:tab w:val="left" w:pos="2268"/>
        </w:tabs>
        <w:ind w:left="2268"/>
      </w:pPr>
      <w:r w:rsidRPr="007D36A1">
        <w:t>(i)</w:t>
      </w:r>
      <w:r w:rsidRPr="007D36A1">
        <w:tab/>
        <w:t xml:space="preserve">All openings are sealed to prevent release of radioactive material during conditions defined in 4.1.9.2.4.(e)) </w:t>
      </w:r>
    </w:p>
    <w:p w:rsidR="00DF763D" w:rsidRPr="007D36A1" w:rsidRDefault="00DF763D" w:rsidP="00DF763D">
      <w:pPr>
        <w:pStyle w:val="SingleTxtG"/>
        <w:tabs>
          <w:tab w:val="left" w:pos="2268"/>
        </w:tabs>
        <w:ind w:left="2268"/>
      </w:pPr>
      <w:r w:rsidRPr="007D36A1">
        <w:t xml:space="preserve">(ii) </w:t>
      </w:r>
      <w:r w:rsidRPr="007D36A1">
        <w:tab/>
        <w:t xml:space="preserve">The inside of the object is as dry as practicable; </w:t>
      </w:r>
    </w:p>
    <w:p w:rsidR="00DF763D" w:rsidRPr="007D36A1" w:rsidRDefault="00DF763D" w:rsidP="00DF763D">
      <w:pPr>
        <w:pStyle w:val="SingleTxtG"/>
        <w:tabs>
          <w:tab w:val="left" w:pos="2268"/>
        </w:tabs>
        <w:ind w:left="2268"/>
      </w:pPr>
      <w:r w:rsidRPr="007D36A1">
        <w:t>(iii)</w:t>
      </w:r>
      <w:r w:rsidRPr="007D36A1">
        <w:tab/>
        <w:t>The non-fixed contamination on the external surfaces does not exceed the limits specified in 4.1.9.1.2.</w:t>
      </w:r>
    </w:p>
    <w:p w:rsidR="00DF763D" w:rsidRPr="007D36A1" w:rsidRDefault="00DF763D" w:rsidP="00DF763D">
      <w:pPr>
        <w:pStyle w:val="SingleTxtG"/>
        <w:tabs>
          <w:tab w:val="left" w:pos="2268"/>
        </w:tabs>
      </w:pPr>
      <w:r>
        <w:tab/>
      </w:r>
      <w:r w:rsidRPr="007D36A1">
        <w:t>The non-fixed contamination plus the fixed contamination on the inaccessible surface averaged over 300 cm</w:t>
      </w:r>
      <w:r w:rsidRPr="007D36A1">
        <w:rPr>
          <w:vertAlign w:val="superscript"/>
        </w:rPr>
        <w:t>2</w:t>
      </w:r>
      <w:r w:rsidRPr="007D36A1">
        <w:t xml:space="preserve"> does not exceed 8 × 10</w:t>
      </w:r>
      <w:r w:rsidRPr="007D36A1">
        <w:rPr>
          <w:vertAlign w:val="superscript"/>
        </w:rPr>
        <w:t xml:space="preserve">5 </w:t>
      </w:r>
      <w:r w:rsidRPr="007D36A1">
        <w:t>Bq/cm</w:t>
      </w:r>
      <w:r w:rsidRPr="007D36A1">
        <w:rPr>
          <w:vertAlign w:val="superscript"/>
        </w:rPr>
        <w:t>2</w:t>
      </w:r>
      <w:r w:rsidRPr="007D36A1">
        <w:t xml:space="preserve"> for beta and gamma emitters and low toxicity alpha emitters, or 8 × 10</w:t>
      </w:r>
      <w:r w:rsidRPr="007D36A1">
        <w:rPr>
          <w:vertAlign w:val="superscript"/>
        </w:rPr>
        <w:t>4</w:t>
      </w:r>
      <w:r w:rsidRPr="007D36A1">
        <w:t xml:space="preserve"> Bq/cm</w:t>
      </w:r>
      <w:r w:rsidRPr="007D36A1">
        <w:rPr>
          <w:vertAlign w:val="superscript"/>
        </w:rPr>
        <w:t>2</w:t>
      </w:r>
      <w:r w:rsidRPr="007D36A1">
        <w:t xml:space="preserve"> for all other alpha emitters.”.</w:t>
      </w:r>
    </w:p>
    <w:p w:rsidR="00DF763D" w:rsidRPr="007D36A1"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552"/>
        </w:tabs>
      </w:pPr>
      <w:r w:rsidRPr="007D36A1">
        <w:t>2.7.2.3.3.5 (b)</w:t>
      </w:r>
      <w:r w:rsidRPr="007D36A1">
        <w:tab/>
        <w:t>After “a free drop of 1.4 kg”, replace “through 1 m” by “from a height of 1 m”.</w:t>
      </w:r>
    </w:p>
    <w:p w:rsidR="007100D5" w:rsidRDefault="00DF763D" w:rsidP="007100D5">
      <w:pPr>
        <w:pStyle w:val="SingleTxtG"/>
        <w:tabs>
          <w:tab w:val="left" w:pos="2552"/>
        </w:tabs>
        <w:rPr>
          <w:i/>
        </w:rPr>
      </w:pPr>
      <w:r>
        <w:rPr>
          <w:i/>
        </w:rPr>
        <w:t>(Reference document: ST/SG/AC.10/C.3/2018/54)</w:t>
      </w:r>
    </w:p>
    <w:p w:rsidR="00DF763D" w:rsidRPr="007D36A1" w:rsidRDefault="00DF763D" w:rsidP="007100D5">
      <w:pPr>
        <w:pStyle w:val="SingleTxtG"/>
        <w:tabs>
          <w:tab w:val="left" w:pos="2552"/>
        </w:tabs>
      </w:pPr>
      <w:r w:rsidRPr="007D36A1">
        <w:t>2.7.2.3.3.5 (c)</w:t>
      </w:r>
      <w:r w:rsidRPr="007D36A1">
        <w:tab/>
        <w:t>After “a free vertical drop of 1.4 kg”, replace “through 1 m” by “from a height of 1 m”.</w:t>
      </w:r>
    </w:p>
    <w:p w:rsidR="00DF763D" w:rsidRPr="007D36A1"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2.7.2.3.3.7</w:t>
      </w:r>
      <w:r w:rsidRPr="007D36A1">
        <w:tab/>
        <w:t>In sub-paragraph (b), replace “with specimen” by “and the specimen”.  In sub-paragraph (e), replace “with the specimen” by “and the specimen”.</w:t>
      </w:r>
    </w:p>
    <w:p w:rsidR="003370F1" w:rsidRDefault="00DF763D" w:rsidP="003370F1">
      <w:pPr>
        <w:pStyle w:val="SingleTxtG"/>
        <w:tabs>
          <w:tab w:val="left" w:pos="2268"/>
        </w:tabs>
        <w:rPr>
          <w:i/>
        </w:rPr>
      </w:pPr>
      <w:r>
        <w:rPr>
          <w:i/>
        </w:rPr>
        <w:t>(Reference document: ST/SG/AC.10/C.3/2018/54)</w:t>
      </w:r>
    </w:p>
    <w:p w:rsidR="00DF763D" w:rsidRPr="007D36A1" w:rsidRDefault="00DF763D" w:rsidP="003370F1">
      <w:pPr>
        <w:pStyle w:val="SingleTxtG"/>
        <w:tabs>
          <w:tab w:val="left" w:pos="2268"/>
        </w:tabs>
      </w:pPr>
      <w:r w:rsidRPr="007D36A1">
        <w:t>2.7.2.3.3.8</w:t>
      </w:r>
      <w:r w:rsidRPr="007D36A1">
        <w:tab/>
        <w:t>In sub-paragraph (a), in (ii), replace “shall be heated” by “shall the</w:t>
      </w:r>
      <w:r>
        <w:t>n</w:t>
      </w:r>
      <w:r w:rsidRPr="007D36A1">
        <w:t xml:space="preserve"> be heated”.</w:t>
      </w:r>
    </w:p>
    <w:p w:rsidR="003C7F5D" w:rsidRDefault="00DF763D" w:rsidP="00DF763D">
      <w:pPr>
        <w:pStyle w:val="SingleTxtG"/>
        <w:tabs>
          <w:tab w:val="left" w:pos="2268"/>
        </w:tabs>
        <w:rPr>
          <w:i/>
        </w:rPr>
      </w:pPr>
      <w:r>
        <w:rPr>
          <w:i/>
        </w:rPr>
        <w:t>(Reference document: ST/SG/AC.10/C.3/2018/54</w:t>
      </w:r>
      <w:r w:rsidR="0037639C">
        <w:rPr>
          <w:i/>
        </w:rPr>
        <w:t>, as amended</w:t>
      </w:r>
      <w:r>
        <w:rPr>
          <w:i/>
        </w:rPr>
        <w:t>)</w:t>
      </w:r>
    </w:p>
    <w:p w:rsidR="00DF763D" w:rsidRPr="007D36A1" w:rsidRDefault="00DF763D" w:rsidP="00DF763D">
      <w:pPr>
        <w:pStyle w:val="SingleTxtG"/>
        <w:tabs>
          <w:tab w:val="left" w:pos="2268"/>
        </w:tabs>
      </w:pPr>
      <w:r w:rsidRPr="007D36A1">
        <w:t>2.7.2.3.4.1</w:t>
      </w:r>
      <w:r w:rsidRPr="007D36A1">
        <w:tab/>
        <w:t>In sub-paragraph (a), replace “radiation level” by “dose rate”.</w:t>
      </w:r>
    </w:p>
    <w:p w:rsidR="003C7F5D"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2.7.2.3.5</w:t>
      </w:r>
      <w:r w:rsidRPr="007D36A1">
        <w:tab/>
        <w:t>In sub-paragraph (e), replace “limits provided in” by “the requirements of”.</w:t>
      </w:r>
    </w:p>
    <w:p w:rsidR="00DF763D" w:rsidRPr="007D36A1"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2.7.2.3.6</w:t>
      </w:r>
      <w:r w:rsidRPr="007D36A1">
        <w:tab/>
        <w:t>At the beginning, replace “A fissile material” by “Fissile material”.</w:t>
      </w:r>
    </w:p>
    <w:p w:rsidR="003C7F5D" w:rsidRDefault="00DF763D">
      <w:pPr>
        <w:pStyle w:val="SingleTxtG"/>
        <w:tabs>
          <w:tab w:val="left" w:pos="2268"/>
        </w:tabs>
        <w:rPr>
          <w:i/>
        </w:rPr>
      </w:pPr>
      <w:r>
        <w:rPr>
          <w:i/>
        </w:rPr>
        <w:t>(Reference document: ST/SG/AC.10/C.3/2018/54)</w:t>
      </w:r>
    </w:p>
    <w:p w:rsidR="00DF763D" w:rsidRPr="004631AC" w:rsidRDefault="00DF763D">
      <w:pPr>
        <w:pStyle w:val="SingleTxtG"/>
        <w:tabs>
          <w:tab w:val="left" w:pos="2268"/>
        </w:tabs>
        <w:rPr>
          <w:i/>
        </w:rPr>
      </w:pPr>
      <w:r w:rsidRPr="007D36A1">
        <w:lastRenderedPageBreak/>
        <w:t>2.7.2.4.1.3</w:t>
      </w:r>
      <w:r w:rsidRPr="007D36A1">
        <w:tab/>
        <w:t>Add additional sub-paragraphs (e) and (f):</w:t>
      </w:r>
    </w:p>
    <w:p w:rsidR="00DF763D" w:rsidRPr="007D36A1" w:rsidRDefault="00DF763D" w:rsidP="00DF763D">
      <w:pPr>
        <w:pStyle w:val="SingleTxtG"/>
        <w:tabs>
          <w:tab w:val="left" w:pos="2268"/>
        </w:tabs>
      </w:pPr>
      <w:r w:rsidRPr="007D36A1">
        <w:t>“(e)</w:t>
      </w:r>
      <w:r w:rsidRPr="007D36A1">
        <w:tab/>
      </w:r>
      <w:r w:rsidRPr="007D36A1">
        <w:rPr>
          <w:i/>
        </w:rPr>
        <w:t>Reserved</w:t>
      </w:r>
      <w:r w:rsidRPr="007D36A1">
        <w:t>;</w:t>
      </w:r>
    </w:p>
    <w:p w:rsidR="00DF763D" w:rsidRPr="007D36A1" w:rsidRDefault="00DF763D" w:rsidP="00DF763D">
      <w:pPr>
        <w:pStyle w:val="SingleTxtG"/>
        <w:tabs>
          <w:tab w:val="left" w:pos="2268"/>
        </w:tabs>
      </w:pPr>
      <w:r w:rsidRPr="007D36A1">
        <w:t>(f)</w:t>
      </w:r>
      <w:r w:rsidRPr="007D36A1">
        <w:tab/>
        <w:t>If the package contains fissile material, one of the provisions of sub-paragraphs (a)–(f) of 2.7.2.3.5 shall apply.”</w:t>
      </w:r>
    </w:p>
    <w:p w:rsidR="003C7F5D"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2.7.2.4.1.4</w:t>
      </w:r>
      <w:r w:rsidRPr="007D36A1">
        <w:tab/>
        <w:t>Add additional sub-paragraph (c):</w:t>
      </w:r>
    </w:p>
    <w:p w:rsidR="00DF763D" w:rsidRPr="007D36A1" w:rsidRDefault="00DF763D" w:rsidP="00DF763D">
      <w:pPr>
        <w:pStyle w:val="SingleTxtG"/>
        <w:tabs>
          <w:tab w:val="left" w:pos="2268"/>
        </w:tabs>
      </w:pPr>
      <w:r w:rsidRPr="007D36A1">
        <w:t xml:space="preserve">“(c) </w:t>
      </w:r>
      <w:r w:rsidRPr="007D36A1">
        <w:tab/>
        <w:t>If the package contains fissile material, one of the provisions of subparagraphs (a) to (f) of 2.7.2.3.5 shall apply.”</w:t>
      </w:r>
    </w:p>
    <w:p w:rsidR="00DF763D" w:rsidRPr="007D36A1" w:rsidRDefault="00DF763D" w:rsidP="00DF763D">
      <w:pPr>
        <w:pStyle w:val="SingleTxtG"/>
        <w:tabs>
          <w:tab w:val="left" w:pos="2268"/>
        </w:tabs>
      </w:pPr>
      <w:r w:rsidRPr="007D36A1">
        <w:t>Add “and” at the end of existing (b) (ii).</w:t>
      </w:r>
    </w:p>
    <w:p w:rsidR="003C7F5D" w:rsidRDefault="00DF763D" w:rsidP="00DF763D">
      <w:pPr>
        <w:pStyle w:val="SingleTxtG"/>
        <w:tabs>
          <w:tab w:val="left" w:pos="2268"/>
        </w:tabs>
        <w:rPr>
          <w:i/>
        </w:rPr>
      </w:pPr>
      <w:r>
        <w:rPr>
          <w:i/>
        </w:rPr>
        <w:t>(Reference document: ST/SG/AC.10/C.3/2018/54)</w:t>
      </w:r>
    </w:p>
    <w:p w:rsidR="00DF763D" w:rsidRPr="007D36A1" w:rsidRDefault="00DF763D" w:rsidP="00DF763D">
      <w:pPr>
        <w:pStyle w:val="SingleTxtG"/>
        <w:tabs>
          <w:tab w:val="left" w:pos="2268"/>
        </w:tabs>
      </w:pPr>
      <w:r w:rsidRPr="007D36A1">
        <w:t>2.7.2.4.1.7</w:t>
      </w:r>
      <w:r w:rsidRPr="007D36A1">
        <w:tab/>
        <w:t>Add additional sub-paragraph (e):</w:t>
      </w:r>
    </w:p>
    <w:p w:rsidR="00DF763D" w:rsidRPr="007D36A1" w:rsidRDefault="00DF763D" w:rsidP="00DF763D">
      <w:pPr>
        <w:pStyle w:val="SingleTxtG"/>
        <w:tabs>
          <w:tab w:val="left" w:pos="2268"/>
        </w:tabs>
      </w:pPr>
      <w:r w:rsidRPr="007D36A1">
        <w:t>“(e)</w:t>
      </w:r>
      <w:r w:rsidRPr="007D36A1">
        <w:tab/>
        <w:t>If the packaging has contained fissile material, one of the provisions of sub-paragraphs (a)–(f) of 2.7.2.3.5 or one of the provisions for exclusion in 2.7.1.3 shall apply.”.</w:t>
      </w:r>
    </w:p>
    <w:p w:rsidR="00DF763D" w:rsidRPr="007D36A1" w:rsidRDefault="00DF763D" w:rsidP="00DF763D">
      <w:pPr>
        <w:pStyle w:val="SingleTxtG"/>
        <w:tabs>
          <w:tab w:val="left" w:pos="2268"/>
        </w:tabs>
      </w:pPr>
      <w:r w:rsidRPr="007D36A1">
        <w:t>Transfer the “and” from the end of sub-paragraph (c) (ii) to the end of (d).</w:t>
      </w:r>
    </w:p>
    <w:p w:rsidR="00DF763D" w:rsidRPr="004631AC" w:rsidRDefault="00DF763D" w:rsidP="00C35350">
      <w:pPr>
        <w:pStyle w:val="SingleTxtG"/>
        <w:tabs>
          <w:tab w:val="left" w:pos="2268"/>
        </w:tabs>
        <w:spacing w:after="0"/>
        <w:rPr>
          <w:i/>
        </w:rPr>
      </w:pPr>
      <w:r>
        <w:rPr>
          <w:i/>
        </w:rPr>
        <w:t>(Reference document: ST/SG/AC.10/C.3/2018/54)</w:t>
      </w:r>
    </w:p>
    <w:p w:rsidR="0089110F" w:rsidRPr="000E4463" w:rsidRDefault="0089110F" w:rsidP="0089110F">
      <w:pPr>
        <w:pStyle w:val="H1G"/>
        <w:ind w:left="2268"/>
      </w:pPr>
      <w:r w:rsidRPr="000E4463">
        <w:t>Chapter 2.9</w:t>
      </w:r>
    </w:p>
    <w:p w:rsidR="00FD03C8" w:rsidRDefault="00FD03C8" w:rsidP="00FD03C8">
      <w:pPr>
        <w:pStyle w:val="SingleTxtG"/>
      </w:pPr>
      <w:r>
        <w:t>2.9.2</w:t>
      </w:r>
      <w:r>
        <w:tab/>
        <w:t>Under “Other substances or articles presenting a danger during transport…”, after “3359 FUMIGATED CARGO TRANSPORT UNIT”, add “3363 DANGEROUS GOODS IN ARTICLES or”</w:t>
      </w:r>
    </w:p>
    <w:p w:rsidR="00FD03C8" w:rsidRPr="00F1045F" w:rsidRDefault="00FD03C8" w:rsidP="00FD03C8">
      <w:pPr>
        <w:pStyle w:val="SingleTxtG"/>
        <w:rPr>
          <w:i/>
        </w:rPr>
      </w:pPr>
      <w:r w:rsidRPr="00F1045F">
        <w:rPr>
          <w:i/>
        </w:rPr>
        <w:t xml:space="preserve">(Reference document: </w:t>
      </w:r>
      <w:bookmarkStart w:id="2" w:name="_Hlk524439971"/>
      <w:r w:rsidR="006E6530">
        <w:rPr>
          <w:i/>
        </w:rPr>
        <w:t>ST/SG/AC.10/C.3/104/Add.1</w:t>
      </w:r>
      <w:bookmarkEnd w:id="2"/>
      <w:r w:rsidRPr="00F1045F">
        <w:rPr>
          <w:i/>
        </w:rPr>
        <w:t>)</w:t>
      </w:r>
    </w:p>
    <w:p w:rsidR="0089110F" w:rsidRPr="000E4463" w:rsidRDefault="0089110F" w:rsidP="0089110F">
      <w:pPr>
        <w:pStyle w:val="SingleTxtG"/>
      </w:pPr>
      <w:r w:rsidRPr="000E4463">
        <w:t>2.9.4 (g)</w:t>
      </w:r>
      <w:r w:rsidRPr="000E4463">
        <w:tab/>
        <w:t>After “Manufacturers and subsequent distributors of cells or batteries” add “manufactured after 30 June 2003”.</w:t>
      </w:r>
    </w:p>
    <w:p w:rsidR="0089110F" w:rsidRPr="000E4463" w:rsidRDefault="0089110F" w:rsidP="00A867E2">
      <w:pPr>
        <w:pStyle w:val="SingleTxtG"/>
        <w:spacing w:after="0"/>
        <w:rPr>
          <w:i/>
        </w:rPr>
      </w:pPr>
      <w:r w:rsidRPr="000E4463">
        <w:rPr>
          <w:i/>
        </w:rPr>
        <w:t xml:space="preserve">(Reference document: </w:t>
      </w:r>
      <w:bookmarkStart w:id="3" w:name="_Hlk524439984"/>
      <w:r w:rsidR="00BC7A94">
        <w:rPr>
          <w:i/>
        </w:rPr>
        <w:t>ST/SG/AC.10/C.3/102/Add.1</w:t>
      </w:r>
      <w:bookmarkEnd w:id="3"/>
      <w:r w:rsidRPr="000E4463">
        <w:rPr>
          <w:i/>
        </w:rPr>
        <w:t>)</w:t>
      </w:r>
    </w:p>
    <w:p w:rsidR="0089110F" w:rsidRPr="000E4463" w:rsidRDefault="003370F1" w:rsidP="0089110F">
      <w:pPr>
        <w:pStyle w:val="H1G"/>
        <w:rPr>
          <w:b w:val="0"/>
          <w:bCs/>
        </w:rPr>
      </w:pPr>
      <w:r>
        <w:tab/>
      </w:r>
      <w:r>
        <w:tab/>
      </w:r>
      <w:r w:rsidR="0089110F" w:rsidRPr="000E4463">
        <w:t>Chapter 3.2</w:t>
      </w:r>
      <w:r w:rsidR="0089110F" w:rsidRPr="000E4463">
        <w:rPr>
          <w:b w:val="0"/>
          <w:bCs/>
        </w:rPr>
        <w:t xml:space="preserve"> </w:t>
      </w:r>
    </w:p>
    <w:p w:rsidR="0089110F" w:rsidRDefault="0089110F" w:rsidP="0089110F">
      <w:pPr>
        <w:pStyle w:val="H23G"/>
      </w:pPr>
      <w:r w:rsidRPr="000E4463">
        <w:tab/>
      </w:r>
      <w:r w:rsidRPr="000E4463">
        <w:tab/>
        <w:t>Dangerous goods list</w:t>
      </w:r>
    </w:p>
    <w:p w:rsidR="007512BD" w:rsidRPr="00FE4DAE" w:rsidRDefault="007512BD" w:rsidP="007512BD">
      <w:pPr>
        <w:pStyle w:val="SingleTxtG"/>
      </w:pPr>
      <w:r>
        <w:tab/>
      </w:r>
      <w:r w:rsidRPr="00FE4DAE">
        <w:t xml:space="preserve">Add the following new </w:t>
      </w:r>
      <w:r>
        <w:t>entries</w:t>
      </w:r>
      <w:r w:rsidRPr="00FE4DAE">
        <w:t>:</w:t>
      </w:r>
    </w:p>
    <w:tbl>
      <w:tblPr>
        <w:tblW w:w="4439"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
        <w:gridCol w:w="3721"/>
        <w:gridCol w:w="609"/>
        <w:gridCol w:w="330"/>
        <w:gridCol w:w="405"/>
        <w:gridCol w:w="489"/>
        <w:gridCol w:w="417"/>
        <w:gridCol w:w="385"/>
        <w:gridCol w:w="663"/>
        <w:gridCol w:w="325"/>
        <w:gridCol w:w="356"/>
        <w:gridCol w:w="310"/>
      </w:tblGrid>
      <w:tr w:rsidR="008705A6" w:rsidRPr="00051154" w:rsidTr="008705A6">
        <w:trPr>
          <w:trHeight w:hRule="exact" w:val="370"/>
        </w:trPr>
        <w:tc>
          <w:tcPr>
            <w:tcW w:w="316"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(1)</w:t>
            </w:r>
          </w:p>
        </w:tc>
        <w:tc>
          <w:tcPr>
            <w:tcW w:w="2176"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(2)</w:t>
            </w:r>
          </w:p>
        </w:tc>
        <w:tc>
          <w:tcPr>
            <w:tcW w:w="356"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(3)</w:t>
            </w:r>
          </w:p>
        </w:tc>
        <w:tc>
          <w:tcPr>
            <w:tcW w:w="193"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(4)</w:t>
            </w:r>
          </w:p>
        </w:tc>
        <w:tc>
          <w:tcPr>
            <w:tcW w:w="237"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(5)</w:t>
            </w:r>
          </w:p>
        </w:tc>
        <w:tc>
          <w:tcPr>
            <w:tcW w:w="286"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(6)</w:t>
            </w:r>
          </w:p>
        </w:tc>
        <w:tc>
          <w:tcPr>
            <w:tcW w:w="244"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(7a)</w:t>
            </w:r>
          </w:p>
        </w:tc>
        <w:tc>
          <w:tcPr>
            <w:tcW w:w="225"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(7b)</w:t>
            </w:r>
          </w:p>
        </w:tc>
        <w:tc>
          <w:tcPr>
            <w:tcW w:w="388"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(8)</w:t>
            </w:r>
          </w:p>
        </w:tc>
        <w:tc>
          <w:tcPr>
            <w:tcW w:w="190"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(9)</w:t>
            </w:r>
          </w:p>
        </w:tc>
        <w:tc>
          <w:tcPr>
            <w:tcW w:w="208"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(10)</w:t>
            </w:r>
          </w:p>
        </w:tc>
        <w:tc>
          <w:tcPr>
            <w:tcW w:w="181" w:type="pct"/>
          </w:tcPr>
          <w:p w:rsidR="007512BD" w:rsidRPr="00051154" w:rsidRDefault="007512BD" w:rsidP="005B6F18">
            <w:pPr>
              <w:suppressAutoHyphens w:val="0"/>
              <w:spacing w:before="40" w:after="120" w:line="276" w:lineRule="auto"/>
              <w:jc w:val="center"/>
              <w:rPr>
                <w:bCs/>
                <w:iCs/>
                <w:sz w:val="18"/>
                <w:szCs w:val="18"/>
              </w:rPr>
            </w:pPr>
            <w:r w:rsidRPr="00051154">
              <w:rPr>
                <w:bCs/>
                <w:iCs/>
                <w:sz w:val="18"/>
                <w:szCs w:val="18"/>
              </w:rPr>
              <w:t>(11)</w:t>
            </w:r>
          </w:p>
        </w:tc>
      </w:tr>
      <w:tr w:rsidR="008705A6" w:rsidRPr="00051154" w:rsidTr="008705A6">
        <w:trPr>
          <w:trHeight w:hRule="exact" w:val="775"/>
        </w:trPr>
        <w:tc>
          <w:tcPr>
            <w:tcW w:w="316"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0511</w:t>
            </w:r>
          </w:p>
        </w:tc>
        <w:tc>
          <w:tcPr>
            <w:tcW w:w="2176" w:type="pct"/>
          </w:tcPr>
          <w:p w:rsidR="007512BD" w:rsidRPr="00051154" w:rsidRDefault="007512BD" w:rsidP="005B6F18">
            <w:pPr>
              <w:pStyle w:val="TableParagraph"/>
              <w:spacing w:before="6"/>
              <w:ind w:left="6" w:right="6"/>
              <w:jc w:val="left"/>
              <w:rPr>
                <w:b/>
                <w:sz w:val="18"/>
                <w:szCs w:val="18"/>
              </w:rPr>
            </w:pPr>
            <w:r w:rsidRPr="00051154">
              <w:rPr>
                <w:sz w:val="18"/>
                <w:szCs w:val="18"/>
              </w:rPr>
              <w:t>DETONATORS, ELECTRONIC programmable for blasting†</w:t>
            </w:r>
          </w:p>
        </w:tc>
        <w:tc>
          <w:tcPr>
            <w:tcW w:w="356" w:type="pct"/>
          </w:tcPr>
          <w:p w:rsidR="007512BD" w:rsidRPr="00051154" w:rsidRDefault="007512BD" w:rsidP="005B6F18">
            <w:pPr>
              <w:pStyle w:val="TableParagraph"/>
              <w:spacing w:before="6"/>
              <w:ind w:left="127" w:right="126"/>
              <w:rPr>
                <w:b/>
                <w:sz w:val="18"/>
                <w:szCs w:val="18"/>
              </w:rPr>
            </w:pPr>
            <w:r w:rsidRPr="00051154">
              <w:rPr>
                <w:sz w:val="18"/>
                <w:szCs w:val="18"/>
              </w:rPr>
              <w:t>1.1B</w:t>
            </w:r>
          </w:p>
        </w:tc>
        <w:tc>
          <w:tcPr>
            <w:tcW w:w="193" w:type="pct"/>
          </w:tcPr>
          <w:p w:rsidR="007512BD" w:rsidRPr="00051154" w:rsidRDefault="007512BD" w:rsidP="005B6F18">
            <w:pPr>
              <w:pStyle w:val="TableParagraph"/>
              <w:spacing w:before="6"/>
              <w:ind w:left="107" w:right="107"/>
              <w:rPr>
                <w:b/>
                <w:sz w:val="18"/>
                <w:szCs w:val="18"/>
              </w:rPr>
            </w:pPr>
          </w:p>
        </w:tc>
        <w:tc>
          <w:tcPr>
            <w:tcW w:w="237" w:type="pct"/>
          </w:tcPr>
          <w:p w:rsidR="007512BD" w:rsidRPr="00051154" w:rsidRDefault="007512BD" w:rsidP="005B6F18">
            <w:pPr>
              <w:pStyle w:val="TableParagraph"/>
              <w:spacing w:before="6"/>
              <w:ind w:left="67" w:right="67"/>
              <w:rPr>
                <w:b/>
                <w:sz w:val="18"/>
                <w:szCs w:val="18"/>
              </w:rPr>
            </w:pPr>
          </w:p>
        </w:tc>
        <w:tc>
          <w:tcPr>
            <w:tcW w:w="286" w:type="pct"/>
          </w:tcPr>
          <w:p w:rsidR="007512BD" w:rsidRPr="00051154" w:rsidRDefault="007512BD" w:rsidP="005B6F18">
            <w:pPr>
              <w:pStyle w:val="TableParagraph"/>
              <w:spacing w:before="6"/>
              <w:ind w:left="106" w:right="102"/>
              <w:rPr>
                <w:b/>
                <w:sz w:val="18"/>
                <w:szCs w:val="18"/>
              </w:rPr>
            </w:pPr>
          </w:p>
        </w:tc>
        <w:tc>
          <w:tcPr>
            <w:tcW w:w="244" w:type="pct"/>
          </w:tcPr>
          <w:p w:rsidR="007512BD" w:rsidRPr="00051154" w:rsidRDefault="007512BD" w:rsidP="005B6F18">
            <w:pPr>
              <w:pStyle w:val="TableParagraph"/>
              <w:spacing w:before="6"/>
              <w:ind w:left="-15" w:right="16"/>
              <w:rPr>
                <w:b/>
                <w:sz w:val="18"/>
                <w:szCs w:val="18"/>
              </w:rPr>
            </w:pPr>
            <w:r w:rsidRPr="00051154">
              <w:rPr>
                <w:sz w:val="18"/>
                <w:szCs w:val="18"/>
              </w:rPr>
              <w:t>0</w:t>
            </w:r>
          </w:p>
        </w:tc>
        <w:tc>
          <w:tcPr>
            <w:tcW w:w="225" w:type="pct"/>
          </w:tcPr>
          <w:p w:rsidR="007512BD" w:rsidRPr="00051154" w:rsidRDefault="007512BD" w:rsidP="005B6F18">
            <w:pPr>
              <w:pStyle w:val="TableParagraph"/>
              <w:spacing w:before="6"/>
              <w:rPr>
                <w:b/>
                <w:sz w:val="18"/>
                <w:szCs w:val="18"/>
              </w:rPr>
            </w:pPr>
            <w:r w:rsidRPr="00051154">
              <w:rPr>
                <w:sz w:val="18"/>
                <w:szCs w:val="18"/>
              </w:rPr>
              <w:t>E0</w:t>
            </w:r>
          </w:p>
        </w:tc>
        <w:tc>
          <w:tcPr>
            <w:tcW w:w="388" w:type="pct"/>
          </w:tcPr>
          <w:p w:rsidR="007512BD" w:rsidRPr="00051154" w:rsidRDefault="007512BD" w:rsidP="005B6F18">
            <w:pPr>
              <w:pStyle w:val="TableParagraph"/>
              <w:spacing w:before="6"/>
              <w:ind w:left="141" w:right="141"/>
              <w:rPr>
                <w:b/>
                <w:sz w:val="18"/>
                <w:szCs w:val="18"/>
              </w:rPr>
            </w:pPr>
            <w:r w:rsidRPr="00051154">
              <w:rPr>
                <w:sz w:val="18"/>
                <w:szCs w:val="18"/>
              </w:rPr>
              <w:t>P131</w:t>
            </w:r>
          </w:p>
        </w:tc>
        <w:tc>
          <w:tcPr>
            <w:tcW w:w="190" w:type="pct"/>
          </w:tcPr>
          <w:p w:rsidR="007512BD" w:rsidRPr="00051154" w:rsidRDefault="007512BD" w:rsidP="005B6F18">
            <w:pPr>
              <w:pStyle w:val="TableParagraph"/>
              <w:spacing w:before="6"/>
              <w:ind w:right="226"/>
              <w:jc w:val="right"/>
              <w:rPr>
                <w:b/>
                <w:sz w:val="18"/>
                <w:szCs w:val="18"/>
                <w:u w:val="single"/>
              </w:rPr>
            </w:pPr>
          </w:p>
        </w:tc>
        <w:tc>
          <w:tcPr>
            <w:tcW w:w="208" w:type="pct"/>
          </w:tcPr>
          <w:p w:rsidR="007512BD" w:rsidRPr="00051154" w:rsidRDefault="007512BD" w:rsidP="005B6F18">
            <w:pPr>
              <w:pStyle w:val="TableParagraph"/>
              <w:spacing w:before="6"/>
              <w:ind w:left="7" w:right="8"/>
              <w:rPr>
                <w:b/>
                <w:sz w:val="18"/>
                <w:szCs w:val="18"/>
                <w:u w:val="single"/>
              </w:rPr>
            </w:pPr>
          </w:p>
        </w:tc>
        <w:tc>
          <w:tcPr>
            <w:tcW w:w="181" w:type="pct"/>
          </w:tcPr>
          <w:p w:rsidR="007512BD" w:rsidRPr="00051154" w:rsidRDefault="007512BD" w:rsidP="005B6F18">
            <w:pPr>
              <w:pStyle w:val="TableParagraph"/>
              <w:spacing w:before="6"/>
              <w:ind w:left="213"/>
              <w:jc w:val="left"/>
              <w:rPr>
                <w:b/>
                <w:sz w:val="18"/>
                <w:szCs w:val="18"/>
                <w:u w:val="single"/>
              </w:rPr>
            </w:pPr>
          </w:p>
        </w:tc>
      </w:tr>
      <w:tr w:rsidR="008705A6" w:rsidRPr="00051154" w:rsidTr="008705A6">
        <w:trPr>
          <w:trHeight w:hRule="exact" w:val="811"/>
        </w:trPr>
        <w:tc>
          <w:tcPr>
            <w:tcW w:w="316"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0512</w:t>
            </w:r>
          </w:p>
        </w:tc>
        <w:tc>
          <w:tcPr>
            <w:tcW w:w="2176" w:type="pct"/>
          </w:tcPr>
          <w:p w:rsidR="007512BD" w:rsidRPr="00051154" w:rsidRDefault="007512BD" w:rsidP="005B6F18">
            <w:pPr>
              <w:pStyle w:val="TableParagraph"/>
              <w:spacing w:before="6"/>
              <w:ind w:left="6" w:right="6"/>
              <w:jc w:val="left"/>
              <w:rPr>
                <w:sz w:val="18"/>
                <w:szCs w:val="18"/>
              </w:rPr>
            </w:pPr>
            <w:r w:rsidRPr="00051154">
              <w:rPr>
                <w:sz w:val="18"/>
                <w:szCs w:val="18"/>
              </w:rPr>
              <w:t>DETONATORS, ELECTRONIC programmable for blasting†</w:t>
            </w:r>
          </w:p>
        </w:tc>
        <w:tc>
          <w:tcPr>
            <w:tcW w:w="356" w:type="pct"/>
          </w:tcPr>
          <w:p w:rsidR="007512BD" w:rsidRPr="00051154" w:rsidRDefault="007512BD" w:rsidP="005B6F18">
            <w:pPr>
              <w:pStyle w:val="TableParagraph"/>
              <w:spacing w:before="6"/>
              <w:ind w:left="127" w:right="126"/>
              <w:rPr>
                <w:sz w:val="18"/>
                <w:szCs w:val="18"/>
              </w:rPr>
            </w:pPr>
            <w:r w:rsidRPr="00051154">
              <w:rPr>
                <w:sz w:val="18"/>
                <w:szCs w:val="18"/>
              </w:rPr>
              <w:t>1.4B</w:t>
            </w:r>
          </w:p>
        </w:tc>
        <w:tc>
          <w:tcPr>
            <w:tcW w:w="193" w:type="pct"/>
          </w:tcPr>
          <w:p w:rsidR="007512BD" w:rsidRPr="00051154" w:rsidRDefault="007512BD" w:rsidP="005B6F18">
            <w:pPr>
              <w:pStyle w:val="TableParagraph"/>
              <w:spacing w:before="6"/>
              <w:ind w:left="107" w:right="107"/>
              <w:rPr>
                <w:b/>
                <w:sz w:val="18"/>
                <w:szCs w:val="18"/>
              </w:rPr>
            </w:pPr>
          </w:p>
        </w:tc>
        <w:tc>
          <w:tcPr>
            <w:tcW w:w="237" w:type="pct"/>
          </w:tcPr>
          <w:p w:rsidR="007512BD" w:rsidRPr="00051154" w:rsidRDefault="007512BD" w:rsidP="005B6F18">
            <w:pPr>
              <w:pStyle w:val="TableParagraph"/>
              <w:spacing w:before="6"/>
              <w:ind w:left="67" w:right="67"/>
              <w:rPr>
                <w:b/>
                <w:sz w:val="18"/>
                <w:szCs w:val="18"/>
              </w:rPr>
            </w:pPr>
          </w:p>
        </w:tc>
        <w:tc>
          <w:tcPr>
            <w:tcW w:w="286" w:type="pct"/>
          </w:tcPr>
          <w:p w:rsidR="007512BD" w:rsidRPr="00051154" w:rsidRDefault="007512BD" w:rsidP="005B6F18">
            <w:pPr>
              <w:pStyle w:val="TableParagraph"/>
              <w:spacing w:before="6"/>
              <w:ind w:left="106" w:right="102"/>
              <w:rPr>
                <w:b/>
                <w:sz w:val="18"/>
                <w:szCs w:val="18"/>
              </w:rPr>
            </w:pPr>
          </w:p>
        </w:tc>
        <w:tc>
          <w:tcPr>
            <w:tcW w:w="244" w:type="pct"/>
          </w:tcPr>
          <w:p w:rsidR="007512BD" w:rsidRPr="00051154" w:rsidRDefault="007512BD" w:rsidP="005B6F18">
            <w:pPr>
              <w:pStyle w:val="TableParagraph"/>
              <w:spacing w:before="6"/>
              <w:ind w:left="-15" w:right="16"/>
              <w:rPr>
                <w:sz w:val="18"/>
                <w:szCs w:val="18"/>
              </w:rPr>
            </w:pPr>
            <w:r w:rsidRPr="00051154">
              <w:rPr>
                <w:sz w:val="18"/>
                <w:szCs w:val="18"/>
              </w:rPr>
              <w:t>0</w:t>
            </w:r>
          </w:p>
        </w:tc>
        <w:tc>
          <w:tcPr>
            <w:tcW w:w="225" w:type="pct"/>
          </w:tcPr>
          <w:p w:rsidR="007512BD" w:rsidRPr="00051154" w:rsidRDefault="007512BD" w:rsidP="005B6F18">
            <w:pPr>
              <w:pStyle w:val="TableParagraph"/>
              <w:spacing w:before="6"/>
              <w:rPr>
                <w:sz w:val="18"/>
                <w:szCs w:val="18"/>
              </w:rPr>
            </w:pPr>
            <w:r w:rsidRPr="00051154">
              <w:rPr>
                <w:sz w:val="18"/>
                <w:szCs w:val="18"/>
              </w:rPr>
              <w:t>E0</w:t>
            </w:r>
          </w:p>
        </w:tc>
        <w:tc>
          <w:tcPr>
            <w:tcW w:w="388" w:type="pct"/>
          </w:tcPr>
          <w:p w:rsidR="007512BD" w:rsidRPr="00051154" w:rsidRDefault="007512BD" w:rsidP="005B6F18">
            <w:pPr>
              <w:pStyle w:val="TableParagraph"/>
              <w:spacing w:before="6"/>
              <w:ind w:left="141" w:right="141"/>
              <w:rPr>
                <w:sz w:val="18"/>
                <w:szCs w:val="18"/>
              </w:rPr>
            </w:pPr>
            <w:r w:rsidRPr="00051154">
              <w:rPr>
                <w:sz w:val="18"/>
                <w:szCs w:val="18"/>
              </w:rPr>
              <w:t>P131</w:t>
            </w:r>
          </w:p>
        </w:tc>
        <w:tc>
          <w:tcPr>
            <w:tcW w:w="190" w:type="pct"/>
          </w:tcPr>
          <w:p w:rsidR="007512BD" w:rsidRPr="00051154" w:rsidRDefault="007512BD" w:rsidP="005B6F18">
            <w:pPr>
              <w:pStyle w:val="TableParagraph"/>
              <w:spacing w:before="6"/>
              <w:ind w:right="226"/>
              <w:jc w:val="right"/>
              <w:rPr>
                <w:b/>
                <w:sz w:val="18"/>
                <w:szCs w:val="18"/>
                <w:u w:val="single"/>
              </w:rPr>
            </w:pPr>
          </w:p>
        </w:tc>
        <w:tc>
          <w:tcPr>
            <w:tcW w:w="208" w:type="pct"/>
          </w:tcPr>
          <w:p w:rsidR="007512BD" w:rsidRPr="00051154" w:rsidRDefault="007512BD" w:rsidP="005B6F18">
            <w:pPr>
              <w:pStyle w:val="TableParagraph"/>
              <w:spacing w:before="6"/>
              <w:ind w:left="7" w:right="8"/>
              <w:rPr>
                <w:b/>
                <w:sz w:val="18"/>
                <w:szCs w:val="18"/>
                <w:u w:val="single"/>
              </w:rPr>
            </w:pPr>
          </w:p>
        </w:tc>
        <w:tc>
          <w:tcPr>
            <w:tcW w:w="181" w:type="pct"/>
          </w:tcPr>
          <w:p w:rsidR="007512BD" w:rsidRPr="00051154" w:rsidRDefault="007512BD" w:rsidP="005B6F18">
            <w:pPr>
              <w:pStyle w:val="TableParagraph"/>
              <w:spacing w:before="6"/>
              <w:ind w:left="213"/>
              <w:jc w:val="left"/>
              <w:rPr>
                <w:b/>
                <w:sz w:val="18"/>
                <w:szCs w:val="18"/>
                <w:u w:val="single"/>
              </w:rPr>
            </w:pPr>
          </w:p>
        </w:tc>
      </w:tr>
      <w:tr w:rsidR="008705A6" w:rsidRPr="00051154" w:rsidTr="008705A6">
        <w:trPr>
          <w:trHeight w:hRule="exact" w:val="811"/>
        </w:trPr>
        <w:tc>
          <w:tcPr>
            <w:tcW w:w="316" w:type="pct"/>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0513</w:t>
            </w:r>
          </w:p>
        </w:tc>
        <w:tc>
          <w:tcPr>
            <w:tcW w:w="2176" w:type="pct"/>
          </w:tcPr>
          <w:p w:rsidR="007512BD" w:rsidRPr="00051154" w:rsidRDefault="007512BD" w:rsidP="005B6F18">
            <w:pPr>
              <w:pStyle w:val="TableParagraph"/>
              <w:spacing w:before="6"/>
              <w:ind w:left="6" w:right="6"/>
              <w:jc w:val="left"/>
              <w:rPr>
                <w:sz w:val="18"/>
                <w:szCs w:val="18"/>
              </w:rPr>
            </w:pPr>
            <w:r w:rsidRPr="00051154">
              <w:rPr>
                <w:sz w:val="18"/>
                <w:szCs w:val="18"/>
              </w:rPr>
              <w:t>DETONATORS, ELECTRONIC programmable for blasting†</w:t>
            </w:r>
          </w:p>
        </w:tc>
        <w:tc>
          <w:tcPr>
            <w:tcW w:w="356" w:type="pct"/>
          </w:tcPr>
          <w:p w:rsidR="007512BD" w:rsidRPr="00051154" w:rsidRDefault="007512BD" w:rsidP="005B6F18">
            <w:pPr>
              <w:pStyle w:val="TableParagraph"/>
              <w:spacing w:before="6"/>
              <w:ind w:left="127" w:right="126"/>
              <w:rPr>
                <w:sz w:val="18"/>
                <w:szCs w:val="18"/>
              </w:rPr>
            </w:pPr>
            <w:r w:rsidRPr="00051154">
              <w:rPr>
                <w:sz w:val="18"/>
                <w:szCs w:val="18"/>
              </w:rPr>
              <w:t>1.4S</w:t>
            </w:r>
          </w:p>
        </w:tc>
        <w:tc>
          <w:tcPr>
            <w:tcW w:w="193" w:type="pct"/>
          </w:tcPr>
          <w:p w:rsidR="007512BD" w:rsidRPr="00051154" w:rsidRDefault="007512BD" w:rsidP="005B6F18">
            <w:pPr>
              <w:pStyle w:val="TableParagraph"/>
              <w:spacing w:before="6"/>
              <w:ind w:left="107" w:right="107"/>
              <w:rPr>
                <w:b/>
                <w:sz w:val="18"/>
                <w:szCs w:val="18"/>
              </w:rPr>
            </w:pPr>
          </w:p>
        </w:tc>
        <w:tc>
          <w:tcPr>
            <w:tcW w:w="237" w:type="pct"/>
          </w:tcPr>
          <w:p w:rsidR="007512BD" w:rsidRPr="00051154" w:rsidRDefault="007512BD" w:rsidP="005B6F18">
            <w:pPr>
              <w:pStyle w:val="TableParagraph"/>
              <w:spacing w:before="6"/>
              <w:ind w:left="67" w:right="67"/>
              <w:rPr>
                <w:b/>
                <w:sz w:val="18"/>
                <w:szCs w:val="18"/>
              </w:rPr>
            </w:pPr>
          </w:p>
        </w:tc>
        <w:tc>
          <w:tcPr>
            <w:tcW w:w="286" w:type="pct"/>
          </w:tcPr>
          <w:p w:rsidR="007512BD" w:rsidRPr="00051154" w:rsidRDefault="007512BD" w:rsidP="005B6F18">
            <w:pPr>
              <w:pStyle w:val="TableParagraph"/>
              <w:spacing w:before="6"/>
              <w:ind w:left="106" w:right="102"/>
              <w:rPr>
                <w:b/>
                <w:sz w:val="18"/>
                <w:szCs w:val="18"/>
              </w:rPr>
            </w:pPr>
            <w:r w:rsidRPr="00051154">
              <w:rPr>
                <w:sz w:val="18"/>
                <w:szCs w:val="18"/>
              </w:rPr>
              <w:t>347</w:t>
            </w:r>
          </w:p>
        </w:tc>
        <w:tc>
          <w:tcPr>
            <w:tcW w:w="244" w:type="pct"/>
          </w:tcPr>
          <w:p w:rsidR="007512BD" w:rsidRPr="00051154" w:rsidRDefault="007512BD" w:rsidP="005B6F18">
            <w:pPr>
              <w:pStyle w:val="TableParagraph"/>
              <w:spacing w:before="6"/>
              <w:ind w:left="-15" w:right="16"/>
              <w:rPr>
                <w:sz w:val="18"/>
                <w:szCs w:val="18"/>
              </w:rPr>
            </w:pPr>
            <w:r w:rsidRPr="00051154">
              <w:rPr>
                <w:sz w:val="18"/>
                <w:szCs w:val="18"/>
              </w:rPr>
              <w:t>0</w:t>
            </w:r>
          </w:p>
        </w:tc>
        <w:tc>
          <w:tcPr>
            <w:tcW w:w="225" w:type="pct"/>
          </w:tcPr>
          <w:p w:rsidR="007512BD" w:rsidRPr="00051154" w:rsidRDefault="007512BD" w:rsidP="005B6F18">
            <w:pPr>
              <w:pStyle w:val="TableParagraph"/>
              <w:spacing w:before="6"/>
              <w:rPr>
                <w:sz w:val="18"/>
                <w:szCs w:val="18"/>
              </w:rPr>
            </w:pPr>
            <w:r w:rsidRPr="00051154">
              <w:rPr>
                <w:sz w:val="18"/>
                <w:szCs w:val="18"/>
              </w:rPr>
              <w:t>E0</w:t>
            </w:r>
          </w:p>
        </w:tc>
        <w:tc>
          <w:tcPr>
            <w:tcW w:w="388" w:type="pct"/>
          </w:tcPr>
          <w:p w:rsidR="007512BD" w:rsidRPr="00051154" w:rsidRDefault="007512BD" w:rsidP="005B6F18">
            <w:pPr>
              <w:pStyle w:val="TableParagraph"/>
              <w:spacing w:before="6"/>
              <w:ind w:left="141" w:right="141"/>
              <w:rPr>
                <w:sz w:val="18"/>
                <w:szCs w:val="18"/>
              </w:rPr>
            </w:pPr>
            <w:r w:rsidRPr="00051154">
              <w:rPr>
                <w:sz w:val="18"/>
                <w:szCs w:val="18"/>
              </w:rPr>
              <w:t>P131</w:t>
            </w:r>
          </w:p>
        </w:tc>
        <w:tc>
          <w:tcPr>
            <w:tcW w:w="190" w:type="pct"/>
          </w:tcPr>
          <w:p w:rsidR="007512BD" w:rsidRPr="00051154" w:rsidRDefault="007512BD" w:rsidP="005B6F18">
            <w:pPr>
              <w:pStyle w:val="TableParagraph"/>
              <w:spacing w:before="6"/>
              <w:ind w:right="226"/>
              <w:jc w:val="right"/>
              <w:rPr>
                <w:b/>
                <w:sz w:val="18"/>
                <w:szCs w:val="18"/>
                <w:u w:val="single"/>
              </w:rPr>
            </w:pPr>
          </w:p>
        </w:tc>
        <w:tc>
          <w:tcPr>
            <w:tcW w:w="208" w:type="pct"/>
          </w:tcPr>
          <w:p w:rsidR="007512BD" w:rsidRPr="00051154" w:rsidRDefault="007512BD" w:rsidP="005B6F18">
            <w:pPr>
              <w:pStyle w:val="TableParagraph"/>
              <w:spacing w:before="6"/>
              <w:ind w:left="7" w:right="8"/>
              <w:rPr>
                <w:b/>
                <w:sz w:val="18"/>
                <w:szCs w:val="18"/>
                <w:u w:val="single"/>
              </w:rPr>
            </w:pPr>
          </w:p>
        </w:tc>
        <w:tc>
          <w:tcPr>
            <w:tcW w:w="181" w:type="pct"/>
          </w:tcPr>
          <w:p w:rsidR="007512BD" w:rsidRPr="00051154" w:rsidRDefault="007512BD" w:rsidP="005B6F18">
            <w:pPr>
              <w:pStyle w:val="TableParagraph"/>
              <w:spacing w:before="6"/>
              <w:ind w:left="213"/>
              <w:jc w:val="left"/>
              <w:rPr>
                <w:b/>
                <w:sz w:val="18"/>
                <w:szCs w:val="18"/>
                <w:u w:val="single"/>
              </w:rPr>
            </w:pPr>
          </w:p>
        </w:tc>
      </w:tr>
    </w:tbl>
    <w:p w:rsidR="007512BD" w:rsidRPr="00FA54AA" w:rsidRDefault="00020245" w:rsidP="00FA54AA">
      <w:pPr>
        <w:pStyle w:val="SingleTxtG"/>
        <w:rPr>
          <w:i/>
          <w:iCs/>
          <w:lang w:val="en-US"/>
        </w:rPr>
      </w:pPr>
      <w:r>
        <w:rPr>
          <w:lang w:val="fr-CH"/>
        </w:rPr>
        <w:tab/>
      </w:r>
      <w:r w:rsidR="007512BD" w:rsidRPr="00020245">
        <w:rPr>
          <w:i/>
          <w:iCs/>
          <w:lang w:val="en-US"/>
        </w:rPr>
        <w:t xml:space="preserve">(Reference document: </w:t>
      </w:r>
      <w:bookmarkStart w:id="4" w:name="_Hlk524440000"/>
      <w:r w:rsidR="007512BD" w:rsidRPr="00020245">
        <w:rPr>
          <w:i/>
          <w:iCs/>
        </w:rPr>
        <w:t>ST/SG/AC.10/C.3/</w:t>
      </w:r>
      <w:r w:rsidR="00FA54AA">
        <w:rPr>
          <w:i/>
          <w:iCs/>
        </w:rPr>
        <w:t>106/Add.1</w:t>
      </w:r>
      <w:bookmarkEnd w:id="4"/>
      <w:r w:rsidR="007512BD" w:rsidRPr="00020245">
        <w:rPr>
          <w:i/>
          <w:iCs/>
          <w:lang w:val="en-US"/>
        </w:rPr>
        <w:t>)</w:t>
      </w: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40"/>
        <w:gridCol w:w="3765"/>
        <w:gridCol w:w="394"/>
        <w:gridCol w:w="266"/>
        <w:gridCol w:w="266"/>
        <w:gridCol w:w="439"/>
        <w:gridCol w:w="346"/>
        <w:gridCol w:w="369"/>
        <w:gridCol w:w="651"/>
        <w:gridCol w:w="266"/>
        <w:gridCol w:w="356"/>
        <w:gridCol w:w="356"/>
      </w:tblGrid>
      <w:tr w:rsidR="00F23977" w:rsidRPr="00051154" w:rsidTr="00EE0584">
        <w:trPr>
          <w:cantSplit/>
          <w:trHeight w:val="20"/>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lastRenderedPageBreak/>
              <w:t>(1)</w:t>
            </w:r>
          </w:p>
        </w:tc>
        <w:tc>
          <w:tcPr>
            <w:tcW w:w="3765"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(2)</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(3)</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(4)</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(5)</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(6)</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(7a)</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(7b)</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(8)</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(9)</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sz w:val="18"/>
                <w:szCs w:val="18"/>
              </w:rPr>
            </w:pPr>
            <w:r w:rsidRPr="00051154">
              <w:rPr>
                <w:bCs/>
                <w:sz w:val="18"/>
                <w:szCs w:val="18"/>
              </w:rPr>
              <w:t>(10)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120" w:line="276" w:lineRule="auto"/>
              <w:jc w:val="center"/>
              <w:rPr>
                <w:bCs/>
                <w:iCs/>
                <w:sz w:val="18"/>
                <w:szCs w:val="18"/>
              </w:rPr>
            </w:pPr>
            <w:r w:rsidRPr="00051154">
              <w:rPr>
                <w:bCs/>
                <w:iCs/>
                <w:sz w:val="18"/>
                <w:szCs w:val="18"/>
              </w:rPr>
              <w:t>(11)</w:t>
            </w:r>
          </w:p>
        </w:tc>
      </w:tr>
      <w:tr w:rsidR="00F23977" w:rsidRPr="00051154" w:rsidTr="00EE0584">
        <w:trPr>
          <w:cantSplit/>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line="200" w:lineRule="exact"/>
              <w:rPr>
                <w:sz w:val="18"/>
                <w:szCs w:val="18"/>
              </w:rPr>
            </w:pPr>
            <w:r w:rsidRPr="00F23977">
              <w:t>[</w:t>
            </w:r>
            <w:r w:rsidRPr="00051154">
              <w:rPr>
                <w:sz w:val="18"/>
                <w:szCs w:val="18"/>
              </w:rPr>
              <w:t>3549</w:t>
            </w:r>
          </w:p>
        </w:tc>
        <w:tc>
          <w:tcPr>
            <w:tcW w:w="3765"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tabs>
                <w:tab w:val="left" w:pos="288"/>
                <w:tab w:val="left" w:pos="576"/>
                <w:tab w:val="left" w:pos="864"/>
                <w:tab w:val="left" w:pos="1152"/>
              </w:tabs>
              <w:spacing w:before="40" w:after="40" w:line="210" w:lineRule="exact"/>
              <w:ind w:right="40"/>
              <w:rPr>
                <w:sz w:val="18"/>
                <w:szCs w:val="18"/>
              </w:rPr>
            </w:pPr>
            <w:r w:rsidRPr="00051154">
              <w:rPr>
                <w:sz w:val="18"/>
                <w:szCs w:val="18"/>
              </w:rPr>
              <w:t>MEDICAL WASTE, CATEGORY A, AFFECTING HUMANS, solid or MEDICAL WASTE, CATEGORY A, AFFECTING ANIMALS only, solid</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40" w:line="220" w:lineRule="exact"/>
              <w:ind w:right="113"/>
              <w:jc w:val="center"/>
              <w:rPr>
                <w:sz w:val="18"/>
                <w:szCs w:val="18"/>
                <w:lang w:val="fr-FR"/>
              </w:rPr>
            </w:pPr>
            <w:r w:rsidRPr="00051154">
              <w:rPr>
                <w:sz w:val="18"/>
                <w:szCs w:val="18"/>
                <w:lang w:val="fr-FR"/>
              </w:rPr>
              <w:t>6.2</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40" w:line="220" w:lineRule="exact"/>
              <w:ind w:right="113"/>
              <w:jc w:val="center"/>
              <w:rPr>
                <w:sz w:val="18"/>
                <w:szCs w:val="18"/>
                <w:lang w:val="fr-FR"/>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40" w:line="220" w:lineRule="exact"/>
              <w:ind w:right="113"/>
              <w:jc w:val="center"/>
              <w:rPr>
                <w:sz w:val="18"/>
                <w:szCs w:val="18"/>
                <w:lang w:val="fr-FR"/>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40" w:line="220" w:lineRule="exact"/>
              <w:ind w:right="113"/>
              <w:jc w:val="center"/>
              <w:rPr>
                <w:sz w:val="18"/>
                <w:szCs w:val="18"/>
                <w:lang w:val="fr-FR"/>
              </w:rPr>
            </w:pPr>
            <w:r w:rsidRPr="00051154">
              <w:rPr>
                <w:sz w:val="18"/>
                <w:szCs w:val="18"/>
                <w:lang w:val="fr-FR"/>
              </w:rPr>
              <w:t>395</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40" w:line="220" w:lineRule="exact"/>
              <w:ind w:right="113"/>
              <w:jc w:val="center"/>
              <w:rPr>
                <w:sz w:val="18"/>
                <w:szCs w:val="18"/>
                <w:lang w:val="fr-FR"/>
              </w:rPr>
            </w:pPr>
            <w:r w:rsidRPr="00051154">
              <w:rPr>
                <w:sz w:val="18"/>
                <w:szCs w:val="18"/>
                <w:lang w:val="fr-FR"/>
              </w:rPr>
              <w:t>0</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40" w:line="220" w:lineRule="exact"/>
              <w:ind w:right="113"/>
              <w:jc w:val="center"/>
              <w:rPr>
                <w:sz w:val="18"/>
                <w:szCs w:val="18"/>
                <w:lang w:val="fr-FR"/>
              </w:rPr>
            </w:pPr>
            <w:r w:rsidRPr="00051154">
              <w:rPr>
                <w:sz w:val="18"/>
                <w:szCs w:val="18"/>
                <w:lang w:val="fr-FR"/>
              </w:rPr>
              <w:t>E0</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40" w:line="220" w:lineRule="exact"/>
              <w:ind w:right="113"/>
              <w:jc w:val="center"/>
              <w:rPr>
                <w:sz w:val="18"/>
                <w:szCs w:val="18"/>
                <w:lang w:val="fr-FR"/>
              </w:rPr>
            </w:pPr>
            <w:r w:rsidRPr="00051154">
              <w:rPr>
                <w:sz w:val="18"/>
                <w:szCs w:val="18"/>
                <w:lang w:val="fr-FR"/>
              </w:rPr>
              <w:t>P622</w:t>
            </w:r>
          </w:p>
          <w:p w:rsidR="007512BD" w:rsidRPr="00051154" w:rsidRDefault="007512BD" w:rsidP="005B6F18">
            <w:pPr>
              <w:suppressAutoHyphens w:val="0"/>
              <w:spacing w:before="40" w:after="40" w:line="220" w:lineRule="exact"/>
              <w:ind w:right="113"/>
              <w:jc w:val="center"/>
              <w:rPr>
                <w:sz w:val="18"/>
                <w:szCs w:val="18"/>
                <w:highlight w:val="yellow"/>
                <w:lang w:val="fr-FR"/>
              </w:rPr>
            </w:pPr>
            <w:r w:rsidRPr="00051154">
              <w:rPr>
                <w:sz w:val="18"/>
                <w:szCs w:val="18"/>
                <w:lang w:val="fr-FR"/>
              </w:rPr>
              <w:t>LP622</w:t>
            </w: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40" w:line="220" w:lineRule="exact"/>
              <w:ind w:right="113"/>
              <w:jc w:val="center"/>
              <w:rPr>
                <w:sz w:val="18"/>
                <w:szCs w:val="18"/>
                <w:highlight w:val="yellow"/>
                <w:lang w:val="fr-FR"/>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7512BD" w:rsidRPr="00051154" w:rsidRDefault="007512BD" w:rsidP="005B6F18">
            <w:pPr>
              <w:suppressAutoHyphens w:val="0"/>
              <w:spacing w:before="40" w:after="40" w:line="220" w:lineRule="exact"/>
              <w:ind w:right="113"/>
              <w:jc w:val="center"/>
              <w:rPr>
                <w:sz w:val="18"/>
                <w:szCs w:val="18"/>
                <w:lang w:val="fr-FR"/>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7512BD" w:rsidRPr="00F23977" w:rsidRDefault="007512BD" w:rsidP="005B6F18">
            <w:pPr>
              <w:suppressAutoHyphens w:val="0"/>
              <w:spacing w:before="40" w:after="40" w:line="220" w:lineRule="exact"/>
              <w:ind w:right="113"/>
              <w:jc w:val="center"/>
              <w:rPr>
                <w:sz w:val="18"/>
                <w:szCs w:val="18"/>
                <w:lang w:val="fr-FR"/>
              </w:rPr>
            </w:pPr>
            <w:r w:rsidRPr="00F23977">
              <w:rPr>
                <w:sz w:val="18"/>
                <w:szCs w:val="18"/>
                <w:lang w:val="fr-FR"/>
              </w:rPr>
              <w:t>]</w:t>
            </w:r>
          </w:p>
        </w:tc>
      </w:tr>
    </w:tbl>
    <w:p w:rsidR="007512BD" w:rsidRPr="004631AC" w:rsidRDefault="007512BD" w:rsidP="00C07282">
      <w:pPr>
        <w:pStyle w:val="SingleTxtG"/>
        <w:spacing w:after="0"/>
        <w:rPr>
          <w:i/>
          <w:iCs/>
        </w:rPr>
      </w:pPr>
      <w:r>
        <w:rPr>
          <w:i/>
          <w:iCs/>
        </w:rPr>
        <w:t xml:space="preserve"> (Reference document</w:t>
      </w:r>
      <w:r w:rsidRPr="0038305B">
        <w:rPr>
          <w:i/>
          <w:iCs/>
        </w:rPr>
        <w:t xml:space="preserve">: </w:t>
      </w:r>
      <w:r w:rsidR="00FA54AA" w:rsidRPr="00020245">
        <w:rPr>
          <w:i/>
          <w:iCs/>
        </w:rPr>
        <w:t>ST/SG/AC.10/C.3/</w:t>
      </w:r>
      <w:r w:rsidR="00FA54AA">
        <w:rPr>
          <w:i/>
          <w:iCs/>
        </w:rPr>
        <w:t>106/Add.1</w:t>
      </w:r>
      <w:r w:rsidRPr="0038305B">
        <w:rPr>
          <w:i/>
          <w:iCs/>
        </w:rPr>
        <w:t>, replaces the amendment in annex II of document ST/SG/AC.10/C.3/102/Add.1)</w:t>
      </w:r>
    </w:p>
    <w:tbl>
      <w:tblPr>
        <w:tblpPr w:leftFromText="180" w:rightFromText="180" w:vertAnchor="text" w:horzAnchor="margin" w:tblpXSpec="center" w:tblpY="296"/>
        <w:tblW w:w="80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39" w:type="dxa"/>
          <w:right w:w="39" w:type="dxa"/>
        </w:tblCellMar>
        <w:tblLook w:val="0000" w:firstRow="0" w:lastRow="0" w:firstColumn="0" w:lastColumn="0" w:noHBand="0" w:noVBand="0"/>
      </w:tblPr>
      <w:tblGrid>
        <w:gridCol w:w="535"/>
        <w:gridCol w:w="3782"/>
        <w:gridCol w:w="407"/>
        <w:gridCol w:w="288"/>
        <w:gridCol w:w="292"/>
        <w:gridCol w:w="348"/>
        <w:gridCol w:w="370"/>
        <w:gridCol w:w="378"/>
        <w:gridCol w:w="559"/>
        <w:gridCol w:w="289"/>
        <w:gridCol w:w="378"/>
        <w:gridCol w:w="471"/>
      </w:tblGrid>
      <w:tr w:rsidR="00A71BCF" w:rsidRPr="00755589" w:rsidTr="00D37129">
        <w:trPr>
          <w:trHeight w:val="205"/>
        </w:trPr>
        <w:tc>
          <w:tcPr>
            <w:tcW w:w="535"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(1)</w:t>
            </w:r>
          </w:p>
        </w:tc>
        <w:tc>
          <w:tcPr>
            <w:tcW w:w="3782"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(2)</w:t>
            </w:r>
          </w:p>
        </w:tc>
        <w:tc>
          <w:tcPr>
            <w:tcW w:w="407"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(3)</w:t>
            </w:r>
          </w:p>
        </w:tc>
        <w:tc>
          <w:tcPr>
            <w:tcW w:w="288"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(4)</w:t>
            </w:r>
          </w:p>
        </w:tc>
        <w:tc>
          <w:tcPr>
            <w:tcW w:w="292"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(5)</w:t>
            </w:r>
          </w:p>
        </w:tc>
        <w:tc>
          <w:tcPr>
            <w:tcW w:w="348"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(6)</w:t>
            </w:r>
          </w:p>
        </w:tc>
        <w:tc>
          <w:tcPr>
            <w:tcW w:w="370"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(7a)</w:t>
            </w:r>
          </w:p>
        </w:tc>
        <w:tc>
          <w:tcPr>
            <w:tcW w:w="378"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(7b)</w:t>
            </w:r>
          </w:p>
        </w:tc>
        <w:tc>
          <w:tcPr>
            <w:tcW w:w="559"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(8)</w:t>
            </w:r>
          </w:p>
        </w:tc>
        <w:tc>
          <w:tcPr>
            <w:tcW w:w="289"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(9)</w:t>
            </w:r>
          </w:p>
        </w:tc>
        <w:tc>
          <w:tcPr>
            <w:tcW w:w="378"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(10)</w:t>
            </w:r>
          </w:p>
        </w:tc>
        <w:tc>
          <w:tcPr>
            <w:tcW w:w="471" w:type="dxa"/>
          </w:tcPr>
          <w:p w:rsidR="00EE0584" w:rsidRPr="00F23977" w:rsidRDefault="00EE0584" w:rsidP="00A71BCF">
            <w:pPr>
              <w:suppressAutoHyphens w:val="0"/>
              <w:spacing w:before="40" w:after="120" w:line="276" w:lineRule="auto"/>
              <w:jc w:val="center"/>
              <w:rPr>
                <w:bCs/>
                <w:sz w:val="18"/>
                <w:szCs w:val="18"/>
              </w:rPr>
            </w:pPr>
            <w:r w:rsidRPr="00F23977">
              <w:rPr>
                <w:bCs/>
                <w:sz w:val="18"/>
                <w:szCs w:val="18"/>
              </w:rPr>
              <w:t>(11)</w:t>
            </w:r>
          </w:p>
        </w:tc>
      </w:tr>
      <w:tr w:rsidR="00A71BCF" w:rsidRPr="00755589" w:rsidTr="00D37129">
        <w:trPr>
          <w:trHeight w:val="434"/>
        </w:trPr>
        <w:tc>
          <w:tcPr>
            <w:tcW w:w="535" w:type="dxa"/>
          </w:tcPr>
          <w:p w:rsidR="00EE0584" w:rsidRPr="00A71BCF" w:rsidRDefault="00EE0584" w:rsidP="00A71BCF">
            <w:pPr>
              <w:suppressAutoHyphens w:val="0"/>
              <w:spacing w:before="40" w:after="120" w:line="276" w:lineRule="auto"/>
              <w:jc w:val="center"/>
              <w:rPr>
                <w:bCs/>
                <w:sz w:val="18"/>
                <w:szCs w:val="18"/>
              </w:rPr>
            </w:pPr>
            <w:r w:rsidRPr="00A71BCF">
              <w:rPr>
                <w:bCs/>
                <w:sz w:val="18"/>
                <w:szCs w:val="18"/>
              </w:rPr>
              <w:t>1390</w:t>
            </w:r>
          </w:p>
        </w:tc>
        <w:tc>
          <w:tcPr>
            <w:tcW w:w="3782" w:type="dxa"/>
          </w:tcPr>
          <w:p w:rsidR="00EE0584" w:rsidRPr="00A71BCF" w:rsidRDefault="00EE0584" w:rsidP="00D37129">
            <w:pPr>
              <w:suppressAutoHyphens w:val="0"/>
              <w:spacing w:before="40" w:after="120" w:line="276" w:lineRule="auto"/>
              <w:rPr>
                <w:bCs/>
                <w:sz w:val="18"/>
                <w:szCs w:val="18"/>
              </w:rPr>
            </w:pPr>
            <w:r w:rsidRPr="00A71BCF">
              <w:rPr>
                <w:bCs/>
                <w:sz w:val="18"/>
                <w:szCs w:val="18"/>
              </w:rPr>
              <w:t>ALKALI METAL AMIDES</w:t>
            </w:r>
          </w:p>
        </w:tc>
        <w:tc>
          <w:tcPr>
            <w:tcW w:w="407" w:type="dxa"/>
          </w:tcPr>
          <w:p w:rsidR="00EE0584" w:rsidRPr="00A71BCF" w:rsidRDefault="00EE0584" w:rsidP="00A71BCF">
            <w:pPr>
              <w:suppressAutoHyphens w:val="0"/>
              <w:spacing w:before="40" w:after="120" w:line="276" w:lineRule="auto"/>
              <w:jc w:val="center"/>
              <w:rPr>
                <w:bCs/>
                <w:sz w:val="18"/>
                <w:szCs w:val="18"/>
              </w:rPr>
            </w:pPr>
            <w:r w:rsidRPr="00A71BCF">
              <w:rPr>
                <w:bCs/>
                <w:sz w:val="18"/>
                <w:szCs w:val="18"/>
              </w:rPr>
              <w:t>4.3</w:t>
            </w:r>
          </w:p>
        </w:tc>
        <w:tc>
          <w:tcPr>
            <w:tcW w:w="288" w:type="dxa"/>
          </w:tcPr>
          <w:p w:rsidR="00EE0584" w:rsidRPr="00A71BCF" w:rsidRDefault="00EE0584" w:rsidP="00A71BCF">
            <w:pPr>
              <w:suppressAutoHyphens w:val="0"/>
              <w:spacing w:before="40" w:after="120" w:line="276" w:lineRule="auto"/>
              <w:jc w:val="center"/>
              <w:rPr>
                <w:bCs/>
                <w:sz w:val="18"/>
                <w:szCs w:val="18"/>
              </w:rPr>
            </w:pPr>
          </w:p>
        </w:tc>
        <w:tc>
          <w:tcPr>
            <w:tcW w:w="292" w:type="dxa"/>
          </w:tcPr>
          <w:p w:rsidR="00EE0584" w:rsidRPr="00A71BCF" w:rsidRDefault="00EE0584" w:rsidP="00A71BCF">
            <w:pPr>
              <w:suppressAutoHyphens w:val="0"/>
              <w:spacing w:before="40" w:after="120" w:line="276" w:lineRule="auto"/>
              <w:jc w:val="center"/>
              <w:rPr>
                <w:bCs/>
                <w:sz w:val="18"/>
                <w:szCs w:val="18"/>
              </w:rPr>
            </w:pPr>
            <w:r w:rsidRPr="00A71BCF">
              <w:rPr>
                <w:bCs/>
                <w:sz w:val="18"/>
                <w:szCs w:val="18"/>
              </w:rPr>
              <w:t>I</w:t>
            </w:r>
          </w:p>
        </w:tc>
        <w:tc>
          <w:tcPr>
            <w:tcW w:w="348" w:type="dxa"/>
          </w:tcPr>
          <w:p w:rsidR="00EE0584" w:rsidRPr="00A71BCF" w:rsidRDefault="00EE0584" w:rsidP="00A71BCF">
            <w:pPr>
              <w:suppressAutoHyphens w:val="0"/>
              <w:spacing w:before="40" w:after="120" w:line="276" w:lineRule="auto"/>
              <w:jc w:val="center"/>
              <w:rPr>
                <w:bCs/>
                <w:sz w:val="18"/>
                <w:szCs w:val="18"/>
              </w:rPr>
            </w:pPr>
            <w:r w:rsidRPr="00A71BCF">
              <w:rPr>
                <w:bCs/>
                <w:sz w:val="18"/>
                <w:szCs w:val="18"/>
              </w:rPr>
              <w:t>182</w:t>
            </w:r>
          </w:p>
        </w:tc>
        <w:tc>
          <w:tcPr>
            <w:tcW w:w="370" w:type="dxa"/>
          </w:tcPr>
          <w:p w:rsidR="00EE0584" w:rsidRPr="00A71BCF" w:rsidRDefault="00EE0584" w:rsidP="00A71BCF">
            <w:pPr>
              <w:suppressAutoHyphens w:val="0"/>
              <w:spacing w:before="40" w:after="120" w:line="276" w:lineRule="auto"/>
              <w:jc w:val="center"/>
              <w:rPr>
                <w:bCs/>
                <w:sz w:val="18"/>
                <w:szCs w:val="18"/>
              </w:rPr>
            </w:pPr>
            <w:r w:rsidRPr="00A71BCF">
              <w:rPr>
                <w:bCs/>
                <w:sz w:val="18"/>
                <w:szCs w:val="18"/>
              </w:rPr>
              <w:t>0</w:t>
            </w:r>
          </w:p>
        </w:tc>
        <w:tc>
          <w:tcPr>
            <w:tcW w:w="378" w:type="dxa"/>
          </w:tcPr>
          <w:p w:rsidR="00EE0584" w:rsidRPr="00A71BCF" w:rsidRDefault="00EE0584" w:rsidP="00A71BCF">
            <w:pPr>
              <w:suppressAutoHyphens w:val="0"/>
              <w:spacing w:before="40" w:after="120" w:line="276" w:lineRule="auto"/>
              <w:jc w:val="center"/>
              <w:rPr>
                <w:bCs/>
                <w:sz w:val="18"/>
                <w:szCs w:val="18"/>
              </w:rPr>
            </w:pPr>
            <w:r w:rsidRPr="00A71BCF">
              <w:rPr>
                <w:bCs/>
                <w:sz w:val="18"/>
                <w:szCs w:val="18"/>
              </w:rPr>
              <w:t>E0</w:t>
            </w:r>
          </w:p>
        </w:tc>
        <w:tc>
          <w:tcPr>
            <w:tcW w:w="559" w:type="dxa"/>
          </w:tcPr>
          <w:p w:rsidR="00EE0584" w:rsidRPr="00A71BCF" w:rsidRDefault="00EE0584" w:rsidP="00A71BCF">
            <w:pPr>
              <w:suppressAutoHyphens w:val="0"/>
              <w:spacing w:before="40" w:after="120" w:line="276" w:lineRule="auto"/>
              <w:jc w:val="center"/>
              <w:rPr>
                <w:bCs/>
                <w:sz w:val="18"/>
                <w:szCs w:val="18"/>
              </w:rPr>
            </w:pPr>
            <w:r w:rsidRPr="00A71BCF">
              <w:rPr>
                <w:bCs/>
                <w:sz w:val="18"/>
                <w:szCs w:val="18"/>
              </w:rPr>
              <w:t>P403</w:t>
            </w:r>
            <w:r w:rsidRPr="00A71BCF">
              <w:rPr>
                <w:bCs/>
                <w:sz w:val="18"/>
                <w:szCs w:val="18"/>
              </w:rPr>
              <w:br/>
              <w:t>IBC04</w:t>
            </w:r>
          </w:p>
        </w:tc>
        <w:tc>
          <w:tcPr>
            <w:tcW w:w="289" w:type="dxa"/>
          </w:tcPr>
          <w:p w:rsidR="00EE0584" w:rsidRPr="00A71BCF" w:rsidRDefault="00EE0584" w:rsidP="00A71BCF">
            <w:pPr>
              <w:suppressAutoHyphens w:val="0"/>
              <w:spacing w:before="40" w:after="120" w:line="276" w:lineRule="auto"/>
              <w:jc w:val="center"/>
              <w:rPr>
                <w:bCs/>
                <w:sz w:val="18"/>
                <w:szCs w:val="18"/>
              </w:rPr>
            </w:pPr>
            <w:r w:rsidRPr="00A71BCF">
              <w:rPr>
                <w:bCs/>
                <w:sz w:val="18"/>
                <w:szCs w:val="18"/>
              </w:rPr>
              <w:br/>
              <w:t>B1</w:t>
            </w:r>
          </w:p>
        </w:tc>
        <w:tc>
          <w:tcPr>
            <w:tcW w:w="378" w:type="dxa"/>
          </w:tcPr>
          <w:p w:rsidR="00EE0584" w:rsidRPr="00A71BCF" w:rsidRDefault="00EE0584" w:rsidP="00A71BCF">
            <w:pPr>
              <w:suppressAutoHyphens w:val="0"/>
              <w:spacing w:before="40" w:after="120" w:line="276" w:lineRule="auto"/>
              <w:jc w:val="center"/>
              <w:rPr>
                <w:bCs/>
                <w:sz w:val="18"/>
                <w:szCs w:val="18"/>
              </w:rPr>
            </w:pPr>
            <w:r w:rsidRPr="00A71BCF">
              <w:rPr>
                <w:bCs/>
                <w:sz w:val="18"/>
                <w:szCs w:val="18"/>
              </w:rPr>
              <w:t>T9</w:t>
            </w:r>
          </w:p>
        </w:tc>
        <w:tc>
          <w:tcPr>
            <w:tcW w:w="471" w:type="dxa"/>
          </w:tcPr>
          <w:p w:rsidR="00EE0584" w:rsidRPr="00A71BCF" w:rsidRDefault="00EE0584" w:rsidP="00A71BCF">
            <w:pPr>
              <w:suppressAutoHyphens w:val="0"/>
              <w:spacing w:before="40" w:after="120" w:line="276" w:lineRule="auto"/>
              <w:jc w:val="center"/>
              <w:rPr>
                <w:bCs/>
                <w:sz w:val="18"/>
                <w:szCs w:val="18"/>
              </w:rPr>
            </w:pPr>
            <w:r w:rsidRPr="00A71BCF">
              <w:rPr>
                <w:bCs/>
                <w:sz w:val="18"/>
                <w:szCs w:val="18"/>
              </w:rPr>
              <w:t>TP7</w:t>
            </w:r>
            <w:r w:rsidRPr="00A71BCF">
              <w:rPr>
                <w:bCs/>
                <w:sz w:val="18"/>
                <w:szCs w:val="18"/>
              </w:rPr>
              <w:br/>
              <w:t>TP33</w:t>
            </w:r>
          </w:p>
        </w:tc>
      </w:tr>
    </w:tbl>
    <w:p w:rsidR="004803E9" w:rsidRPr="00755589" w:rsidRDefault="004803E9" w:rsidP="004803E9">
      <w:pPr>
        <w:pStyle w:val="SingleTxtG"/>
        <w:spacing w:before="120"/>
        <w:rPr>
          <w:i/>
        </w:rPr>
      </w:pPr>
      <w:r w:rsidRPr="00755589">
        <w:rPr>
          <w:i/>
        </w:rPr>
        <w:t>(Reference document:</w:t>
      </w:r>
      <w:r w:rsidRPr="00755589">
        <w:t xml:space="preserve"> </w:t>
      </w:r>
      <w:r w:rsidR="00781002" w:rsidRPr="00020245">
        <w:rPr>
          <w:i/>
          <w:iCs/>
        </w:rPr>
        <w:t>ST/SG/AC.10/C.3/</w:t>
      </w:r>
      <w:r w:rsidR="00781002">
        <w:rPr>
          <w:i/>
          <w:iCs/>
        </w:rPr>
        <w:t>104/Add.1</w:t>
      </w:r>
      <w:r w:rsidRPr="00755589">
        <w:rPr>
          <w:i/>
        </w:rPr>
        <w:t>)</w:t>
      </w:r>
    </w:p>
    <w:p w:rsidR="00B30043" w:rsidRPr="00AE5497" w:rsidRDefault="00B30043" w:rsidP="00B30043">
      <w:pPr>
        <w:pStyle w:val="SingleTxtG"/>
      </w:pPr>
      <w:r w:rsidRPr="00AE5497">
        <w:t xml:space="preserve">For UN Nos. </w:t>
      </w:r>
      <w:r>
        <w:t>0340, 0341, 0342 and 0343</w:t>
      </w:r>
      <w:r w:rsidRPr="00AE5497">
        <w:t>, insert </w:t>
      </w:r>
      <w:r w:rsidRPr="00CA5D48">
        <w:t>“</w:t>
      </w:r>
      <w:r w:rsidRPr="00AE5497">
        <w:t>393</w:t>
      </w:r>
      <w:r>
        <w:t>”</w:t>
      </w:r>
      <w:r w:rsidRPr="00AE5497">
        <w:t xml:space="preserve"> in column (6).</w:t>
      </w:r>
    </w:p>
    <w:p w:rsidR="00B30043" w:rsidRPr="004631AC" w:rsidRDefault="00B30043">
      <w:pPr>
        <w:pStyle w:val="SingleTxtG"/>
        <w:rPr>
          <w:i/>
          <w:iCs/>
        </w:rPr>
      </w:pPr>
      <w:r w:rsidRPr="00B24BCA">
        <w:rPr>
          <w:i/>
          <w:iCs/>
        </w:rPr>
        <w:t xml:space="preserve">(Reference document: </w:t>
      </w:r>
      <w:r w:rsidR="00D23764" w:rsidRPr="00020245">
        <w:rPr>
          <w:i/>
          <w:iCs/>
        </w:rPr>
        <w:t>ST/SG/AC.10/C.3/</w:t>
      </w:r>
      <w:r w:rsidR="00D23764">
        <w:rPr>
          <w:i/>
          <w:iCs/>
        </w:rPr>
        <w:t>106/Add.1</w:t>
      </w:r>
      <w:r w:rsidRPr="00B24BCA">
        <w:rPr>
          <w:i/>
          <w:iCs/>
        </w:rPr>
        <w:t>)</w:t>
      </w:r>
    </w:p>
    <w:p w:rsidR="005861D5" w:rsidRPr="00755589" w:rsidRDefault="005861D5" w:rsidP="005861D5">
      <w:pPr>
        <w:pStyle w:val="SingleTxtG"/>
      </w:pPr>
      <w:r w:rsidRPr="00755589">
        <w:t>[For UN Nos. 1002, 1006, 1013, 1046, 1056, 1058, 1065, 1066, 1080, 1952, 1956, 2036, 3070, 3163, 3297, 3298 and 3299, in column (6), insert “392”.]</w:t>
      </w:r>
    </w:p>
    <w:p w:rsidR="005861D5" w:rsidRDefault="005861D5" w:rsidP="005861D5">
      <w:pPr>
        <w:pStyle w:val="SingleTxtG"/>
        <w:rPr>
          <w:i/>
        </w:rPr>
      </w:pPr>
      <w:r w:rsidRPr="002D7183">
        <w:rPr>
          <w:i/>
        </w:rPr>
        <w:t xml:space="preserve">(Reference document: </w:t>
      </w:r>
      <w:r w:rsidR="00D23764" w:rsidRPr="00020245">
        <w:rPr>
          <w:i/>
          <w:iCs/>
        </w:rPr>
        <w:t>ST/SG/AC.10/C.3/</w:t>
      </w:r>
      <w:r w:rsidR="00D23764">
        <w:rPr>
          <w:i/>
          <w:iCs/>
        </w:rPr>
        <w:t>104/Add.1</w:t>
      </w:r>
      <w:r w:rsidRPr="002D7183">
        <w:rPr>
          <w:i/>
        </w:rPr>
        <w:t>)</w:t>
      </w:r>
    </w:p>
    <w:p w:rsidR="00DA7554" w:rsidRPr="007F764E" w:rsidRDefault="00DA7554" w:rsidP="00DA7554">
      <w:pPr>
        <w:pStyle w:val="SingleTxtG"/>
      </w:pPr>
      <w:r w:rsidRPr="007F764E">
        <w:t>For UN Nos</w:t>
      </w:r>
      <w:r>
        <w:t>.</w:t>
      </w:r>
      <w:r w:rsidRPr="007F764E">
        <w:t xml:space="preserve"> 1092, 1098, 1143, 1163, 1238, 1239, 1244, 1595, 1695, 1752, 1809, 2334, 2337, 2646 and 3023, in column </w:t>
      </w:r>
      <w:r>
        <w:t>(</w:t>
      </w:r>
      <w:r w:rsidRPr="007F764E">
        <w:t>11</w:t>
      </w:r>
      <w:r>
        <w:t>)</w:t>
      </w:r>
      <w:r w:rsidRPr="007F764E">
        <w:t xml:space="preserve"> delete </w:t>
      </w:r>
      <w:r>
        <w:t>“</w:t>
      </w:r>
      <w:r w:rsidRPr="007F764E">
        <w:t>TP35</w:t>
      </w:r>
      <w:r>
        <w:t>”</w:t>
      </w:r>
      <w:r w:rsidRPr="007F764E">
        <w:t>.</w:t>
      </w:r>
    </w:p>
    <w:p w:rsidR="00DA7554" w:rsidRDefault="00DA7554">
      <w:pPr>
        <w:pStyle w:val="SingleTxtG"/>
        <w:rPr>
          <w:bCs/>
          <w:i/>
          <w:iCs/>
          <w:lang w:val="en-US"/>
        </w:rPr>
      </w:pPr>
      <w:r w:rsidRPr="007F764E">
        <w:rPr>
          <w:i/>
          <w:iCs/>
        </w:rPr>
        <w:t xml:space="preserve">(Reference document: </w:t>
      </w:r>
      <w:r w:rsidR="00C923E2" w:rsidRPr="00020245">
        <w:rPr>
          <w:i/>
          <w:iCs/>
        </w:rPr>
        <w:t>ST/SG/AC.10/C.3/</w:t>
      </w:r>
      <w:r w:rsidR="00C923E2">
        <w:rPr>
          <w:i/>
          <w:iCs/>
        </w:rPr>
        <w:t>10</w:t>
      </w:r>
      <w:r w:rsidR="00B41534">
        <w:rPr>
          <w:i/>
          <w:iCs/>
        </w:rPr>
        <w:t>6</w:t>
      </w:r>
      <w:r w:rsidR="00C923E2">
        <w:rPr>
          <w:i/>
          <w:iCs/>
        </w:rPr>
        <w:t>/Add.1</w:t>
      </w:r>
      <w:r>
        <w:rPr>
          <w:bCs/>
          <w:i/>
          <w:iCs/>
          <w:lang w:val="en-US"/>
        </w:rPr>
        <w:t>)</w:t>
      </w:r>
    </w:p>
    <w:p w:rsidR="00DA7554" w:rsidRPr="007F764E" w:rsidRDefault="00DA7554" w:rsidP="00DA7554">
      <w:pPr>
        <w:pStyle w:val="SingleTxtG"/>
      </w:pPr>
      <w:r w:rsidRPr="007F764E">
        <w:t>For UN Nos</w:t>
      </w:r>
      <w:r>
        <w:t>.</w:t>
      </w:r>
      <w:r w:rsidRPr="007F764E">
        <w:t xml:space="preserve"> 1135, 1182, 1251, 1541, 1580, 1605, 1670, 1810, 1834, 1838, 1892, 2232, 2382, 2474, 2477, 2481, 2482, 2483, 2484, 2485, 2486, 2487, 2488, 2521, 2605, </w:t>
      </w:r>
      <w:r>
        <w:t xml:space="preserve">2606, </w:t>
      </w:r>
      <w:r w:rsidRPr="007F764E">
        <w:t xml:space="preserve">2644, 2668, 3079 and 3246, in column </w:t>
      </w:r>
      <w:r>
        <w:t>(</w:t>
      </w:r>
      <w:r w:rsidRPr="007F764E">
        <w:t>11</w:t>
      </w:r>
      <w:r>
        <w:t>)</w:t>
      </w:r>
      <w:r w:rsidRPr="007F764E">
        <w:t xml:space="preserve"> delete </w:t>
      </w:r>
      <w:r>
        <w:t>“</w:t>
      </w:r>
      <w:r w:rsidRPr="007F764E">
        <w:t>TP37</w:t>
      </w:r>
      <w:r>
        <w:t>”.</w:t>
      </w:r>
    </w:p>
    <w:p w:rsidR="00DA7554" w:rsidRDefault="00DA7554" w:rsidP="00DA7554">
      <w:pPr>
        <w:pStyle w:val="SingleTxtG"/>
        <w:rPr>
          <w:bCs/>
          <w:i/>
          <w:iCs/>
          <w:lang w:val="en-US"/>
        </w:rPr>
      </w:pPr>
      <w:r w:rsidRPr="007F764E">
        <w:rPr>
          <w:i/>
          <w:iCs/>
        </w:rPr>
        <w:t xml:space="preserve">(Reference document: </w:t>
      </w:r>
      <w:r w:rsidR="00C923E2" w:rsidRPr="00020245">
        <w:rPr>
          <w:i/>
          <w:iCs/>
        </w:rPr>
        <w:t>ST/SG/AC.10/C.3/</w:t>
      </w:r>
      <w:r w:rsidR="00C923E2">
        <w:rPr>
          <w:i/>
          <w:iCs/>
        </w:rPr>
        <w:t>106/Add.1</w:t>
      </w:r>
      <w:r>
        <w:rPr>
          <w:bCs/>
          <w:i/>
          <w:iCs/>
          <w:lang w:val="en-US"/>
        </w:rPr>
        <w:t>)</w:t>
      </w:r>
    </w:p>
    <w:p w:rsidR="00DA7554" w:rsidRDefault="00DA7554" w:rsidP="00DA7554">
      <w:pPr>
        <w:pStyle w:val="SingleTxtG"/>
      </w:pPr>
      <w:r>
        <w:t>For UN Nos. 1372, 1387, 1856, 1857 and 3360, in column (6), delete “117” and insert “123”.</w:t>
      </w:r>
    </w:p>
    <w:p w:rsidR="00DA7554" w:rsidRDefault="00DA7554" w:rsidP="00DA7554">
      <w:pPr>
        <w:pStyle w:val="SingleTxtG"/>
        <w:rPr>
          <w:i/>
          <w:iCs/>
          <w:lang w:val="en-US"/>
        </w:rPr>
      </w:pPr>
      <w:r w:rsidRPr="00627AC0">
        <w:rPr>
          <w:i/>
          <w:iCs/>
        </w:rPr>
        <w:t>(</w:t>
      </w:r>
      <w:r w:rsidRPr="00627AC0">
        <w:rPr>
          <w:i/>
          <w:iCs/>
          <w:lang w:val="en-US"/>
        </w:rPr>
        <w:t xml:space="preserve">Reference document: </w:t>
      </w:r>
      <w:r w:rsidR="00C923E2" w:rsidRPr="00020245">
        <w:rPr>
          <w:i/>
          <w:iCs/>
        </w:rPr>
        <w:t>ST/SG/AC.10/C.3/</w:t>
      </w:r>
      <w:r w:rsidR="00C923E2">
        <w:rPr>
          <w:i/>
          <w:iCs/>
        </w:rPr>
        <w:t>106/Add.1</w:t>
      </w:r>
      <w:r w:rsidRPr="00627AC0">
        <w:rPr>
          <w:i/>
          <w:iCs/>
          <w:lang w:val="en-US"/>
        </w:rPr>
        <w:t>)</w:t>
      </w:r>
    </w:p>
    <w:p w:rsidR="00DA7554" w:rsidRPr="007F764E" w:rsidRDefault="00DA7554" w:rsidP="00DA7554">
      <w:pPr>
        <w:pStyle w:val="SingleTxtG"/>
      </w:pPr>
      <w:r w:rsidRPr="007F764E">
        <w:t xml:space="preserve">For UN 2381, in column </w:t>
      </w:r>
      <w:r>
        <w:t>(</w:t>
      </w:r>
      <w:r w:rsidRPr="007F764E">
        <w:t>11</w:t>
      </w:r>
      <w:r>
        <w:t>)</w:t>
      </w:r>
      <w:r w:rsidRPr="007F764E">
        <w:t xml:space="preserve"> delete </w:t>
      </w:r>
      <w:r>
        <w:t>“</w:t>
      </w:r>
      <w:r w:rsidRPr="007F764E">
        <w:t>TP39</w:t>
      </w:r>
      <w:r>
        <w:t>”</w:t>
      </w:r>
      <w:r w:rsidRPr="007F764E">
        <w:t xml:space="preserve">. </w:t>
      </w:r>
    </w:p>
    <w:p w:rsidR="00DA7554" w:rsidRDefault="00DA7554">
      <w:pPr>
        <w:pStyle w:val="SingleTxtG"/>
        <w:rPr>
          <w:bCs/>
          <w:i/>
          <w:iCs/>
          <w:lang w:val="en-US"/>
        </w:rPr>
      </w:pPr>
      <w:r w:rsidRPr="00627AC0">
        <w:rPr>
          <w:i/>
          <w:iCs/>
        </w:rPr>
        <w:t xml:space="preserve">(Reference document: </w:t>
      </w:r>
      <w:r w:rsidR="00C923E2" w:rsidRPr="00020245">
        <w:rPr>
          <w:i/>
          <w:iCs/>
        </w:rPr>
        <w:t>ST/SG/AC.10/C.3/</w:t>
      </w:r>
      <w:r w:rsidR="00C923E2">
        <w:rPr>
          <w:i/>
          <w:iCs/>
        </w:rPr>
        <w:t>106/Add.1</w:t>
      </w:r>
      <w:r w:rsidRPr="00627AC0">
        <w:rPr>
          <w:bCs/>
          <w:i/>
          <w:iCs/>
          <w:lang w:val="en-US"/>
        </w:rPr>
        <w:t>)</w:t>
      </w:r>
    </w:p>
    <w:p w:rsidR="00AA217C" w:rsidRPr="00755589" w:rsidRDefault="00AA217C" w:rsidP="00AA217C">
      <w:pPr>
        <w:pStyle w:val="SingleTxtG"/>
      </w:pPr>
      <w:r w:rsidRPr="00755589">
        <w:t>[For UN 2383, in column (6), delete “386”.]</w:t>
      </w:r>
    </w:p>
    <w:p w:rsidR="00AA217C" w:rsidRPr="00364EE5" w:rsidRDefault="00AA217C" w:rsidP="00AA217C">
      <w:pPr>
        <w:pStyle w:val="SingleTxtG"/>
        <w:rPr>
          <w:i/>
          <w:lang w:val="fr-CH"/>
        </w:rPr>
      </w:pPr>
      <w:r w:rsidRPr="00364EE5">
        <w:rPr>
          <w:i/>
          <w:lang w:val="fr-CH"/>
        </w:rPr>
        <w:t xml:space="preserve">(Reference document: </w:t>
      </w:r>
      <w:r w:rsidRPr="00627AC0">
        <w:rPr>
          <w:i/>
          <w:iCs/>
        </w:rPr>
        <w:t xml:space="preserve">: </w:t>
      </w:r>
      <w:r w:rsidRPr="00020245">
        <w:rPr>
          <w:i/>
          <w:iCs/>
        </w:rPr>
        <w:t>ST/SG/AC.10/C.3/</w:t>
      </w:r>
      <w:r>
        <w:rPr>
          <w:i/>
          <w:iCs/>
        </w:rPr>
        <w:t>104/Add.1</w:t>
      </w:r>
      <w:r w:rsidRPr="00364EE5">
        <w:rPr>
          <w:i/>
          <w:lang w:val="fr-CH"/>
        </w:rPr>
        <w:t>)</w:t>
      </w:r>
    </w:p>
    <w:p w:rsidR="005861D5" w:rsidRPr="00755589" w:rsidRDefault="005861D5" w:rsidP="005861D5">
      <w:pPr>
        <w:pStyle w:val="SingleTxtG"/>
      </w:pPr>
      <w:r w:rsidRPr="00755589">
        <w:t>[For UN 2522, in column (2), add “, STABILIZED” at the end and in column (6) add “386”.]</w:t>
      </w:r>
    </w:p>
    <w:p w:rsidR="005861D5" w:rsidRDefault="005861D5" w:rsidP="005861D5">
      <w:pPr>
        <w:pStyle w:val="SingleTxtG"/>
        <w:rPr>
          <w:i/>
          <w:lang w:val="fr-CH"/>
        </w:rPr>
      </w:pPr>
      <w:r w:rsidRPr="00364EE5">
        <w:rPr>
          <w:i/>
          <w:lang w:val="fr-CH"/>
        </w:rPr>
        <w:t xml:space="preserve">(Reference document: </w:t>
      </w:r>
      <w:r w:rsidR="00C923E2" w:rsidRPr="00020245">
        <w:rPr>
          <w:i/>
          <w:iCs/>
        </w:rPr>
        <w:t>ST/SG/AC.10/C.3/</w:t>
      </w:r>
      <w:r w:rsidR="00C923E2">
        <w:rPr>
          <w:i/>
          <w:iCs/>
        </w:rPr>
        <w:t>104/Add.1</w:t>
      </w:r>
      <w:r w:rsidRPr="00364EE5">
        <w:rPr>
          <w:i/>
          <w:lang w:val="fr-CH"/>
        </w:rPr>
        <w:t>)</w:t>
      </w:r>
    </w:p>
    <w:p w:rsidR="00DA7554" w:rsidRPr="00AE5497" w:rsidRDefault="00DA7554" w:rsidP="00DA7554">
      <w:pPr>
        <w:pStyle w:val="SingleTxtG"/>
      </w:pPr>
      <w:r w:rsidRPr="00AE5497">
        <w:t xml:space="preserve">For UN Nos. </w:t>
      </w:r>
      <w:r>
        <w:t>2555, 2556, 2557 and 3380</w:t>
      </w:r>
      <w:r w:rsidRPr="00AE5497">
        <w:t>, insert </w:t>
      </w:r>
      <w:r w:rsidRPr="00CA5D48">
        <w:t>“</w:t>
      </w:r>
      <w:r w:rsidRPr="00AE5497">
        <w:t>394</w:t>
      </w:r>
      <w:r>
        <w:t>”</w:t>
      </w:r>
      <w:r w:rsidRPr="00AE5497">
        <w:t xml:space="preserve"> in column (6).</w:t>
      </w:r>
    </w:p>
    <w:p w:rsidR="00DA7554" w:rsidRDefault="00DA7554">
      <w:pPr>
        <w:pStyle w:val="SingleTxtG"/>
        <w:rPr>
          <w:i/>
          <w:iCs/>
        </w:rPr>
      </w:pPr>
      <w:r w:rsidRPr="00B24BCA">
        <w:rPr>
          <w:i/>
          <w:iCs/>
        </w:rPr>
        <w:t xml:space="preserve">(Reference document: </w:t>
      </w:r>
      <w:r w:rsidR="00C923E2" w:rsidRPr="00020245">
        <w:rPr>
          <w:i/>
          <w:iCs/>
        </w:rPr>
        <w:t>ST/SG/AC.10/C.3/</w:t>
      </w:r>
      <w:r w:rsidR="00C923E2">
        <w:rPr>
          <w:i/>
          <w:iCs/>
        </w:rPr>
        <w:t>106/Add.1</w:t>
      </w:r>
      <w:r w:rsidRPr="00B24BCA">
        <w:rPr>
          <w:i/>
          <w:iCs/>
        </w:rPr>
        <w:t>)</w:t>
      </w:r>
    </w:p>
    <w:p w:rsidR="00DA7554" w:rsidRPr="00DC6A2B" w:rsidRDefault="00DA7554" w:rsidP="00DA7554">
      <w:pPr>
        <w:pStyle w:val="SingleTxtG"/>
        <w:rPr>
          <w:lang w:val="en-US"/>
        </w:rPr>
      </w:pPr>
      <w:r w:rsidRPr="00DC6A2B">
        <w:rPr>
          <w:lang w:val="en-US"/>
        </w:rPr>
        <w:t>For UN Nos. 3091 and 3481, insert </w:t>
      </w:r>
      <w:r w:rsidRPr="00CA5D48">
        <w:t>“</w:t>
      </w:r>
      <w:r w:rsidRPr="00DC6A2B">
        <w:rPr>
          <w:lang w:val="en-US"/>
        </w:rPr>
        <w:t>390</w:t>
      </w:r>
      <w:r>
        <w:rPr>
          <w:lang w:val="en-US"/>
        </w:rPr>
        <w:t>”</w:t>
      </w:r>
      <w:r w:rsidRPr="00DC6A2B">
        <w:rPr>
          <w:lang w:val="en-US"/>
        </w:rPr>
        <w:t xml:space="preserve"> in column (6).</w:t>
      </w:r>
    </w:p>
    <w:p w:rsidR="00DA7554" w:rsidRPr="00C21D63" w:rsidRDefault="00DA7554" w:rsidP="00DA7554">
      <w:pPr>
        <w:pStyle w:val="SingleTxtG"/>
        <w:rPr>
          <w:bCs/>
          <w:i/>
          <w:iCs/>
        </w:rPr>
      </w:pPr>
      <w:r w:rsidRPr="00C21D63">
        <w:rPr>
          <w:i/>
          <w:iCs/>
        </w:rPr>
        <w:t xml:space="preserve">(Reference document: </w:t>
      </w:r>
      <w:r w:rsidR="00C923E2" w:rsidRPr="00020245">
        <w:rPr>
          <w:i/>
          <w:iCs/>
        </w:rPr>
        <w:t>ST/SG/AC.10/C.3/</w:t>
      </w:r>
      <w:r w:rsidR="00C923E2">
        <w:rPr>
          <w:i/>
          <w:iCs/>
        </w:rPr>
        <w:t>106/Add.1</w:t>
      </w:r>
      <w:r w:rsidRPr="00C21D63">
        <w:rPr>
          <w:i/>
          <w:iCs/>
        </w:rPr>
        <w:t>)</w:t>
      </w:r>
    </w:p>
    <w:p w:rsidR="00DA7554" w:rsidRDefault="00DA7554" w:rsidP="00DA7554">
      <w:pPr>
        <w:pStyle w:val="SingleTxtG"/>
      </w:pPr>
      <w:r w:rsidRPr="007F764E">
        <w:t xml:space="preserve">For UN 3148, in column </w:t>
      </w:r>
      <w:r>
        <w:t>(</w:t>
      </w:r>
      <w:r w:rsidRPr="007F764E">
        <w:t>11</w:t>
      </w:r>
      <w:r>
        <w:t>)</w:t>
      </w:r>
      <w:r w:rsidRPr="007F764E">
        <w:t xml:space="preserve"> delete </w:t>
      </w:r>
      <w:r>
        <w:t>“</w:t>
      </w:r>
      <w:r w:rsidRPr="007F764E">
        <w:t>TP38</w:t>
      </w:r>
      <w:r>
        <w:t>”</w:t>
      </w:r>
      <w:r w:rsidRPr="007F764E">
        <w:t>.</w:t>
      </w:r>
    </w:p>
    <w:p w:rsidR="00DA7554" w:rsidRPr="004631AC" w:rsidRDefault="00DA7554">
      <w:pPr>
        <w:pStyle w:val="SingleTxtG"/>
        <w:rPr>
          <w:bCs/>
          <w:i/>
          <w:iCs/>
          <w:lang w:val="en-US"/>
        </w:rPr>
      </w:pPr>
      <w:r w:rsidRPr="00627AC0">
        <w:rPr>
          <w:i/>
          <w:iCs/>
        </w:rPr>
        <w:t xml:space="preserve">(Reference document: </w:t>
      </w:r>
      <w:r w:rsidR="00C923E2" w:rsidRPr="00020245">
        <w:rPr>
          <w:i/>
          <w:iCs/>
        </w:rPr>
        <w:t>ST/SG/AC.10/C.3/</w:t>
      </w:r>
      <w:r w:rsidR="00C923E2">
        <w:rPr>
          <w:i/>
          <w:iCs/>
        </w:rPr>
        <w:t>106/Add.1</w:t>
      </w:r>
      <w:r w:rsidRPr="00627AC0">
        <w:rPr>
          <w:bCs/>
          <w:i/>
          <w:iCs/>
          <w:lang w:val="en-US"/>
        </w:rPr>
        <w:t>)</w:t>
      </w:r>
    </w:p>
    <w:p w:rsidR="005861D5" w:rsidRPr="00755589" w:rsidRDefault="005861D5" w:rsidP="005861D5">
      <w:pPr>
        <w:pStyle w:val="SingleTxtG"/>
      </w:pPr>
      <w:r w:rsidRPr="00755589">
        <w:lastRenderedPageBreak/>
        <w:t>For UN 3164, add “PP32” in column (9).</w:t>
      </w:r>
    </w:p>
    <w:p w:rsidR="005861D5" w:rsidRPr="00364EE5" w:rsidRDefault="005861D5" w:rsidP="005861D5">
      <w:pPr>
        <w:pStyle w:val="SingleTxtG"/>
        <w:rPr>
          <w:i/>
          <w:lang w:val="fr-CH"/>
        </w:rPr>
      </w:pPr>
      <w:r w:rsidRPr="00364EE5">
        <w:rPr>
          <w:i/>
          <w:lang w:val="fr-CH"/>
        </w:rPr>
        <w:t xml:space="preserve">(Reference document: </w:t>
      </w:r>
      <w:r w:rsidR="00C923E2" w:rsidRPr="00020245">
        <w:rPr>
          <w:i/>
          <w:iCs/>
        </w:rPr>
        <w:t>ST/SG/AC.10/C.3/</w:t>
      </w:r>
      <w:r w:rsidR="00C923E2">
        <w:rPr>
          <w:i/>
          <w:iCs/>
        </w:rPr>
        <w:t>104/Add.1</w:t>
      </w:r>
      <w:r w:rsidRPr="00364EE5">
        <w:rPr>
          <w:i/>
          <w:lang w:val="fr-CH"/>
        </w:rPr>
        <w:t>)</w:t>
      </w:r>
    </w:p>
    <w:p w:rsidR="005861D5" w:rsidRPr="00755589" w:rsidRDefault="005861D5" w:rsidP="005861D5">
      <w:pPr>
        <w:pStyle w:val="SingleTxtG"/>
      </w:pPr>
      <w:r w:rsidRPr="00755589">
        <w:t xml:space="preserve">For UN 3291, in column (5), delete </w:t>
      </w:r>
      <w:r>
        <w:t>“</w:t>
      </w:r>
      <w:r w:rsidRPr="00755589">
        <w:t>II</w:t>
      </w:r>
      <w:r>
        <w:t>”</w:t>
      </w:r>
      <w:r w:rsidRPr="00755589">
        <w:t>.</w:t>
      </w:r>
    </w:p>
    <w:p w:rsidR="005861D5" w:rsidRPr="00755589" w:rsidRDefault="005861D5" w:rsidP="005861D5">
      <w:pPr>
        <w:pStyle w:val="SingleTxtG"/>
        <w:rPr>
          <w:i/>
        </w:rPr>
      </w:pPr>
      <w:r w:rsidRPr="00755589">
        <w:rPr>
          <w:i/>
        </w:rPr>
        <w:t>(Reference document:</w:t>
      </w:r>
      <w:r w:rsidRPr="00755589">
        <w:t xml:space="preserve"> </w:t>
      </w:r>
      <w:r w:rsidR="00534508" w:rsidRPr="00020245">
        <w:rPr>
          <w:i/>
          <w:iCs/>
        </w:rPr>
        <w:t>ST/SG/AC.10/C.3/</w:t>
      </w:r>
      <w:r w:rsidR="00534508">
        <w:rPr>
          <w:i/>
          <w:iCs/>
        </w:rPr>
        <w:t>104/Add.1</w:t>
      </w:r>
      <w:r w:rsidRPr="00755589">
        <w:rPr>
          <w:i/>
        </w:rPr>
        <w:t>)</w:t>
      </w:r>
    </w:p>
    <w:p w:rsidR="005861D5" w:rsidRDefault="005861D5" w:rsidP="005861D5">
      <w:pPr>
        <w:pStyle w:val="SingleTxtG"/>
      </w:pPr>
      <w:r>
        <w:t>For UN 3363, in column (2), at the beginning of the description, add “DANGEROUS GOODS IN ARTICLES or”.</w:t>
      </w:r>
    </w:p>
    <w:p w:rsidR="005861D5" w:rsidRDefault="005861D5" w:rsidP="005861D5">
      <w:pPr>
        <w:pStyle w:val="SingleTxtG"/>
        <w:rPr>
          <w:i/>
          <w:iCs/>
          <w:lang w:val="fr-CH"/>
        </w:rPr>
      </w:pPr>
      <w:r w:rsidRPr="008C71E7">
        <w:rPr>
          <w:i/>
          <w:iCs/>
          <w:lang w:val="fr-CH"/>
        </w:rPr>
        <w:t>(Reference docum</w:t>
      </w:r>
      <w:r>
        <w:rPr>
          <w:i/>
          <w:iCs/>
          <w:lang w:val="fr-CH"/>
        </w:rPr>
        <w:t xml:space="preserve">ent: </w:t>
      </w:r>
      <w:r w:rsidR="00534508" w:rsidRPr="00020245">
        <w:rPr>
          <w:i/>
          <w:iCs/>
        </w:rPr>
        <w:t>ST/SG/AC.10/C.3/</w:t>
      </w:r>
      <w:r w:rsidR="00534508">
        <w:rPr>
          <w:i/>
          <w:iCs/>
        </w:rPr>
        <w:t>104/Add.1</w:t>
      </w:r>
      <w:r>
        <w:rPr>
          <w:i/>
          <w:iCs/>
          <w:lang w:val="fr-CH"/>
        </w:rPr>
        <w:t>)</w:t>
      </w:r>
    </w:p>
    <w:p w:rsidR="00DA7554" w:rsidRDefault="00DA7554" w:rsidP="00DA7554">
      <w:pPr>
        <w:pStyle w:val="SingleTxtG"/>
      </w:pPr>
      <w:r>
        <w:t>For UN 3529, in column (6), add “356”.</w:t>
      </w:r>
    </w:p>
    <w:p w:rsidR="00DA7554" w:rsidRDefault="00DA7554">
      <w:pPr>
        <w:pStyle w:val="SingleTxtG"/>
        <w:rPr>
          <w:i/>
          <w:iCs/>
          <w:lang w:val="fr-CH"/>
        </w:rPr>
      </w:pPr>
      <w:r w:rsidRPr="001B36C9">
        <w:rPr>
          <w:i/>
          <w:iCs/>
          <w:lang w:val="fr-CH"/>
        </w:rPr>
        <w:t xml:space="preserve">(Reference document: </w:t>
      </w:r>
      <w:r w:rsidR="00534508" w:rsidRPr="00020245">
        <w:rPr>
          <w:i/>
          <w:iCs/>
        </w:rPr>
        <w:t>ST/SG/AC.10/C.3/</w:t>
      </w:r>
      <w:r w:rsidR="00534508">
        <w:rPr>
          <w:i/>
          <w:iCs/>
        </w:rPr>
        <w:t>106/Add.1</w:t>
      </w:r>
      <w:r w:rsidRPr="001B36C9">
        <w:rPr>
          <w:i/>
          <w:iCs/>
          <w:lang w:val="fr-CH"/>
        </w:rPr>
        <w:t>)</w:t>
      </w:r>
    </w:p>
    <w:p w:rsidR="0089110F" w:rsidRPr="000E4463" w:rsidRDefault="0089110F" w:rsidP="0089110F">
      <w:pPr>
        <w:pStyle w:val="H1G"/>
      </w:pPr>
      <w:r w:rsidRPr="000E4463">
        <w:tab/>
      </w:r>
      <w:r w:rsidRPr="000E4463">
        <w:tab/>
        <w:t>Chapter 3.3</w:t>
      </w:r>
    </w:p>
    <w:p w:rsidR="0089110F" w:rsidRPr="000E4463" w:rsidRDefault="0089110F" w:rsidP="0089110F">
      <w:pPr>
        <w:pStyle w:val="SingleTxtG"/>
        <w:rPr>
          <w:bCs/>
        </w:rPr>
      </w:pPr>
      <w:r w:rsidRPr="000E4463">
        <w:rPr>
          <w:bCs/>
        </w:rPr>
        <w:t>Special provision 239</w:t>
      </w:r>
      <w:r w:rsidRPr="000E4463">
        <w:rPr>
          <w:bCs/>
        </w:rPr>
        <w:tab/>
        <w:t xml:space="preserve">Delete the last sentence. </w:t>
      </w:r>
    </w:p>
    <w:p w:rsidR="0089110F" w:rsidRDefault="0089110F" w:rsidP="0089110F">
      <w:pPr>
        <w:pStyle w:val="SingleTxtG"/>
        <w:rPr>
          <w:i/>
        </w:rPr>
      </w:pPr>
      <w:r w:rsidRPr="000E4463">
        <w:rPr>
          <w:bCs/>
          <w:i/>
        </w:rPr>
        <w:t>(Reference document:</w:t>
      </w:r>
      <w:r w:rsidRPr="000E4463">
        <w:rPr>
          <w:i/>
        </w:rPr>
        <w:t xml:space="preserve"> </w:t>
      </w:r>
      <w:r w:rsidR="008E542A" w:rsidRPr="00020245">
        <w:rPr>
          <w:i/>
          <w:iCs/>
        </w:rPr>
        <w:t>ST/SG/AC.10/C.3/</w:t>
      </w:r>
      <w:r w:rsidR="008E542A">
        <w:rPr>
          <w:i/>
          <w:iCs/>
        </w:rPr>
        <w:t>102/Add.1</w:t>
      </w:r>
      <w:r w:rsidRPr="000E4463">
        <w:rPr>
          <w:i/>
        </w:rPr>
        <w:t>)</w:t>
      </w:r>
    </w:p>
    <w:p w:rsidR="00403E0C" w:rsidRDefault="00403E0C" w:rsidP="00403E0C">
      <w:pPr>
        <w:pStyle w:val="SingleTxtG"/>
      </w:pPr>
      <w:r>
        <w:t>Special provision 301</w:t>
      </w:r>
      <w:r>
        <w:tab/>
        <w:t>In the first sentence, replace “machinery or apparatus” by “articles such as machinery, apparatus or devices”. In the second, third, fourth and fifth sentences and in the last sentence, replace “machinery or apparatus” by “articles”.</w:t>
      </w:r>
    </w:p>
    <w:p w:rsidR="00403E0C" w:rsidRDefault="00403E0C">
      <w:pPr>
        <w:pStyle w:val="SingleTxtG"/>
        <w:rPr>
          <w:i/>
          <w:iCs/>
          <w:lang w:val="fr-CH"/>
        </w:rPr>
      </w:pPr>
      <w:r w:rsidRPr="00371E6D">
        <w:rPr>
          <w:i/>
          <w:iCs/>
          <w:lang w:val="fr-CH"/>
        </w:rPr>
        <w:t xml:space="preserve">(Reference document: </w:t>
      </w:r>
      <w:r w:rsidR="008E542A" w:rsidRPr="00020245">
        <w:rPr>
          <w:i/>
          <w:iCs/>
        </w:rPr>
        <w:t>ST/SG/AC.10/C.3/</w:t>
      </w:r>
      <w:r w:rsidR="008E542A">
        <w:rPr>
          <w:i/>
          <w:iCs/>
        </w:rPr>
        <w:t>104/Add.1</w:t>
      </w:r>
      <w:r w:rsidRPr="00371E6D">
        <w:rPr>
          <w:i/>
          <w:iCs/>
          <w:lang w:val="fr-CH"/>
        </w:rPr>
        <w:t>)</w:t>
      </w:r>
    </w:p>
    <w:p w:rsidR="001E0234" w:rsidRDefault="001E0234" w:rsidP="001E0234">
      <w:pPr>
        <w:pStyle w:val="SingleTxtG"/>
      </w:pPr>
      <w:r>
        <w:t>Special provision 356</w:t>
      </w:r>
      <w:r>
        <w:tab/>
        <w:t>After “in vehicle, vessels” add “, machinery, engines” (twice). Replace “aircrafts” by “aircraft” (twice).</w:t>
      </w:r>
    </w:p>
    <w:p w:rsidR="001E0234" w:rsidRPr="004631AC" w:rsidRDefault="001E0234">
      <w:pPr>
        <w:pStyle w:val="SingleTxtG"/>
        <w:rPr>
          <w:i/>
          <w:iCs/>
          <w:lang w:val="en-US"/>
        </w:rPr>
      </w:pPr>
      <w:r w:rsidRPr="00E96385">
        <w:rPr>
          <w:i/>
          <w:iCs/>
          <w:lang w:val="en-US"/>
        </w:rPr>
        <w:t xml:space="preserve">(Reference document: </w:t>
      </w:r>
      <w:r w:rsidR="008E542A" w:rsidRPr="00020245">
        <w:rPr>
          <w:i/>
          <w:iCs/>
        </w:rPr>
        <w:t>ST/SG/AC.10/C.3/</w:t>
      </w:r>
      <w:r w:rsidR="008E542A">
        <w:rPr>
          <w:i/>
          <w:iCs/>
        </w:rPr>
        <w:t>106/Add.1</w:t>
      </w:r>
      <w:r w:rsidRPr="00E96385">
        <w:rPr>
          <w:i/>
          <w:iCs/>
          <w:lang w:val="en-US"/>
        </w:rPr>
        <w:t>)</w:t>
      </w:r>
    </w:p>
    <w:p w:rsidR="0089110F" w:rsidRPr="000E4463" w:rsidRDefault="0089110F" w:rsidP="0089110F">
      <w:pPr>
        <w:pStyle w:val="SingleTxtG"/>
        <w:rPr>
          <w:bCs/>
        </w:rPr>
      </w:pPr>
      <w:r w:rsidRPr="000E4463">
        <w:rPr>
          <w:bCs/>
        </w:rPr>
        <w:t>Special provision 360</w:t>
      </w:r>
      <w:r w:rsidRPr="000E4463">
        <w:rPr>
          <w:bCs/>
        </w:rPr>
        <w:tab/>
        <w:t xml:space="preserve">Replace “consigned under” by “assigned to” and add the following sentence at the end: </w:t>
      </w:r>
    </w:p>
    <w:p w:rsidR="0089110F" w:rsidRPr="000E4463" w:rsidRDefault="0089110F" w:rsidP="0089110F">
      <w:pPr>
        <w:pStyle w:val="SingleTxtG"/>
      </w:pPr>
      <w:r w:rsidRPr="000E4463">
        <w:t>“Lithium batteries installed in cargo transport units, designed only to provide power external to the transport unit shall be assigned to entry UN 3536 LITHIUM BATTERIES INSTALLED IN CARGO TRANSPORT UNIT.”</w:t>
      </w:r>
    </w:p>
    <w:p w:rsidR="0089110F" w:rsidRDefault="0089110F" w:rsidP="0089110F">
      <w:pPr>
        <w:pStyle w:val="SingleTxtG"/>
        <w:rPr>
          <w:i/>
        </w:rPr>
      </w:pPr>
      <w:r w:rsidRPr="000E4463">
        <w:rPr>
          <w:i/>
        </w:rPr>
        <w:t xml:space="preserve">(Reference document: </w:t>
      </w:r>
      <w:r w:rsidR="008E542A" w:rsidRPr="00020245">
        <w:rPr>
          <w:i/>
          <w:iCs/>
        </w:rPr>
        <w:t>ST/SG/AC.10/C.3/</w:t>
      </w:r>
      <w:r w:rsidR="008E542A">
        <w:rPr>
          <w:i/>
          <w:iCs/>
        </w:rPr>
        <w:t>102/Add.1</w:t>
      </w:r>
      <w:r w:rsidRPr="000E4463">
        <w:rPr>
          <w:i/>
        </w:rPr>
        <w:t>)</w:t>
      </w:r>
    </w:p>
    <w:p w:rsidR="001E0234" w:rsidRPr="00065624" w:rsidRDefault="001E0234" w:rsidP="001E0234">
      <w:pPr>
        <w:pStyle w:val="SingleTxtG"/>
      </w:pPr>
      <w:r>
        <w:t>Special provision 363 (j)</w:t>
      </w:r>
      <w:r>
        <w:tab/>
        <w:t>In the last paragraph, delete “</w:t>
      </w:r>
      <w:r w:rsidRPr="00065624">
        <w:t>in accordance with 5.3.1.1</w:t>
      </w:r>
      <w:r>
        <w:t>.2</w:t>
      </w:r>
      <w:r w:rsidRPr="00065624">
        <w:t>”</w:t>
      </w:r>
      <w:r>
        <w:t xml:space="preserve"> and add the following new sentence, at the end: “</w:t>
      </w:r>
      <w:r w:rsidRPr="00065624">
        <w:t>Placards shall corres</w:t>
      </w:r>
      <w:r>
        <w:t>pond to the class indicated in C</w:t>
      </w:r>
      <w:r w:rsidRPr="00065624">
        <w:t xml:space="preserve">olumn 3 of the Dangerous Goods List </w:t>
      </w:r>
      <w:r>
        <w:t>of C</w:t>
      </w:r>
      <w:r w:rsidRPr="002A6637">
        <w:t>hapter 3.2</w:t>
      </w:r>
      <w:r>
        <w:t xml:space="preserve"> </w:t>
      </w:r>
      <w:r w:rsidRPr="00065624">
        <w:t>and shall conform to the specifications given in 5.3.1.2.1;”.</w:t>
      </w:r>
    </w:p>
    <w:p w:rsidR="001E0234" w:rsidRDefault="001E0234" w:rsidP="001E0234">
      <w:pPr>
        <w:pStyle w:val="SingleTxtG"/>
        <w:rPr>
          <w:b/>
          <w:bCs/>
          <w:i/>
          <w:iCs/>
          <w:lang w:val="en-US"/>
        </w:rPr>
      </w:pPr>
      <w:r w:rsidRPr="003B3A0D">
        <w:rPr>
          <w:bCs/>
          <w:i/>
          <w:iCs/>
        </w:rPr>
        <w:t>(</w:t>
      </w:r>
      <w:r w:rsidRPr="003B3A0D">
        <w:rPr>
          <w:bCs/>
          <w:i/>
          <w:iCs/>
          <w:lang w:val="en-US"/>
        </w:rPr>
        <w:t xml:space="preserve">Reference document: </w:t>
      </w:r>
      <w:r w:rsidR="008E542A" w:rsidRPr="00020245">
        <w:rPr>
          <w:i/>
          <w:iCs/>
        </w:rPr>
        <w:t>ST/SG/AC.10/C.3/</w:t>
      </w:r>
      <w:r w:rsidR="008E542A">
        <w:rPr>
          <w:i/>
          <w:iCs/>
        </w:rPr>
        <w:t>106/Add.1</w:t>
      </w:r>
      <w:r>
        <w:rPr>
          <w:bCs/>
          <w:i/>
          <w:iCs/>
          <w:lang w:val="en-US"/>
        </w:rPr>
        <w:t>)</w:t>
      </w:r>
    </w:p>
    <w:p w:rsidR="001E0234" w:rsidRDefault="001E0234" w:rsidP="001E0234">
      <w:pPr>
        <w:pStyle w:val="SingleTxtG"/>
      </w:pPr>
      <w:r>
        <w:rPr>
          <w:lang w:val="en-US"/>
        </w:rPr>
        <w:t>Special provision 363 (k)</w:t>
      </w:r>
      <w:r>
        <w:rPr>
          <w:lang w:val="en-US"/>
        </w:rPr>
        <w:tab/>
        <w:t>In the last paragraph, delete “</w:t>
      </w:r>
      <w:r w:rsidRPr="00065624">
        <w:t>in accordance with 5.3.1.1</w:t>
      </w:r>
      <w:r>
        <w:t>.2</w:t>
      </w:r>
      <w:r w:rsidRPr="00065624">
        <w:t>”</w:t>
      </w:r>
      <w:r w:rsidR="008E542A">
        <w:t xml:space="preserve"> </w:t>
      </w:r>
      <w:r>
        <w:t>and add the following new sentence at the end: “</w:t>
      </w:r>
      <w:r w:rsidRPr="003F5CF9">
        <w:t>Placards shall corres</w:t>
      </w:r>
      <w:r>
        <w:t>pond to the class indicated in C</w:t>
      </w:r>
      <w:r w:rsidRPr="003F5CF9">
        <w:t xml:space="preserve">olumn 3 of the Dangerous Goods List </w:t>
      </w:r>
      <w:r>
        <w:t xml:space="preserve">in Chapter 3.2 </w:t>
      </w:r>
      <w:r w:rsidRPr="003F5CF9">
        <w:t>and shall conform to the specifications given in 5.3.1.2.1</w:t>
      </w:r>
      <w:r>
        <w:t>;</w:t>
      </w:r>
      <w:r w:rsidRPr="003F5CF9">
        <w:t>”</w:t>
      </w:r>
      <w:r>
        <w:t>.</w:t>
      </w:r>
    </w:p>
    <w:p w:rsidR="001E0234" w:rsidRDefault="001E0234" w:rsidP="001E0234">
      <w:pPr>
        <w:pStyle w:val="SingleTxtG"/>
        <w:rPr>
          <w:bCs/>
          <w:i/>
          <w:iCs/>
          <w:lang w:val="en-US"/>
        </w:rPr>
      </w:pPr>
      <w:r w:rsidRPr="003B3A0D">
        <w:rPr>
          <w:bCs/>
          <w:i/>
          <w:iCs/>
        </w:rPr>
        <w:t>(</w:t>
      </w:r>
      <w:r w:rsidRPr="003B3A0D">
        <w:rPr>
          <w:bCs/>
          <w:i/>
          <w:iCs/>
          <w:lang w:val="en-US"/>
        </w:rPr>
        <w:t xml:space="preserve">Reference document: </w:t>
      </w:r>
      <w:r w:rsidR="008E542A" w:rsidRPr="00020245">
        <w:rPr>
          <w:i/>
          <w:iCs/>
        </w:rPr>
        <w:t>ST/SG/AC.10/C.3/</w:t>
      </w:r>
      <w:r w:rsidR="008E542A">
        <w:rPr>
          <w:i/>
          <w:iCs/>
        </w:rPr>
        <w:t>106/Add.1</w:t>
      </w:r>
      <w:r>
        <w:rPr>
          <w:bCs/>
          <w:i/>
          <w:iCs/>
          <w:lang w:val="en-US"/>
        </w:rPr>
        <w:t>)</w:t>
      </w:r>
    </w:p>
    <w:p w:rsidR="001E0234" w:rsidRDefault="001E0234" w:rsidP="001E0234">
      <w:pPr>
        <w:pStyle w:val="SingleTxtG"/>
        <w:rPr>
          <w:lang w:val="en-US"/>
        </w:rPr>
      </w:pPr>
      <w:r>
        <w:rPr>
          <w:lang w:val="en-US"/>
        </w:rPr>
        <w:t xml:space="preserve">Special provision 376 </w:t>
      </w:r>
      <w:r>
        <w:rPr>
          <w:lang w:val="en-US"/>
        </w:rPr>
        <w:tab/>
        <w:t>Amend the Note to read as follows:</w:t>
      </w:r>
    </w:p>
    <w:p w:rsidR="001E0234" w:rsidRPr="00A136E5" w:rsidRDefault="001E0234" w:rsidP="001E0234">
      <w:pPr>
        <w:pStyle w:val="SingleTxtG"/>
        <w:rPr>
          <w:i/>
          <w:iCs/>
          <w:u w:val="single"/>
        </w:rPr>
      </w:pPr>
      <w:bookmarkStart w:id="5" w:name="_Hlk518007155"/>
      <w:r>
        <w:rPr>
          <w:lang w:val="en-US"/>
        </w:rPr>
        <w:t>“</w:t>
      </w:r>
      <w:r w:rsidRPr="00A136E5">
        <w:rPr>
          <w:b/>
          <w:i/>
          <w:iCs/>
          <w:lang w:val="en-US"/>
        </w:rPr>
        <w:t xml:space="preserve">NOTE: </w:t>
      </w:r>
      <w:r w:rsidRPr="00A136E5">
        <w:rPr>
          <w:i/>
          <w:iCs/>
        </w:rPr>
        <w:t xml:space="preserve">In assessing a cell or battery as damaged or defective, </w:t>
      </w:r>
      <w:bookmarkEnd w:id="5"/>
      <w:r w:rsidRPr="00A136E5">
        <w:rPr>
          <w:i/>
          <w:iCs/>
        </w:rPr>
        <w:t>an assessment or evaluation should be performed based on safety criteria from the cell, battery or product manufacturer or by a technical expert with knowledge of the cell’s</w:t>
      </w:r>
      <w:r w:rsidR="00E26FF8">
        <w:rPr>
          <w:i/>
          <w:iCs/>
        </w:rPr>
        <w:t xml:space="preserve"> or battery’s safety features. </w:t>
      </w:r>
      <w:r w:rsidRPr="00A136E5">
        <w:rPr>
          <w:i/>
          <w:iCs/>
        </w:rPr>
        <w:t>An assessment or evaluation may include, but is not limited to, the following criteria:</w:t>
      </w:r>
    </w:p>
    <w:p w:rsidR="001E0234" w:rsidRPr="00A136E5" w:rsidRDefault="001E0234" w:rsidP="008E542A">
      <w:pPr>
        <w:pStyle w:val="SingleTxtG"/>
        <w:numPr>
          <w:ilvl w:val="0"/>
          <w:numId w:val="24"/>
        </w:numPr>
        <w:rPr>
          <w:i/>
          <w:iCs/>
        </w:rPr>
      </w:pPr>
      <w:r w:rsidRPr="00A136E5">
        <w:rPr>
          <w:i/>
          <w:iCs/>
        </w:rPr>
        <w:lastRenderedPageBreak/>
        <w:t>Acute hazard, such as gas, fire, or electrolyte leaking;</w:t>
      </w:r>
    </w:p>
    <w:p w:rsidR="001E0234" w:rsidRPr="00A136E5" w:rsidRDefault="001E0234" w:rsidP="008E542A">
      <w:pPr>
        <w:pStyle w:val="SingleTxtG"/>
        <w:numPr>
          <w:ilvl w:val="0"/>
          <w:numId w:val="24"/>
        </w:numPr>
        <w:rPr>
          <w:i/>
          <w:iCs/>
        </w:rPr>
      </w:pPr>
      <w:r w:rsidRPr="00A136E5">
        <w:rPr>
          <w:i/>
          <w:iCs/>
        </w:rPr>
        <w:t>The use or misuse of the cell or battery;</w:t>
      </w:r>
    </w:p>
    <w:p w:rsidR="001E0234" w:rsidRPr="00A136E5" w:rsidRDefault="001E0234" w:rsidP="008E542A">
      <w:pPr>
        <w:pStyle w:val="SingleTxtG"/>
        <w:numPr>
          <w:ilvl w:val="0"/>
          <w:numId w:val="24"/>
        </w:numPr>
        <w:rPr>
          <w:i/>
          <w:iCs/>
        </w:rPr>
      </w:pPr>
      <w:r w:rsidRPr="00A136E5">
        <w:rPr>
          <w:i/>
          <w:iCs/>
        </w:rPr>
        <w:t xml:space="preserve">Signs of physical damage, such as deformation to cell or battery casing, or colours on the casing; </w:t>
      </w:r>
    </w:p>
    <w:p w:rsidR="001E0234" w:rsidRPr="00A136E5" w:rsidRDefault="001E0234" w:rsidP="008E542A">
      <w:pPr>
        <w:pStyle w:val="SingleTxtG"/>
        <w:numPr>
          <w:ilvl w:val="0"/>
          <w:numId w:val="24"/>
        </w:numPr>
        <w:rPr>
          <w:i/>
          <w:iCs/>
        </w:rPr>
      </w:pPr>
      <w:r w:rsidRPr="00A136E5">
        <w:rPr>
          <w:i/>
          <w:iCs/>
        </w:rPr>
        <w:t>External and internal short circuit protection, such as voltage or isolation measures;</w:t>
      </w:r>
    </w:p>
    <w:p w:rsidR="001E0234" w:rsidRPr="00A136E5" w:rsidRDefault="001E0234" w:rsidP="008E542A">
      <w:pPr>
        <w:pStyle w:val="SingleTxtG"/>
        <w:numPr>
          <w:ilvl w:val="0"/>
          <w:numId w:val="24"/>
        </w:numPr>
        <w:rPr>
          <w:i/>
          <w:iCs/>
        </w:rPr>
      </w:pPr>
      <w:r w:rsidRPr="00A136E5">
        <w:rPr>
          <w:i/>
          <w:iCs/>
        </w:rPr>
        <w:t>The condition of the cell or battery safety features; or</w:t>
      </w:r>
    </w:p>
    <w:p w:rsidR="001E0234" w:rsidRPr="001171F4" w:rsidRDefault="001E0234" w:rsidP="008E542A">
      <w:pPr>
        <w:pStyle w:val="SingleTxtG"/>
        <w:numPr>
          <w:ilvl w:val="0"/>
          <w:numId w:val="24"/>
        </w:numPr>
      </w:pPr>
      <w:r w:rsidRPr="00A136E5">
        <w:rPr>
          <w:i/>
          <w:iCs/>
        </w:rPr>
        <w:t>Damage to any internal safety components, such as the battery management system.</w:t>
      </w:r>
      <w:r>
        <w:t>”.</w:t>
      </w:r>
    </w:p>
    <w:p w:rsidR="001E0234" w:rsidRPr="004631AC" w:rsidRDefault="001E0234">
      <w:pPr>
        <w:pStyle w:val="SingleTxtG"/>
        <w:rPr>
          <w:i/>
          <w:iCs/>
          <w:lang w:val="en-US"/>
        </w:rPr>
      </w:pPr>
      <w:r w:rsidRPr="001C6FF1">
        <w:rPr>
          <w:i/>
          <w:iCs/>
          <w:lang w:val="en-US"/>
        </w:rPr>
        <w:t xml:space="preserve">(Reference document: </w:t>
      </w:r>
      <w:r w:rsidR="00362663" w:rsidRPr="00020245">
        <w:rPr>
          <w:i/>
          <w:iCs/>
        </w:rPr>
        <w:t>ST/SG/AC.10/C.3/</w:t>
      </w:r>
      <w:r w:rsidR="00362663">
        <w:rPr>
          <w:i/>
          <w:iCs/>
        </w:rPr>
        <w:t>106/Add.1</w:t>
      </w:r>
      <w:r w:rsidRPr="001C6FF1">
        <w:rPr>
          <w:i/>
          <w:iCs/>
          <w:lang w:val="en-US"/>
        </w:rPr>
        <w:t>)</w:t>
      </w:r>
    </w:p>
    <w:p w:rsidR="0089110F" w:rsidRPr="000E4463" w:rsidRDefault="0089110F" w:rsidP="0089110F">
      <w:pPr>
        <w:pStyle w:val="SingleTxtG"/>
        <w:rPr>
          <w:bCs/>
        </w:rPr>
      </w:pPr>
      <w:r w:rsidRPr="000E4463">
        <w:rPr>
          <w:bCs/>
        </w:rPr>
        <w:t>Special provision 379 (d) (i)</w:t>
      </w:r>
      <w:r w:rsidRPr="000E4463">
        <w:rPr>
          <w:bCs/>
        </w:rPr>
        <w:tab/>
      </w:r>
      <w:r w:rsidRPr="000E4463">
        <w:rPr>
          <w:bCs/>
        </w:rPr>
        <w:tab/>
      </w:r>
      <w:r w:rsidRPr="000E4463">
        <w:t>Replace “ISO 11114-1:2012” by “ISO 11114-1:2012 + Amd 1:2017”.</w:t>
      </w:r>
    </w:p>
    <w:p w:rsidR="0089110F" w:rsidRPr="000E4463" w:rsidRDefault="0089110F" w:rsidP="0089110F">
      <w:pPr>
        <w:pStyle w:val="SingleTxtG"/>
        <w:rPr>
          <w:bCs/>
          <w:i/>
        </w:rPr>
      </w:pPr>
      <w:r w:rsidRPr="000E4463">
        <w:rPr>
          <w:bCs/>
          <w:i/>
        </w:rPr>
        <w:t>(Reference document:</w:t>
      </w:r>
      <w:r w:rsidRPr="000E4463">
        <w:rPr>
          <w:i/>
        </w:rPr>
        <w:t xml:space="preserve"> </w:t>
      </w:r>
      <w:r w:rsidR="00362663" w:rsidRPr="00020245">
        <w:rPr>
          <w:i/>
          <w:iCs/>
        </w:rPr>
        <w:t>ST/SG/AC.10/C.3/</w:t>
      </w:r>
      <w:r w:rsidR="00362663">
        <w:rPr>
          <w:i/>
          <w:iCs/>
        </w:rPr>
        <w:t>102/Add.1</w:t>
      </w:r>
      <w:r w:rsidRPr="000E4463">
        <w:rPr>
          <w:i/>
        </w:rPr>
        <w:t>)</w:t>
      </w:r>
    </w:p>
    <w:p w:rsidR="0089110F" w:rsidRPr="000E4463" w:rsidRDefault="0089110F" w:rsidP="0089110F">
      <w:pPr>
        <w:pStyle w:val="SingleTxtG"/>
        <w:rPr>
          <w:bCs/>
        </w:rPr>
      </w:pPr>
      <w:r w:rsidRPr="000E4463">
        <w:rPr>
          <w:bCs/>
        </w:rPr>
        <w:t>Special provision 388</w:t>
      </w:r>
      <w:r w:rsidRPr="000E4463">
        <w:rPr>
          <w:bCs/>
        </w:rPr>
        <w:tab/>
        <w:t>At the end of the seventh paragraph, add the following sentence:</w:t>
      </w:r>
    </w:p>
    <w:p w:rsidR="0089110F" w:rsidRPr="000E4463" w:rsidRDefault="0089110F" w:rsidP="0089110F">
      <w:pPr>
        <w:pStyle w:val="SingleTxtG"/>
      </w:pPr>
      <w:r w:rsidRPr="000E4463">
        <w:t>“Lithium ion batteries or lithium metal batteries installed in a cargo transport unit and designed only to provide power external to the cargo transport unit shall be assigned to the entry UN 3536 LITHIUM BATTERIES”.</w:t>
      </w:r>
    </w:p>
    <w:p w:rsidR="0089110F" w:rsidRDefault="0089110F" w:rsidP="0089110F">
      <w:pPr>
        <w:pStyle w:val="SingleTxtG"/>
        <w:rPr>
          <w:i/>
        </w:rPr>
      </w:pPr>
      <w:r w:rsidRPr="000E4463">
        <w:rPr>
          <w:i/>
        </w:rPr>
        <w:t xml:space="preserve">(Reference document: </w:t>
      </w:r>
      <w:r w:rsidR="00362663" w:rsidRPr="00020245">
        <w:rPr>
          <w:i/>
          <w:iCs/>
        </w:rPr>
        <w:t>ST/SG/AC.10/C.3/</w:t>
      </w:r>
      <w:r w:rsidR="00362663">
        <w:rPr>
          <w:i/>
          <w:iCs/>
        </w:rPr>
        <w:t>102/Add.1</w:t>
      </w:r>
      <w:r w:rsidRPr="000E4463">
        <w:rPr>
          <w:i/>
        </w:rPr>
        <w:t>)</w:t>
      </w:r>
    </w:p>
    <w:p w:rsidR="007F4731" w:rsidRDefault="007F4731" w:rsidP="007F4731">
      <w:pPr>
        <w:pStyle w:val="SingleTxtG"/>
        <w:rPr>
          <w:lang w:val="en-US"/>
        </w:rPr>
      </w:pPr>
      <w:r w:rsidRPr="00CA5D48">
        <w:rPr>
          <w:lang w:val="en-US"/>
        </w:rPr>
        <w:t>Add the following new special provision</w:t>
      </w:r>
      <w:r>
        <w:rPr>
          <w:lang w:val="en-US"/>
        </w:rPr>
        <w:t>s:</w:t>
      </w:r>
    </w:p>
    <w:p w:rsidR="007F4731" w:rsidRPr="00CA5D48" w:rsidRDefault="007F4731" w:rsidP="007F4731">
      <w:pPr>
        <w:pStyle w:val="SingleTxtG"/>
      </w:pPr>
      <w:r w:rsidRPr="00CA5D48">
        <w:t>“</w:t>
      </w:r>
      <w:r>
        <w:t>390</w:t>
      </w:r>
      <w:r>
        <w:tab/>
      </w:r>
      <w:r w:rsidRPr="00CA5D48">
        <w:t>When a package contains a combination of lithium batteries contained in equipment and lithium batteries packed with equipment, the following requirements apply</w:t>
      </w:r>
      <w:r>
        <w:t xml:space="preserve"> for the purposes of package marking and documentation</w:t>
      </w:r>
      <w:r w:rsidRPr="00CA5D48">
        <w:t>:</w:t>
      </w:r>
    </w:p>
    <w:p w:rsidR="007F4731" w:rsidRPr="00CA5D48" w:rsidRDefault="007F4731" w:rsidP="007F4731">
      <w:pPr>
        <w:pStyle w:val="SingleTxtG"/>
      </w:pPr>
      <w:r>
        <w:t>(a)</w:t>
      </w:r>
      <w:r w:rsidRPr="00CA5D48">
        <w:tab/>
        <w:t xml:space="preserve">the package shall be marked </w:t>
      </w:r>
      <w:r>
        <w:t>“</w:t>
      </w:r>
      <w:r w:rsidRPr="00CA5D48">
        <w:t>UN 3091 Lithium metal batteries packed with equipment</w:t>
      </w:r>
      <w:r>
        <w:t>”</w:t>
      </w:r>
      <w:r w:rsidRPr="00CA5D48">
        <w:t xml:space="preserve">, or </w:t>
      </w:r>
      <w:r>
        <w:t>“</w:t>
      </w:r>
      <w:r w:rsidRPr="00CA5D48">
        <w:t>UN 3481 Lithium ion batteries packed with equipment</w:t>
      </w:r>
      <w:r>
        <w:t>”</w:t>
      </w:r>
      <w:r w:rsidRPr="00CA5D48">
        <w:t>,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rsidR="007F4731" w:rsidRPr="00CA5D48" w:rsidRDefault="007F4731" w:rsidP="007F4731">
      <w:pPr>
        <w:pStyle w:val="SingleTxtG"/>
      </w:pPr>
      <w:r>
        <w:t>(b)</w:t>
      </w:r>
      <w:r w:rsidRPr="00CA5D48">
        <w:tab/>
        <w:t xml:space="preserve">the transport document shall indicate </w:t>
      </w:r>
      <w:r>
        <w:t>“</w:t>
      </w:r>
      <w:r w:rsidRPr="00CA5D48">
        <w:t>UN 3091 Lithium metal batteries packed with equipment</w:t>
      </w:r>
      <w:r>
        <w:t>”</w:t>
      </w:r>
      <w:r w:rsidRPr="00CA5D48">
        <w:t xml:space="preserve"> or </w:t>
      </w:r>
      <w:r>
        <w:t>“</w:t>
      </w:r>
      <w:r w:rsidRPr="00CA5D48">
        <w:t>UN 3481 Lithium ion batteries packed with equipment</w:t>
      </w:r>
      <w:r>
        <w:t>”</w:t>
      </w:r>
      <w:r w:rsidRPr="00CA5D48">
        <w:t xml:space="preserve">, as appropriate. If a package contains both lithium metal batteries and lithium ion batteries packed with and contained in equipment, then the transport document shall indicate both </w:t>
      </w:r>
      <w:r>
        <w:t>“</w:t>
      </w:r>
      <w:r w:rsidRPr="00CA5D48">
        <w:t>UN 3091 Lithium metal batteries packed with equipment</w:t>
      </w:r>
      <w:r>
        <w:t>”</w:t>
      </w:r>
      <w:r w:rsidRPr="00CA5D48">
        <w:t xml:space="preserve"> and </w:t>
      </w:r>
      <w:r>
        <w:t>“</w:t>
      </w:r>
      <w:r w:rsidRPr="00CA5D48">
        <w:t>UN 3481 Lithium ion batteries packed with equipment.”.</w:t>
      </w:r>
    </w:p>
    <w:p w:rsidR="007F4731" w:rsidRDefault="007F4731" w:rsidP="007F4731">
      <w:pPr>
        <w:pStyle w:val="SingleTxtG"/>
        <w:rPr>
          <w:i/>
          <w:iCs/>
          <w:lang w:val="en-US"/>
        </w:rPr>
      </w:pPr>
      <w:r w:rsidRPr="006A6A78">
        <w:rPr>
          <w:i/>
          <w:iCs/>
          <w:lang w:val="en-US"/>
        </w:rPr>
        <w:t>(Reference document:</w:t>
      </w:r>
      <w:r w:rsidRPr="003A7C84">
        <w:rPr>
          <w:bCs/>
          <w:i/>
          <w:iCs/>
          <w:lang w:val="en-US"/>
        </w:rPr>
        <w:t xml:space="preserve"> </w:t>
      </w:r>
      <w:r w:rsidR="00362663" w:rsidRPr="00020245">
        <w:rPr>
          <w:i/>
          <w:iCs/>
        </w:rPr>
        <w:t>ST/SG/AC.10/C.3/</w:t>
      </w:r>
      <w:r w:rsidR="00362663">
        <w:rPr>
          <w:i/>
          <w:iCs/>
        </w:rPr>
        <w:t>106/Add.1</w:t>
      </w:r>
      <w:r w:rsidRPr="006A6A78">
        <w:rPr>
          <w:i/>
          <w:iCs/>
          <w:lang w:val="en-US"/>
        </w:rPr>
        <w:t>)</w:t>
      </w:r>
    </w:p>
    <w:p w:rsidR="007F4731" w:rsidRDefault="007F4731" w:rsidP="007F4731">
      <w:pPr>
        <w:pStyle w:val="SingleTxtG"/>
      </w:pPr>
      <w:r>
        <w:t>“393</w:t>
      </w:r>
      <w:r>
        <w:tab/>
        <w:t>The nitrocellulose shall meet the criteria of the Bergmann-Junk test or methyl violet paper test in the Manual of Tests and Criteria Appendix 10. Tests of type 3 (c) need not be applied.”</w:t>
      </w:r>
    </w:p>
    <w:p w:rsidR="007F4731" w:rsidRPr="00B24BCA" w:rsidRDefault="007F4731" w:rsidP="007F4731">
      <w:pPr>
        <w:pStyle w:val="SingleTxtG"/>
        <w:rPr>
          <w:i/>
          <w:iCs/>
        </w:rPr>
      </w:pPr>
      <w:r w:rsidRPr="00B24BCA">
        <w:rPr>
          <w:i/>
          <w:iCs/>
        </w:rPr>
        <w:t xml:space="preserve">(Reference document: </w:t>
      </w:r>
      <w:r w:rsidR="00362663" w:rsidRPr="00020245">
        <w:rPr>
          <w:i/>
          <w:iCs/>
        </w:rPr>
        <w:t>ST/SG/AC.10/C.3/</w:t>
      </w:r>
      <w:r w:rsidR="00362663">
        <w:rPr>
          <w:i/>
          <w:iCs/>
        </w:rPr>
        <w:t>106/Add.1</w:t>
      </w:r>
      <w:r w:rsidRPr="00B24BCA">
        <w:rPr>
          <w:i/>
          <w:iCs/>
        </w:rPr>
        <w:t>)</w:t>
      </w:r>
    </w:p>
    <w:p w:rsidR="007F4731" w:rsidRDefault="007F4731" w:rsidP="007F4731">
      <w:pPr>
        <w:pStyle w:val="SingleTxtG"/>
      </w:pPr>
      <w:r>
        <w:t>“394</w:t>
      </w:r>
      <w:r>
        <w:tab/>
        <w:t>The nitrocellulose shall meet the criteria of the Bergmann-Junk test or methyl violet paper test in the Manual of Tests and Criteria Appendix 10.”</w:t>
      </w:r>
    </w:p>
    <w:p w:rsidR="007F4731" w:rsidRPr="00B24BCA" w:rsidRDefault="007F4731" w:rsidP="007F4731">
      <w:pPr>
        <w:pStyle w:val="SingleTxtG"/>
        <w:rPr>
          <w:i/>
          <w:iCs/>
        </w:rPr>
      </w:pPr>
      <w:r w:rsidRPr="00B24BCA">
        <w:rPr>
          <w:i/>
          <w:iCs/>
        </w:rPr>
        <w:t xml:space="preserve">(Reference document: </w:t>
      </w:r>
      <w:r w:rsidR="00362663" w:rsidRPr="00020245">
        <w:rPr>
          <w:i/>
          <w:iCs/>
        </w:rPr>
        <w:t>ST/SG/AC.10/C.3/</w:t>
      </w:r>
      <w:r w:rsidR="00362663">
        <w:rPr>
          <w:i/>
          <w:iCs/>
        </w:rPr>
        <w:t>106/Add.1</w:t>
      </w:r>
      <w:r w:rsidRPr="00B24BCA">
        <w:rPr>
          <w:i/>
          <w:iCs/>
        </w:rPr>
        <w:t>)</w:t>
      </w:r>
    </w:p>
    <w:p w:rsidR="007F4731" w:rsidRDefault="007F4731" w:rsidP="007F4731">
      <w:pPr>
        <w:pStyle w:val="SingleTxtG"/>
        <w:rPr>
          <w:lang w:val="en-US"/>
        </w:rPr>
      </w:pPr>
      <w:r>
        <w:rPr>
          <w:lang w:val="en-US"/>
        </w:rPr>
        <w:lastRenderedPageBreak/>
        <w:t>“</w:t>
      </w:r>
      <w:r w:rsidRPr="00B15BBD">
        <w:rPr>
          <w:lang w:val="en-US"/>
        </w:rPr>
        <w:t>395</w:t>
      </w:r>
      <w:r w:rsidRPr="00B15BBD">
        <w:rPr>
          <w:lang w:val="en-US"/>
        </w:rPr>
        <w:tab/>
        <w:t>This entry shall only be used for solid medical waste of Category A transported for disposal</w:t>
      </w:r>
      <w:r>
        <w:rPr>
          <w:lang w:val="en-US"/>
        </w:rPr>
        <w:t>.”.</w:t>
      </w:r>
    </w:p>
    <w:p w:rsidR="003370F1" w:rsidRDefault="003370F1" w:rsidP="003370F1">
      <w:pPr>
        <w:pStyle w:val="SingleTxtG"/>
        <w:spacing w:after="0"/>
      </w:pPr>
      <w:r w:rsidRPr="003370F1">
        <w:rPr>
          <w:i/>
          <w:iCs/>
          <w:lang w:val="en-US"/>
        </w:rPr>
        <w:t xml:space="preserve">(Reference document: </w:t>
      </w:r>
      <w:r w:rsidR="00362663" w:rsidRPr="00020245">
        <w:rPr>
          <w:i/>
          <w:iCs/>
        </w:rPr>
        <w:t>ST/SG/AC.10/C.3/</w:t>
      </w:r>
      <w:r w:rsidR="00362663">
        <w:rPr>
          <w:i/>
          <w:iCs/>
        </w:rPr>
        <w:t>10</w:t>
      </w:r>
      <w:r w:rsidR="005655B1">
        <w:rPr>
          <w:i/>
          <w:iCs/>
        </w:rPr>
        <w:t>6</w:t>
      </w:r>
      <w:r w:rsidR="00362663">
        <w:rPr>
          <w:i/>
          <w:iCs/>
        </w:rPr>
        <w:t>/Add.1</w:t>
      </w:r>
      <w:r w:rsidRPr="003370F1">
        <w:rPr>
          <w:i/>
          <w:iCs/>
          <w:lang w:val="en-US"/>
        </w:rPr>
        <w:t>)</w:t>
      </w:r>
    </w:p>
    <w:p w:rsidR="0089110F" w:rsidRPr="000E4463" w:rsidRDefault="003370F1" w:rsidP="0089110F">
      <w:pPr>
        <w:pStyle w:val="H1G"/>
      </w:pPr>
      <w:r>
        <w:tab/>
      </w:r>
      <w:r>
        <w:tab/>
      </w:r>
      <w:r w:rsidR="0089110F" w:rsidRPr="000E4463">
        <w:t>Appendix A</w:t>
      </w:r>
    </w:p>
    <w:p w:rsidR="0089110F" w:rsidRPr="000E4463" w:rsidRDefault="0089110F" w:rsidP="0089110F">
      <w:pPr>
        <w:pStyle w:val="SingleTxtG"/>
        <w:spacing w:before="120"/>
      </w:pPr>
      <w:r w:rsidRPr="000E4463">
        <w:t>[In the table, for Division 6.2, under “Specific entries”, add the following new entries:</w:t>
      </w:r>
    </w:p>
    <w:tbl>
      <w:tblPr>
        <w:tblStyle w:val="TableGrid"/>
        <w:tblW w:w="0" w:type="auto"/>
        <w:tblInd w:w="1134" w:type="dxa"/>
        <w:tblLook w:val="04A0" w:firstRow="1" w:lastRow="0" w:firstColumn="1" w:lastColumn="0" w:noHBand="0" w:noVBand="1"/>
      </w:tblPr>
      <w:tblGrid>
        <w:gridCol w:w="1242"/>
        <w:gridCol w:w="1276"/>
        <w:gridCol w:w="1134"/>
        <w:gridCol w:w="4456"/>
      </w:tblGrid>
      <w:tr w:rsidR="0089110F" w:rsidRPr="000E4463" w:rsidTr="005B6F18">
        <w:tc>
          <w:tcPr>
            <w:tcW w:w="1242" w:type="dxa"/>
            <w:tcBorders>
              <w:top w:val="single" w:sz="4" w:space="0" w:color="auto"/>
              <w:left w:val="single" w:sz="4" w:space="0" w:color="auto"/>
              <w:bottom w:val="single" w:sz="4" w:space="0" w:color="auto"/>
              <w:right w:val="single" w:sz="4" w:space="0" w:color="auto"/>
            </w:tcBorders>
            <w:hideMark/>
          </w:tcPr>
          <w:p w:rsidR="0089110F" w:rsidRPr="000E4463" w:rsidRDefault="0089110F" w:rsidP="005B6F18">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0E4463">
              <w:rPr>
                <w:color w:val="000000"/>
              </w:rPr>
              <w:t>6.2</w:t>
            </w:r>
          </w:p>
        </w:tc>
        <w:tc>
          <w:tcPr>
            <w:tcW w:w="1276" w:type="dxa"/>
            <w:tcBorders>
              <w:top w:val="single" w:sz="4" w:space="0" w:color="auto"/>
              <w:left w:val="single" w:sz="4" w:space="0" w:color="auto"/>
              <w:bottom w:val="single" w:sz="4" w:space="0" w:color="auto"/>
              <w:right w:val="single" w:sz="4" w:space="0" w:color="auto"/>
            </w:tcBorders>
            <w:hideMark/>
          </w:tcPr>
          <w:p w:rsidR="0089110F" w:rsidRPr="000E4463" w:rsidRDefault="0089110F" w:rsidP="005B6F18">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89110F" w:rsidRPr="000E4463" w:rsidRDefault="0089110F" w:rsidP="005B6F18">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0E4463">
              <w:rPr>
                <w:color w:val="000000"/>
              </w:rPr>
              <w:t>3549</w:t>
            </w:r>
          </w:p>
        </w:tc>
        <w:tc>
          <w:tcPr>
            <w:tcW w:w="4456" w:type="dxa"/>
            <w:tcBorders>
              <w:top w:val="single" w:sz="4" w:space="0" w:color="auto"/>
              <w:left w:val="single" w:sz="4" w:space="0" w:color="auto"/>
              <w:bottom w:val="single" w:sz="4" w:space="0" w:color="auto"/>
              <w:right w:val="single" w:sz="4" w:space="0" w:color="auto"/>
            </w:tcBorders>
            <w:hideMark/>
          </w:tcPr>
          <w:p w:rsidR="0089110F" w:rsidRPr="000E4463" w:rsidRDefault="0089110F" w:rsidP="005B6F18">
            <w:pPr>
              <w:keepNext/>
              <w:keepLines/>
              <w:suppressAutoHyphens w:val="0"/>
              <w:autoSpaceDE w:val="0"/>
              <w:autoSpaceDN w:val="0"/>
              <w:adjustRightInd w:val="0"/>
              <w:spacing w:line="240" w:lineRule="auto"/>
              <w:ind w:left="175" w:hanging="175"/>
              <w:rPr>
                <w:color w:val="000000"/>
                <w:sz w:val="18"/>
                <w:szCs w:val="18"/>
              </w:rPr>
            </w:pPr>
            <w:r w:rsidRPr="000E4463">
              <w:rPr>
                <w:sz w:val="18"/>
                <w:szCs w:val="16"/>
              </w:rPr>
              <w:t>MEDICAL WASTE, CATEGORY A, AFFECTING HUMANS, solid</w:t>
            </w:r>
          </w:p>
        </w:tc>
      </w:tr>
      <w:tr w:rsidR="0089110F" w:rsidRPr="000E4463" w:rsidTr="005B6F18">
        <w:tc>
          <w:tcPr>
            <w:tcW w:w="1242" w:type="dxa"/>
            <w:tcBorders>
              <w:top w:val="single" w:sz="4" w:space="0" w:color="auto"/>
              <w:left w:val="single" w:sz="4" w:space="0" w:color="auto"/>
              <w:bottom w:val="single" w:sz="4" w:space="0" w:color="auto"/>
              <w:right w:val="single" w:sz="4" w:space="0" w:color="auto"/>
            </w:tcBorders>
          </w:tcPr>
          <w:p w:rsidR="0089110F" w:rsidRPr="000E4463" w:rsidRDefault="0089110F" w:rsidP="005B6F18">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0E4463">
              <w:rPr>
                <w:color w:val="000000"/>
              </w:rPr>
              <w:t>6.2</w:t>
            </w:r>
          </w:p>
        </w:tc>
        <w:tc>
          <w:tcPr>
            <w:tcW w:w="1276" w:type="dxa"/>
            <w:tcBorders>
              <w:top w:val="single" w:sz="4" w:space="0" w:color="auto"/>
              <w:left w:val="single" w:sz="4" w:space="0" w:color="auto"/>
              <w:bottom w:val="single" w:sz="4" w:space="0" w:color="auto"/>
              <w:right w:val="single" w:sz="4" w:space="0" w:color="auto"/>
            </w:tcBorders>
          </w:tcPr>
          <w:p w:rsidR="0089110F" w:rsidRPr="000E4463" w:rsidRDefault="0089110F" w:rsidP="005B6F18">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89110F" w:rsidRPr="000E4463" w:rsidRDefault="0089110F" w:rsidP="005B6F18">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0E4463">
              <w:rPr>
                <w:color w:val="000000"/>
              </w:rPr>
              <w:t>3549</w:t>
            </w:r>
          </w:p>
        </w:tc>
        <w:tc>
          <w:tcPr>
            <w:tcW w:w="4456" w:type="dxa"/>
            <w:tcBorders>
              <w:top w:val="single" w:sz="4" w:space="0" w:color="auto"/>
              <w:left w:val="single" w:sz="4" w:space="0" w:color="auto"/>
              <w:bottom w:val="single" w:sz="4" w:space="0" w:color="auto"/>
              <w:right w:val="single" w:sz="4" w:space="0" w:color="auto"/>
            </w:tcBorders>
          </w:tcPr>
          <w:p w:rsidR="0089110F" w:rsidRPr="000E4463" w:rsidRDefault="0089110F" w:rsidP="005B6F18">
            <w:pPr>
              <w:keepNext/>
              <w:keepLines/>
              <w:suppressAutoHyphens w:val="0"/>
              <w:autoSpaceDE w:val="0"/>
              <w:autoSpaceDN w:val="0"/>
              <w:adjustRightInd w:val="0"/>
              <w:spacing w:line="240" w:lineRule="auto"/>
              <w:ind w:left="175" w:hanging="175"/>
              <w:rPr>
                <w:color w:val="000000"/>
                <w:sz w:val="18"/>
                <w:szCs w:val="18"/>
              </w:rPr>
            </w:pPr>
            <w:r w:rsidRPr="000E4463">
              <w:rPr>
                <w:sz w:val="18"/>
                <w:szCs w:val="16"/>
              </w:rPr>
              <w:t>MEDICAL WASTE, CATEGORY A, AFFECTING ANIMALS only, solid</w:t>
            </w:r>
          </w:p>
        </w:tc>
      </w:tr>
    </w:tbl>
    <w:p w:rsidR="0089110F" w:rsidRDefault="0089110F" w:rsidP="0089110F">
      <w:pPr>
        <w:pStyle w:val="SingleTxtG"/>
        <w:spacing w:before="120"/>
      </w:pPr>
      <w:r w:rsidRPr="000E4463">
        <w:t>]</w:t>
      </w:r>
    </w:p>
    <w:p w:rsidR="002A6C9B" w:rsidRPr="002A6C9B" w:rsidRDefault="002A6C9B" w:rsidP="0089110F">
      <w:pPr>
        <w:pStyle w:val="SingleTxtG"/>
        <w:spacing w:before="120"/>
        <w:rPr>
          <w:i/>
          <w:iCs/>
        </w:rPr>
      </w:pPr>
      <w:r w:rsidRPr="007B24C4">
        <w:rPr>
          <w:i/>
          <w:iCs/>
        </w:rPr>
        <w:t>(Reference document:</w:t>
      </w:r>
      <w:r w:rsidR="007B24C4">
        <w:rPr>
          <w:i/>
          <w:iCs/>
        </w:rPr>
        <w:t xml:space="preserve"> </w:t>
      </w:r>
      <w:r w:rsidR="00362663" w:rsidRPr="00020245">
        <w:rPr>
          <w:i/>
          <w:iCs/>
        </w:rPr>
        <w:t>ST/SG/AC.10/C.3/</w:t>
      </w:r>
      <w:r w:rsidR="00362663">
        <w:rPr>
          <w:i/>
          <w:iCs/>
        </w:rPr>
        <w:t>10</w:t>
      </w:r>
      <w:r w:rsidR="00EC4002">
        <w:rPr>
          <w:i/>
          <w:iCs/>
        </w:rPr>
        <w:t>2</w:t>
      </w:r>
      <w:r w:rsidR="00362663">
        <w:rPr>
          <w:i/>
          <w:iCs/>
        </w:rPr>
        <w:t>/Add.1</w:t>
      </w:r>
      <w:r w:rsidR="007B24C4">
        <w:rPr>
          <w:i/>
          <w:iCs/>
        </w:rPr>
        <w:t>)</w:t>
      </w:r>
    </w:p>
    <w:p w:rsidR="00205AC4" w:rsidRDefault="00205AC4" w:rsidP="00205AC4">
      <w:pPr>
        <w:pStyle w:val="H1G"/>
      </w:pPr>
      <w:r>
        <w:tab/>
      </w:r>
      <w:r>
        <w:tab/>
        <w:t>Appendix B</w:t>
      </w:r>
    </w:p>
    <w:p w:rsidR="00205AC4" w:rsidRPr="008C1742" w:rsidRDefault="00205AC4" w:rsidP="00205AC4">
      <w:pPr>
        <w:pStyle w:val="SingleTxtG"/>
      </w:pPr>
      <w:r>
        <w:t>In the definition of “Detonators”, replace “DETONATORS for blasting, both ELECTRIC and NON-ELECTRIC” by “DETONATORS for blasting, ELECTRIC, NON-ELECTRIC, and ELECTRONIC programmable”.</w:t>
      </w:r>
    </w:p>
    <w:p w:rsidR="00205AC4" w:rsidRPr="001B36C9" w:rsidRDefault="00205AC4" w:rsidP="00205AC4">
      <w:pPr>
        <w:pStyle w:val="SingleTxtG"/>
        <w:rPr>
          <w:i/>
          <w:iCs/>
          <w:lang w:val="en-US"/>
        </w:rPr>
      </w:pPr>
      <w:r w:rsidRPr="001B36C9">
        <w:rPr>
          <w:i/>
          <w:iCs/>
          <w:lang w:val="en-US"/>
        </w:rPr>
        <w:t xml:space="preserve">(Reference document: </w:t>
      </w:r>
      <w:r w:rsidR="00EC4002" w:rsidRPr="00020245">
        <w:rPr>
          <w:i/>
          <w:iCs/>
        </w:rPr>
        <w:t>ST/SG/AC.10/C.3/</w:t>
      </w:r>
      <w:r w:rsidR="00EC4002">
        <w:rPr>
          <w:i/>
          <w:iCs/>
        </w:rPr>
        <w:t>106/Add.1</w:t>
      </w:r>
      <w:r w:rsidRPr="00D32156">
        <w:rPr>
          <w:i/>
          <w:iCs/>
          <w:lang w:val="en-US"/>
        </w:rPr>
        <w:t>)</w:t>
      </w:r>
    </w:p>
    <w:p w:rsidR="00205AC4" w:rsidRDefault="00205AC4" w:rsidP="00205AC4">
      <w:pPr>
        <w:pStyle w:val="SingleTxtG"/>
      </w:pPr>
      <w:r>
        <w:t>Add the following new definition for “DETONATORS, ELECTRONIC programmable for blasting”:</w:t>
      </w:r>
    </w:p>
    <w:p w:rsidR="00205AC4" w:rsidRPr="008C1742" w:rsidRDefault="00205AC4" w:rsidP="00205AC4">
      <w:pPr>
        <w:pStyle w:val="SingleTxtG"/>
      </w:pPr>
      <w:r w:rsidRPr="008C1742">
        <w:t>“DETONATORS, ELECTRONIC programmable for blasting</w:t>
      </w:r>
    </w:p>
    <w:p w:rsidR="00205AC4" w:rsidRPr="008C1742" w:rsidRDefault="00205AC4" w:rsidP="00205AC4">
      <w:pPr>
        <w:pStyle w:val="SingleTxtG"/>
      </w:pPr>
      <w:r w:rsidRPr="008C1742">
        <w:t>Detonators with enhanced safety and security features, utilizing electronic components to transmit a firing signal with validated commands and secure communications.  Detonators of this type cannot be initiated by other means.</w:t>
      </w:r>
      <w:r>
        <w:t>”</w:t>
      </w:r>
    </w:p>
    <w:p w:rsidR="00205AC4" w:rsidRPr="004631AC" w:rsidRDefault="00205AC4" w:rsidP="004631AC">
      <w:pPr>
        <w:pStyle w:val="SingleTxtG"/>
        <w:rPr>
          <w:lang w:val="en-US"/>
        </w:rPr>
      </w:pPr>
      <w:r w:rsidRPr="001B36C9">
        <w:rPr>
          <w:i/>
          <w:iCs/>
          <w:lang w:val="en-US"/>
        </w:rPr>
        <w:t xml:space="preserve">(Reference document: </w:t>
      </w:r>
      <w:r w:rsidR="00EC4002" w:rsidRPr="00020245">
        <w:rPr>
          <w:i/>
          <w:iCs/>
        </w:rPr>
        <w:t>ST/SG/AC.10/C.3/</w:t>
      </w:r>
      <w:r w:rsidR="00EC4002">
        <w:rPr>
          <w:i/>
          <w:iCs/>
        </w:rPr>
        <w:t>106/Add.1</w:t>
      </w:r>
      <w:r w:rsidRPr="001B36C9">
        <w:rPr>
          <w:i/>
          <w:iCs/>
          <w:lang w:val="en-US"/>
        </w:rPr>
        <w:t>)</w:t>
      </w:r>
    </w:p>
    <w:p w:rsidR="0089110F" w:rsidRPr="000E4463" w:rsidRDefault="0089110F" w:rsidP="0089110F">
      <w:pPr>
        <w:pStyle w:val="H1G"/>
      </w:pPr>
      <w:r w:rsidRPr="000E4463">
        <w:tab/>
      </w:r>
      <w:r w:rsidRPr="000E4463">
        <w:tab/>
        <w:t>Alphabetical index</w:t>
      </w:r>
    </w:p>
    <w:p w:rsidR="0089110F" w:rsidRPr="000E4463" w:rsidRDefault="0089110F" w:rsidP="0089110F">
      <w:pPr>
        <w:pStyle w:val="SingleTxtG"/>
        <w:spacing w:before="120"/>
      </w:pPr>
      <w:r w:rsidRPr="000E4463">
        <w:t>[Add the following new entries in alphabetical order:</w:t>
      </w:r>
    </w:p>
    <w:tbl>
      <w:tblPr>
        <w:tblStyle w:val="TableGrid"/>
        <w:tblW w:w="7370" w:type="dxa"/>
        <w:tblInd w:w="1134" w:type="dxa"/>
        <w:tblLayout w:type="fixed"/>
        <w:tblLook w:val="04A0" w:firstRow="1" w:lastRow="0" w:firstColumn="1" w:lastColumn="0" w:noHBand="0" w:noVBand="1"/>
      </w:tblPr>
      <w:tblGrid>
        <w:gridCol w:w="5245"/>
        <w:gridCol w:w="992"/>
        <w:gridCol w:w="1133"/>
      </w:tblGrid>
      <w:tr w:rsidR="0089110F" w:rsidRPr="000E4463" w:rsidTr="005B6F18">
        <w:tc>
          <w:tcPr>
            <w:tcW w:w="5245" w:type="dxa"/>
            <w:shd w:val="clear" w:color="auto" w:fill="auto"/>
          </w:tcPr>
          <w:p w:rsidR="0089110F" w:rsidRPr="000E4463" w:rsidRDefault="0089110F" w:rsidP="005B6F18">
            <w:pPr>
              <w:suppressAutoHyphens w:val="0"/>
              <w:spacing w:before="40" w:after="40" w:line="220" w:lineRule="exact"/>
              <w:ind w:right="113"/>
              <w:rPr>
                <w:sz w:val="18"/>
              </w:rPr>
            </w:pPr>
            <w:r w:rsidRPr="000E4463">
              <w:rPr>
                <w:sz w:val="18"/>
                <w:szCs w:val="16"/>
              </w:rPr>
              <w:t>MEDICAL WASTE, CATEGORY A, AFFECTING HUMANS, solid</w:t>
            </w:r>
          </w:p>
        </w:tc>
        <w:tc>
          <w:tcPr>
            <w:tcW w:w="992" w:type="dxa"/>
            <w:shd w:val="clear" w:color="auto" w:fill="auto"/>
            <w:vAlign w:val="bottom"/>
          </w:tcPr>
          <w:p w:rsidR="0089110F" w:rsidRPr="000E4463" w:rsidRDefault="0089110F" w:rsidP="00C44E8B">
            <w:pPr>
              <w:suppressAutoHyphens w:val="0"/>
              <w:spacing w:before="40" w:after="40" w:line="220" w:lineRule="exact"/>
              <w:ind w:right="113"/>
              <w:jc w:val="center"/>
              <w:rPr>
                <w:sz w:val="18"/>
              </w:rPr>
            </w:pPr>
            <w:r w:rsidRPr="000E4463">
              <w:rPr>
                <w:sz w:val="18"/>
              </w:rPr>
              <w:t>6.2</w:t>
            </w:r>
          </w:p>
        </w:tc>
        <w:tc>
          <w:tcPr>
            <w:tcW w:w="1133" w:type="dxa"/>
            <w:shd w:val="clear" w:color="auto" w:fill="auto"/>
            <w:vAlign w:val="bottom"/>
          </w:tcPr>
          <w:p w:rsidR="0089110F" w:rsidRPr="000E4463" w:rsidRDefault="0089110F" w:rsidP="00C44E8B">
            <w:pPr>
              <w:suppressAutoHyphens w:val="0"/>
              <w:spacing w:before="40" w:after="40" w:line="220" w:lineRule="exact"/>
              <w:ind w:right="113"/>
              <w:jc w:val="center"/>
              <w:rPr>
                <w:sz w:val="18"/>
              </w:rPr>
            </w:pPr>
            <w:r w:rsidRPr="000E4463">
              <w:rPr>
                <w:sz w:val="18"/>
              </w:rPr>
              <w:t>3549</w:t>
            </w:r>
          </w:p>
        </w:tc>
      </w:tr>
      <w:tr w:rsidR="0089110F" w:rsidRPr="000E4463" w:rsidTr="00BB0DD1">
        <w:tc>
          <w:tcPr>
            <w:tcW w:w="5245" w:type="dxa"/>
            <w:shd w:val="clear" w:color="auto" w:fill="auto"/>
          </w:tcPr>
          <w:p w:rsidR="0089110F" w:rsidRPr="000E4463" w:rsidRDefault="0089110F" w:rsidP="005B6F18">
            <w:pPr>
              <w:suppressAutoHyphens w:val="0"/>
              <w:spacing w:before="40" w:after="40" w:line="220" w:lineRule="exact"/>
              <w:ind w:right="113"/>
              <w:rPr>
                <w:sz w:val="18"/>
              </w:rPr>
            </w:pPr>
            <w:r w:rsidRPr="000E4463">
              <w:rPr>
                <w:sz w:val="18"/>
                <w:szCs w:val="16"/>
              </w:rPr>
              <w:t>MEDICAL WASTE, CATEGORY A, AFFECTING ANIMALS only, solid</w:t>
            </w:r>
          </w:p>
        </w:tc>
        <w:tc>
          <w:tcPr>
            <w:tcW w:w="992" w:type="dxa"/>
            <w:shd w:val="clear" w:color="auto" w:fill="auto"/>
            <w:vAlign w:val="center"/>
          </w:tcPr>
          <w:p w:rsidR="0089110F" w:rsidRPr="000E4463" w:rsidRDefault="0089110F" w:rsidP="00BB0DD1">
            <w:pPr>
              <w:suppressAutoHyphens w:val="0"/>
              <w:spacing w:before="40" w:after="40" w:line="220" w:lineRule="exact"/>
              <w:ind w:right="113"/>
              <w:jc w:val="center"/>
              <w:rPr>
                <w:sz w:val="18"/>
              </w:rPr>
            </w:pPr>
            <w:r w:rsidRPr="000E4463">
              <w:rPr>
                <w:sz w:val="18"/>
              </w:rPr>
              <w:t>6.2</w:t>
            </w:r>
          </w:p>
        </w:tc>
        <w:tc>
          <w:tcPr>
            <w:tcW w:w="1133" w:type="dxa"/>
            <w:shd w:val="clear" w:color="auto" w:fill="auto"/>
            <w:vAlign w:val="center"/>
          </w:tcPr>
          <w:p w:rsidR="0089110F" w:rsidRPr="000E4463" w:rsidRDefault="0089110F" w:rsidP="00BB0DD1">
            <w:pPr>
              <w:suppressAutoHyphens w:val="0"/>
              <w:spacing w:before="40" w:after="40" w:line="220" w:lineRule="exact"/>
              <w:ind w:right="113"/>
              <w:jc w:val="center"/>
              <w:rPr>
                <w:sz w:val="18"/>
              </w:rPr>
            </w:pPr>
            <w:r w:rsidRPr="000E4463">
              <w:rPr>
                <w:sz w:val="18"/>
              </w:rPr>
              <w:t>3549</w:t>
            </w:r>
          </w:p>
        </w:tc>
      </w:tr>
    </w:tbl>
    <w:p w:rsidR="0089110F" w:rsidRPr="000E4463" w:rsidRDefault="0089110F" w:rsidP="0089110F">
      <w:pPr>
        <w:pStyle w:val="SingleTxtG"/>
        <w:rPr>
          <w:iCs/>
        </w:rPr>
      </w:pPr>
      <w:r w:rsidRPr="000E4463">
        <w:rPr>
          <w:iCs/>
        </w:rPr>
        <w:t>]</w:t>
      </w:r>
    </w:p>
    <w:p w:rsidR="0089110F" w:rsidRDefault="0089110F" w:rsidP="0089110F">
      <w:pPr>
        <w:pStyle w:val="SingleTxtG"/>
        <w:rPr>
          <w:i/>
          <w:iCs/>
        </w:rPr>
      </w:pPr>
      <w:r w:rsidRPr="000E4463">
        <w:rPr>
          <w:i/>
          <w:iCs/>
        </w:rPr>
        <w:t xml:space="preserve">(Reference document: </w:t>
      </w:r>
      <w:r w:rsidR="002555DB" w:rsidRPr="00020245">
        <w:rPr>
          <w:i/>
          <w:iCs/>
        </w:rPr>
        <w:t>ST/SG/AC.10/C.3/</w:t>
      </w:r>
      <w:r w:rsidR="002555DB">
        <w:rPr>
          <w:i/>
          <w:iCs/>
        </w:rPr>
        <w:t>102/Add.1</w:t>
      </w:r>
      <w:r w:rsidRPr="000E4463">
        <w:rPr>
          <w:i/>
          <w:iCs/>
        </w:rPr>
        <w:t>)</w:t>
      </w:r>
    </w:p>
    <w:p w:rsidR="00C44E8B" w:rsidRDefault="00C44E8B" w:rsidP="00C44E8B">
      <w:pPr>
        <w:pStyle w:val="SingleTxtG"/>
      </w:pPr>
      <w:r>
        <w:t>Add the following new entry in alphabetical order:</w:t>
      </w:r>
    </w:p>
    <w:tbl>
      <w:tblPr>
        <w:tblStyle w:val="TableGrid"/>
        <w:tblW w:w="7370" w:type="dxa"/>
        <w:tblInd w:w="1134" w:type="dxa"/>
        <w:tblLayout w:type="fixed"/>
        <w:tblLook w:val="04A0" w:firstRow="1" w:lastRow="0" w:firstColumn="1" w:lastColumn="0" w:noHBand="0" w:noVBand="1"/>
      </w:tblPr>
      <w:tblGrid>
        <w:gridCol w:w="5245"/>
        <w:gridCol w:w="992"/>
        <w:gridCol w:w="1133"/>
      </w:tblGrid>
      <w:tr w:rsidR="00C44E8B" w:rsidRPr="000E4463" w:rsidTr="007E6A03">
        <w:tc>
          <w:tcPr>
            <w:tcW w:w="5245" w:type="dxa"/>
            <w:shd w:val="clear" w:color="auto" w:fill="auto"/>
          </w:tcPr>
          <w:p w:rsidR="00C44E8B" w:rsidRPr="000E4463" w:rsidRDefault="00C44E8B" w:rsidP="007E6A03">
            <w:pPr>
              <w:suppressAutoHyphens w:val="0"/>
              <w:spacing w:before="40" w:after="40" w:line="220" w:lineRule="exact"/>
              <w:ind w:right="113"/>
              <w:rPr>
                <w:sz w:val="18"/>
              </w:rPr>
            </w:pPr>
            <w:r w:rsidRPr="00371E6D">
              <w:t>DANGEROUS GOODS IN ARTICLES</w:t>
            </w:r>
          </w:p>
        </w:tc>
        <w:tc>
          <w:tcPr>
            <w:tcW w:w="992" w:type="dxa"/>
            <w:shd w:val="clear" w:color="auto" w:fill="auto"/>
            <w:vAlign w:val="bottom"/>
          </w:tcPr>
          <w:p w:rsidR="00C44E8B" w:rsidRPr="000E4463" w:rsidRDefault="00C44E8B" w:rsidP="007E6A03">
            <w:pPr>
              <w:suppressAutoHyphens w:val="0"/>
              <w:spacing w:before="40" w:after="40" w:line="220" w:lineRule="exact"/>
              <w:ind w:right="113"/>
              <w:jc w:val="center"/>
              <w:rPr>
                <w:sz w:val="18"/>
              </w:rPr>
            </w:pPr>
            <w:r>
              <w:rPr>
                <w:sz w:val="18"/>
              </w:rPr>
              <w:t>9</w:t>
            </w:r>
          </w:p>
        </w:tc>
        <w:tc>
          <w:tcPr>
            <w:tcW w:w="1133" w:type="dxa"/>
            <w:shd w:val="clear" w:color="auto" w:fill="auto"/>
            <w:vAlign w:val="bottom"/>
          </w:tcPr>
          <w:p w:rsidR="00C44E8B" w:rsidRPr="000E4463" w:rsidRDefault="00C44E8B" w:rsidP="007E6A03">
            <w:pPr>
              <w:suppressAutoHyphens w:val="0"/>
              <w:spacing w:before="40" w:after="40" w:line="220" w:lineRule="exact"/>
              <w:ind w:right="113"/>
              <w:jc w:val="center"/>
              <w:rPr>
                <w:sz w:val="18"/>
              </w:rPr>
            </w:pPr>
            <w:r>
              <w:rPr>
                <w:sz w:val="18"/>
              </w:rPr>
              <w:t>3363</w:t>
            </w:r>
          </w:p>
        </w:tc>
      </w:tr>
    </w:tbl>
    <w:p w:rsidR="00C44E8B" w:rsidRPr="00C44E8B" w:rsidRDefault="00C44E8B" w:rsidP="00B04B7B">
      <w:pPr>
        <w:pStyle w:val="SingleTxtG"/>
        <w:spacing w:before="240"/>
        <w:rPr>
          <w:i/>
          <w:iCs/>
        </w:rPr>
      </w:pPr>
      <w:r w:rsidRPr="00D01B4C">
        <w:rPr>
          <w:i/>
          <w:iCs/>
        </w:rPr>
        <w:t xml:space="preserve"> (Reference document: </w:t>
      </w:r>
      <w:r w:rsidRPr="00020245">
        <w:rPr>
          <w:i/>
          <w:iCs/>
        </w:rPr>
        <w:t>ST/SG/AC.10/C.3/</w:t>
      </w:r>
      <w:r>
        <w:rPr>
          <w:i/>
          <w:iCs/>
        </w:rPr>
        <w:t>104/Add.1</w:t>
      </w:r>
      <w:r w:rsidRPr="00D01B4C">
        <w:rPr>
          <w:i/>
          <w:iCs/>
        </w:rPr>
        <w:t>)</w:t>
      </w:r>
    </w:p>
    <w:p w:rsidR="00ED1E5E" w:rsidRPr="00755589" w:rsidRDefault="00ED1E5E" w:rsidP="00ED1E5E">
      <w:pPr>
        <w:pStyle w:val="SingleTxtG"/>
      </w:pPr>
      <w:r w:rsidRPr="00755589">
        <w:t>[In column “Name and description” for the entry “2-DIMETHYLAMINOETHYL-METHACRYLATE” add at the end “, STABILIZED”.]</w:t>
      </w:r>
    </w:p>
    <w:p w:rsidR="00ED1E5E" w:rsidRPr="00EC20E2" w:rsidRDefault="00ED1E5E" w:rsidP="00ED1E5E">
      <w:pPr>
        <w:pStyle w:val="SingleTxtG"/>
        <w:rPr>
          <w:i/>
          <w:lang w:val="fr-CH"/>
        </w:rPr>
      </w:pPr>
      <w:r w:rsidRPr="00EC20E2">
        <w:rPr>
          <w:i/>
          <w:lang w:val="fr-CH"/>
        </w:rPr>
        <w:t xml:space="preserve">(Reference document: </w:t>
      </w:r>
      <w:r w:rsidR="00C44E8B" w:rsidRPr="00020245">
        <w:rPr>
          <w:i/>
          <w:iCs/>
        </w:rPr>
        <w:t>ST/SG/AC.10/C.3/</w:t>
      </w:r>
      <w:r w:rsidR="00C44E8B">
        <w:rPr>
          <w:i/>
          <w:iCs/>
        </w:rPr>
        <w:t>104/Add.1</w:t>
      </w:r>
      <w:r w:rsidRPr="00EC20E2">
        <w:rPr>
          <w:i/>
          <w:lang w:val="fr-CH"/>
        </w:rPr>
        <w:t>)</w:t>
      </w:r>
    </w:p>
    <w:p w:rsidR="0089110F" w:rsidRPr="000E4463" w:rsidRDefault="0089110F" w:rsidP="0089110F">
      <w:pPr>
        <w:pStyle w:val="H1G"/>
      </w:pPr>
      <w:r w:rsidRPr="000E4463">
        <w:lastRenderedPageBreak/>
        <w:tab/>
      </w:r>
      <w:r w:rsidRPr="000E4463">
        <w:tab/>
        <w:t>Chapter 4.1</w:t>
      </w:r>
    </w:p>
    <w:p w:rsidR="0089110F" w:rsidRPr="000E4463" w:rsidRDefault="0089110F" w:rsidP="0089110F">
      <w:pPr>
        <w:pStyle w:val="SingleTxtG"/>
      </w:pPr>
      <w:r w:rsidRPr="000E4463">
        <w:rPr>
          <w:bCs/>
        </w:rPr>
        <w:t>[4.1.1</w:t>
      </w:r>
      <w:r w:rsidRPr="000E4463">
        <w:rPr>
          <w:bCs/>
        </w:rPr>
        <w:tab/>
        <w:t>In the note, replace “(Division 6.2)” by “(Division 6.2, UN 2814 and UN 2900)”. Amend the end of the sentence to read “(P201 and LP02 for Class 2 and P620, P621, P622, IBC620, LP621 and LP622 for Division 6.2)”.</w:t>
      </w:r>
      <w:r w:rsidRPr="000E4463">
        <w:t>]</w:t>
      </w:r>
    </w:p>
    <w:p w:rsidR="0089110F" w:rsidRDefault="0089110F" w:rsidP="0089110F">
      <w:pPr>
        <w:pStyle w:val="SingleTxtG"/>
        <w:rPr>
          <w:i/>
          <w:iCs/>
        </w:rPr>
      </w:pPr>
      <w:r w:rsidRPr="000E4463">
        <w:rPr>
          <w:i/>
          <w:iCs/>
        </w:rPr>
        <w:t xml:space="preserve">(Reference document: </w:t>
      </w:r>
      <w:r w:rsidR="0022022D" w:rsidRPr="00020245">
        <w:rPr>
          <w:i/>
          <w:iCs/>
        </w:rPr>
        <w:t>ST/SG/AC.10/C.3/</w:t>
      </w:r>
      <w:r w:rsidR="0022022D">
        <w:rPr>
          <w:i/>
          <w:iCs/>
        </w:rPr>
        <w:t>102/Add.1</w:t>
      </w:r>
      <w:r w:rsidRPr="000E4463">
        <w:rPr>
          <w:i/>
          <w:iCs/>
        </w:rPr>
        <w:t>)</w:t>
      </w:r>
    </w:p>
    <w:p w:rsidR="002B64E8" w:rsidRDefault="002B64E8" w:rsidP="002B64E8">
      <w:pPr>
        <w:pStyle w:val="SingleTxtG"/>
        <w:rPr>
          <w:lang w:val="en-US"/>
        </w:rPr>
      </w:pPr>
      <w:r>
        <w:rPr>
          <w:lang w:val="en-US"/>
        </w:rPr>
        <w:t>4.1.1.3</w:t>
      </w:r>
      <w:r>
        <w:rPr>
          <w:lang w:val="en-US"/>
        </w:rPr>
        <w:tab/>
      </w:r>
      <w:r>
        <w:rPr>
          <w:lang w:val="en-US"/>
        </w:rPr>
        <w:tab/>
        <w:t>Add a new 4.1.1.3.1 to read as follows:</w:t>
      </w:r>
    </w:p>
    <w:p w:rsidR="002B64E8" w:rsidRDefault="002B64E8" w:rsidP="002B64E8">
      <w:pPr>
        <w:pStyle w:val="SingleTxtG"/>
      </w:pPr>
      <w:r>
        <w:rPr>
          <w:lang w:val="en-US"/>
        </w:rPr>
        <w:t>“</w:t>
      </w:r>
      <w:r w:rsidRPr="00357579">
        <w:t>4.1.1.3.1</w:t>
      </w:r>
      <w:r w:rsidRPr="00357579">
        <w:tab/>
        <w:t>Packagings, including IBCs and large packagings, may conform to one or more than one successfull</w:t>
      </w:r>
      <w:r>
        <w:t>y tested design type and may bear</w:t>
      </w:r>
      <w:r w:rsidRPr="00357579">
        <w:t xml:space="preserve"> more than one mark”.</w:t>
      </w:r>
    </w:p>
    <w:p w:rsidR="002B64E8" w:rsidRPr="004631AC" w:rsidRDefault="002B64E8">
      <w:pPr>
        <w:pStyle w:val="SingleTxtG"/>
        <w:rPr>
          <w:bCs/>
          <w:i/>
          <w:iCs/>
          <w:lang w:val="en-US"/>
        </w:rPr>
      </w:pPr>
      <w:r>
        <w:rPr>
          <w:i/>
          <w:iCs/>
          <w:lang w:val="en-US"/>
        </w:rPr>
        <w:t xml:space="preserve">(Reference document: </w:t>
      </w:r>
      <w:r w:rsidR="0022022D" w:rsidRPr="00020245">
        <w:rPr>
          <w:i/>
          <w:iCs/>
        </w:rPr>
        <w:t>ST/SG/AC.10/C.3/</w:t>
      </w:r>
      <w:r w:rsidR="0022022D">
        <w:rPr>
          <w:i/>
          <w:iCs/>
        </w:rPr>
        <w:t>106/Add.1</w:t>
      </w:r>
      <w:r w:rsidRPr="00EF53CD">
        <w:rPr>
          <w:bCs/>
          <w:i/>
          <w:iCs/>
          <w:lang w:val="en-US"/>
        </w:rPr>
        <w:t>)</w:t>
      </w:r>
    </w:p>
    <w:p w:rsidR="00B63457" w:rsidRPr="00755589" w:rsidRDefault="00B63457" w:rsidP="00B63457">
      <w:pPr>
        <w:pStyle w:val="SingleTxtG"/>
      </w:pPr>
      <w:r w:rsidRPr="00755589">
        <w:t>4.1.4.1, packing instruction P003</w:t>
      </w:r>
      <w:r w:rsidRPr="00755589">
        <w:tab/>
        <w:t>For packing instruction PP32, after “3358”, add “and robust articles consigned under UN 3164”.</w:t>
      </w:r>
    </w:p>
    <w:p w:rsidR="00B63457" w:rsidRDefault="00B63457" w:rsidP="00B63457">
      <w:pPr>
        <w:pStyle w:val="SingleTxtG"/>
        <w:rPr>
          <w:i/>
          <w:lang w:val="fr-CH"/>
        </w:rPr>
      </w:pPr>
      <w:r w:rsidRPr="00364EE5">
        <w:rPr>
          <w:i/>
          <w:lang w:val="fr-CH"/>
        </w:rPr>
        <w:t>(Reference document:</w:t>
      </w:r>
      <w:r w:rsidRPr="00364EE5">
        <w:rPr>
          <w:lang w:val="fr-CH"/>
        </w:rPr>
        <w:t xml:space="preserve"> </w:t>
      </w:r>
      <w:r w:rsidR="0022022D" w:rsidRPr="00020245">
        <w:rPr>
          <w:i/>
          <w:iCs/>
        </w:rPr>
        <w:t>ST/SG/AC.10/C.3/</w:t>
      </w:r>
      <w:r w:rsidR="0022022D">
        <w:rPr>
          <w:i/>
          <w:iCs/>
        </w:rPr>
        <w:t>104/Add.1</w:t>
      </w:r>
      <w:r w:rsidRPr="00364EE5">
        <w:rPr>
          <w:i/>
          <w:lang w:val="fr-CH"/>
        </w:rPr>
        <w:t>)</w:t>
      </w:r>
    </w:p>
    <w:p w:rsidR="0089110F" w:rsidRPr="000E4463" w:rsidRDefault="0089110F" w:rsidP="0089110F">
      <w:pPr>
        <w:pStyle w:val="SingleTxtG"/>
        <w:rPr>
          <w:bCs/>
        </w:rPr>
      </w:pPr>
      <w:r w:rsidRPr="000E4463">
        <w:rPr>
          <w:bCs/>
        </w:rPr>
        <w:t>4.1.4.1, packing instruction P200</w:t>
      </w:r>
      <w:r w:rsidRPr="000E4463">
        <w:rPr>
          <w:bCs/>
        </w:rPr>
        <w:tab/>
        <w:t xml:space="preserve">In (4), </w:t>
      </w:r>
      <w:r w:rsidRPr="000E4463">
        <w:t>replace the reference on the last line to “ISO 24431:2006 Gas cylinders – Cylinders for compressed and liquefied gases (excluding acetylene) – Inspection at time of filling” by “</w:t>
      </w:r>
      <w:r w:rsidRPr="000E4463">
        <w:rPr>
          <w:color w:val="000000"/>
        </w:rPr>
        <w:t xml:space="preserve">ISO 24431:2016 </w:t>
      </w:r>
      <w:r w:rsidRPr="000E4463">
        <w:t>Gas cylinders – Seamless, welded and composite cylinders for compressed and liquefied gases (excluding acetylene) – Inspection at time of filling”.</w:t>
      </w:r>
    </w:p>
    <w:p w:rsidR="0089110F" w:rsidRPr="000E4463" w:rsidRDefault="0089110F" w:rsidP="0089110F">
      <w:pPr>
        <w:pStyle w:val="SingleTxtG"/>
        <w:rPr>
          <w:i/>
        </w:rPr>
      </w:pPr>
      <w:r w:rsidRPr="000E4463">
        <w:rPr>
          <w:bCs/>
          <w:i/>
        </w:rPr>
        <w:t>(Reference document:</w:t>
      </w:r>
      <w:r w:rsidRPr="000E4463">
        <w:rPr>
          <w:i/>
        </w:rPr>
        <w:t xml:space="preserve"> </w:t>
      </w:r>
      <w:r w:rsidR="0022022D" w:rsidRPr="00020245">
        <w:rPr>
          <w:i/>
          <w:iCs/>
        </w:rPr>
        <w:t>ST/SG/AC.10/C.3/</w:t>
      </w:r>
      <w:r w:rsidR="0022022D">
        <w:rPr>
          <w:i/>
          <w:iCs/>
        </w:rPr>
        <w:t>102/Add.1</w:t>
      </w:r>
      <w:r w:rsidRPr="000E4463">
        <w:rPr>
          <w:i/>
        </w:rPr>
        <w:t>)</w:t>
      </w:r>
    </w:p>
    <w:p w:rsidR="002B64E8" w:rsidRPr="00DA7DB6" w:rsidRDefault="002B64E8" w:rsidP="002B64E8">
      <w:pPr>
        <w:pStyle w:val="SingleTxtG"/>
        <w:rPr>
          <w:iCs/>
          <w:lang w:val="en-US"/>
        </w:rPr>
      </w:pPr>
      <w:r w:rsidRPr="00DA7DB6">
        <w:rPr>
          <w:iCs/>
          <w:lang w:val="en-US"/>
        </w:rPr>
        <w:t>[4.1.4.1</w:t>
      </w:r>
      <w:r w:rsidRPr="00DA7DB6">
        <w:rPr>
          <w:iCs/>
          <w:lang w:val="en-US"/>
        </w:rPr>
        <w:tab/>
        <w:t>Add the following new packing instruction P622:</w:t>
      </w:r>
    </w:p>
    <w:tbl>
      <w:tblPr>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1681"/>
        <w:gridCol w:w="1502"/>
        <w:gridCol w:w="3214"/>
        <w:gridCol w:w="2368"/>
        <w:gridCol w:w="850"/>
      </w:tblGrid>
      <w:tr w:rsidR="002B64E8" w:rsidRPr="000E4463" w:rsidTr="004631AC">
        <w:tc>
          <w:tcPr>
            <w:tcW w:w="1681" w:type="dxa"/>
            <w:tcBorders>
              <w:top w:val="single" w:sz="4" w:space="0" w:color="000000"/>
              <w:bottom w:val="single" w:sz="4" w:space="0" w:color="000000"/>
            </w:tcBorders>
          </w:tcPr>
          <w:p w:rsidR="002B64E8" w:rsidRPr="000E4463" w:rsidRDefault="002B64E8" w:rsidP="005B6F18">
            <w:pPr>
              <w:spacing w:before="60" w:after="60" w:line="240" w:lineRule="auto"/>
              <w:rPr>
                <w:b/>
                <w:bCs/>
                <w:color w:val="000000"/>
                <w:sz w:val="18"/>
                <w:szCs w:val="18"/>
              </w:rPr>
            </w:pPr>
            <w:r w:rsidRPr="000E4463">
              <w:rPr>
                <w:b/>
                <w:color w:val="000000"/>
                <w:sz w:val="18"/>
                <w:szCs w:val="18"/>
              </w:rPr>
              <w:t>P622</w:t>
            </w:r>
          </w:p>
        </w:tc>
        <w:tc>
          <w:tcPr>
            <w:tcW w:w="7084" w:type="dxa"/>
            <w:gridSpan w:val="3"/>
            <w:tcBorders>
              <w:top w:val="single" w:sz="4" w:space="0" w:color="000000"/>
              <w:bottom w:val="single" w:sz="4" w:space="0" w:color="000000"/>
            </w:tcBorders>
          </w:tcPr>
          <w:p w:rsidR="002B64E8" w:rsidRPr="000E4463" w:rsidRDefault="002B64E8" w:rsidP="005B6F18">
            <w:pPr>
              <w:spacing w:before="60" w:after="60" w:line="240" w:lineRule="auto"/>
              <w:jc w:val="center"/>
              <w:rPr>
                <w:b/>
                <w:bCs/>
                <w:color w:val="000000"/>
                <w:sz w:val="18"/>
                <w:szCs w:val="18"/>
              </w:rPr>
            </w:pPr>
            <w:r w:rsidRPr="000E4463">
              <w:rPr>
                <w:b/>
                <w:bCs/>
                <w:color w:val="000000"/>
                <w:sz w:val="18"/>
                <w:szCs w:val="18"/>
              </w:rPr>
              <w:t>PACKING INSTRUCTION</w:t>
            </w:r>
          </w:p>
        </w:tc>
        <w:tc>
          <w:tcPr>
            <w:tcW w:w="850" w:type="dxa"/>
            <w:tcBorders>
              <w:top w:val="single" w:sz="4" w:space="0" w:color="000000"/>
              <w:bottom w:val="single" w:sz="4" w:space="0" w:color="000000"/>
            </w:tcBorders>
          </w:tcPr>
          <w:p w:rsidR="002B64E8" w:rsidRPr="000E4463" w:rsidRDefault="002B64E8" w:rsidP="005B6F18">
            <w:pPr>
              <w:spacing w:before="60" w:after="60" w:line="240" w:lineRule="auto"/>
              <w:rPr>
                <w:b/>
                <w:bCs/>
                <w:color w:val="000000"/>
                <w:sz w:val="18"/>
                <w:szCs w:val="18"/>
              </w:rPr>
            </w:pPr>
            <w:r>
              <w:rPr>
                <w:b/>
                <w:color w:val="000000"/>
                <w:sz w:val="18"/>
                <w:szCs w:val="18"/>
              </w:rPr>
              <w:t xml:space="preserve">       </w:t>
            </w:r>
            <w:r w:rsidRPr="000E4463">
              <w:rPr>
                <w:b/>
                <w:color w:val="000000"/>
                <w:sz w:val="18"/>
                <w:szCs w:val="18"/>
              </w:rPr>
              <w:t>P622</w:t>
            </w:r>
          </w:p>
        </w:tc>
      </w:tr>
      <w:tr w:rsidR="002B64E8" w:rsidRPr="000E4463" w:rsidTr="004631AC">
        <w:tc>
          <w:tcPr>
            <w:tcW w:w="9615" w:type="dxa"/>
            <w:gridSpan w:val="5"/>
            <w:tcBorders>
              <w:top w:val="single" w:sz="4" w:space="0" w:color="000000"/>
              <w:bottom w:val="single" w:sz="4" w:space="0" w:color="000000"/>
            </w:tcBorders>
          </w:tcPr>
          <w:p w:rsidR="002B64E8" w:rsidRPr="000E4463" w:rsidRDefault="002B64E8" w:rsidP="005B6F18">
            <w:pPr>
              <w:spacing w:before="60" w:after="60" w:line="240" w:lineRule="auto"/>
              <w:rPr>
                <w:color w:val="000000"/>
                <w:sz w:val="18"/>
                <w:szCs w:val="18"/>
              </w:rPr>
            </w:pPr>
            <w:r w:rsidRPr="000E4463">
              <w:rPr>
                <w:color w:val="000000"/>
                <w:sz w:val="18"/>
                <w:szCs w:val="18"/>
              </w:rPr>
              <w:t>This instruction applies to UN 3549.</w:t>
            </w:r>
          </w:p>
        </w:tc>
      </w:tr>
      <w:tr w:rsidR="002B64E8" w:rsidRPr="000E4463" w:rsidTr="004631AC">
        <w:tc>
          <w:tcPr>
            <w:tcW w:w="9615" w:type="dxa"/>
            <w:gridSpan w:val="5"/>
            <w:tcBorders>
              <w:top w:val="single" w:sz="4" w:space="0" w:color="000000"/>
              <w:bottom w:val="single" w:sz="4" w:space="0" w:color="000000"/>
            </w:tcBorders>
          </w:tcPr>
          <w:p w:rsidR="002B64E8" w:rsidRPr="000E4463" w:rsidRDefault="002B64E8" w:rsidP="005B6F18">
            <w:pPr>
              <w:spacing w:before="60" w:after="60" w:line="240" w:lineRule="auto"/>
              <w:rPr>
                <w:color w:val="000000"/>
                <w:sz w:val="18"/>
                <w:szCs w:val="18"/>
              </w:rPr>
            </w:pPr>
            <w:r w:rsidRPr="000E4463">
              <w:rPr>
                <w:color w:val="000000"/>
                <w:sz w:val="18"/>
                <w:szCs w:val="18"/>
              </w:rPr>
              <w:t xml:space="preserve">The following packagings are authorized provided the general provisions of </w:t>
            </w:r>
            <w:r w:rsidRPr="000E4463">
              <w:rPr>
                <w:b/>
                <w:color w:val="000000"/>
                <w:sz w:val="18"/>
                <w:szCs w:val="18"/>
              </w:rPr>
              <w:t xml:space="preserve">4.1.1 </w:t>
            </w:r>
            <w:r w:rsidRPr="000E4463">
              <w:rPr>
                <w:color w:val="000000"/>
                <w:sz w:val="18"/>
                <w:szCs w:val="18"/>
              </w:rPr>
              <w:t>and</w:t>
            </w:r>
            <w:r w:rsidRPr="000E4463">
              <w:rPr>
                <w:b/>
                <w:color w:val="000000"/>
                <w:sz w:val="18"/>
                <w:szCs w:val="18"/>
              </w:rPr>
              <w:t xml:space="preserve"> 4.1.3</w:t>
            </w:r>
            <w:r w:rsidRPr="000E4463">
              <w:rPr>
                <w:color w:val="000000"/>
                <w:sz w:val="18"/>
                <w:szCs w:val="18"/>
              </w:rPr>
              <w:t xml:space="preserve"> are met:</w:t>
            </w:r>
          </w:p>
        </w:tc>
      </w:tr>
      <w:tr w:rsidR="002B64E8" w:rsidRPr="000E4463" w:rsidTr="004631AC">
        <w:tc>
          <w:tcPr>
            <w:tcW w:w="3183" w:type="dxa"/>
            <w:gridSpan w:val="2"/>
            <w:tcBorders>
              <w:top w:val="single" w:sz="4" w:space="0" w:color="000000"/>
              <w:bottom w:val="single" w:sz="4" w:space="0" w:color="000000"/>
              <w:right w:val="single" w:sz="4" w:space="0" w:color="auto"/>
            </w:tcBorders>
          </w:tcPr>
          <w:p w:rsidR="002B64E8" w:rsidRPr="000E4463" w:rsidRDefault="002B64E8" w:rsidP="005B6F18">
            <w:pPr>
              <w:spacing w:before="60" w:after="60" w:line="240" w:lineRule="auto"/>
              <w:rPr>
                <w:b/>
                <w:color w:val="000000"/>
                <w:sz w:val="18"/>
                <w:szCs w:val="18"/>
              </w:rPr>
            </w:pPr>
            <w:r w:rsidRPr="000E4463">
              <w:rPr>
                <w:b/>
                <w:color w:val="000000"/>
                <w:sz w:val="18"/>
                <w:szCs w:val="18"/>
              </w:rPr>
              <w:t>Inner packagings</w:t>
            </w:r>
          </w:p>
        </w:tc>
        <w:tc>
          <w:tcPr>
            <w:tcW w:w="3214" w:type="dxa"/>
            <w:tcBorders>
              <w:top w:val="single" w:sz="4" w:space="0" w:color="000000"/>
              <w:left w:val="single" w:sz="4" w:space="0" w:color="auto"/>
              <w:bottom w:val="single" w:sz="4" w:space="0" w:color="000000"/>
              <w:right w:val="single" w:sz="4" w:space="0" w:color="auto"/>
            </w:tcBorders>
          </w:tcPr>
          <w:p w:rsidR="002B64E8" w:rsidRPr="000E4463" w:rsidRDefault="002B64E8" w:rsidP="005B6F18">
            <w:pPr>
              <w:spacing w:before="60" w:after="60" w:line="240" w:lineRule="auto"/>
              <w:rPr>
                <w:b/>
                <w:color w:val="000000"/>
                <w:sz w:val="18"/>
                <w:szCs w:val="18"/>
              </w:rPr>
            </w:pPr>
            <w:r w:rsidRPr="000E4463">
              <w:rPr>
                <w:b/>
                <w:color w:val="000000"/>
                <w:sz w:val="18"/>
                <w:szCs w:val="18"/>
              </w:rPr>
              <w:t>Intermediate packagings</w:t>
            </w:r>
          </w:p>
        </w:tc>
        <w:tc>
          <w:tcPr>
            <w:tcW w:w="3218" w:type="dxa"/>
            <w:gridSpan w:val="2"/>
            <w:tcBorders>
              <w:top w:val="single" w:sz="4" w:space="0" w:color="000000"/>
              <w:left w:val="single" w:sz="4" w:space="0" w:color="auto"/>
              <w:bottom w:val="single" w:sz="4" w:space="0" w:color="000000"/>
            </w:tcBorders>
          </w:tcPr>
          <w:p w:rsidR="002B64E8" w:rsidRPr="000E4463" w:rsidRDefault="002B64E8" w:rsidP="005B6F18">
            <w:pPr>
              <w:spacing w:before="60" w:after="60" w:line="240" w:lineRule="auto"/>
              <w:rPr>
                <w:b/>
                <w:color w:val="000000"/>
                <w:sz w:val="18"/>
                <w:szCs w:val="18"/>
              </w:rPr>
            </w:pPr>
            <w:r w:rsidRPr="000E4463">
              <w:rPr>
                <w:b/>
                <w:color w:val="000000"/>
                <w:sz w:val="18"/>
                <w:szCs w:val="18"/>
              </w:rPr>
              <w:t>Outer packagings</w:t>
            </w:r>
          </w:p>
        </w:tc>
      </w:tr>
      <w:tr w:rsidR="002B64E8" w:rsidRPr="000E4463" w:rsidTr="004631AC">
        <w:trPr>
          <w:trHeight w:val="1610"/>
        </w:trPr>
        <w:tc>
          <w:tcPr>
            <w:tcW w:w="3183" w:type="dxa"/>
            <w:gridSpan w:val="2"/>
            <w:tcBorders>
              <w:top w:val="single" w:sz="4" w:space="0" w:color="000000"/>
              <w:bottom w:val="single" w:sz="4" w:space="0" w:color="000000"/>
              <w:right w:val="single" w:sz="4" w:space="0" w:color="auto"/>
            </w:tcBorders>
          </w:tcPr>
          <w:p w:rsidR="002B64E8" w:rsidRPr="000E4463" w:rsidRDefault="002B64E8" w:rsidP="005B6F18">
            <w:pPr>
              <w:spacing w:before="60" w:after="60" w:line="240" w:lineRule="auto"/>
              <w:rPr>
                <w:color w:val="000000"/>
                <w:sz w:val="18"/>
                <w:szCs w:val="18"/>
              </w:rPr>
            </w:pPr>
            <w:r w:rsidRPr="000E4463">
              <w:rPr>
                <w:color w:val="000000"/>
                <w:sz w:val="18"/>
                <w:szCs w:val="18"/>
              </w:rPr>
              <w:t>metal</w:t>
            </w:r>
          </w:p>
          <w:p w:rsidR="002B64E8" w:rsidRPr="000E4463" w:rsidRDefault="002B64E8" w:rsidP="005B6F18">
            <w:pPr>
              <w:spacing w:before="60" w:after="60" w:line="240" w:lineRule="auto"/>
              <w:rPr>
                <w:color w:val="000000"/>
                <w:sz w:val="18"/>
                <w:szCs w:val="18"/>
              </w:rPr>
            </w:pPr>
            <w:r w:rsidRPr="000E4463">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rsidR="002B64E8" w:rsidRPr="000E4463" w:rsidRDefault="002B64E8" w:rsidP="005B6F18">
            <w:pPr>
              <w:spacing w:before="60" w:after="60" w:line="240" w:lineRule="auto"/>
              <w:rPr>
                <w:color w:val="000000"/>
                <w:sz w:val="18"/>
                <w:szCs w:val="18"/>
              </w:rPr>
            </w:pPr>
            <w:r w:rsidRPr="000E4463">
              <w:rPr>
                <w:color w:val="000000"/>
                <w:sz w:val="18"/>
                <w:szCs w:val="18"/>
              </w:rPr>
              <w:t>metal</w:t>
            </w:r>
          </w:p>
          <w:p w:rsidR="002B64E8" w:rsidRPr="000E4463" w:rsidRDefault="002B64E8" w:rsidP="005B6F18">
            <w:pPr>
              <w:spacing w:before="60" w:after="60" w:line="240" w:lineRule="auto"/>
              <w:rPr>
                <w:color w:val="000000"/>
                <w:sz w:val="18"/>
                <w:szCs w:val="18"/>
              </w:rPr>
            </w:pPr>
            <w:r w:rsidRPr="000E4463">
              <w:rPr>
                <w:color w:val="000000"/>
                <w:sz w:val="18"/>
                <w:szCs w:val="18"/>
              </w:rPr>
              <w:t>plastics</w:t>
            </w:r>
          </w:p>
        </w:tc>
        <w:tc>
          <w:tcPr>
            <w:tcW w:w="3218" w:type="dxa"/>
            <w:gridSpan w:val="2"/>
            <w:tcBorders>
              <w:top w:val="single" w:sz="4" w:space="0" w:color="000000"/>
              <w:left w:val="single" w:sz="4" w:space="0" w:color="auto"/>
              <w:bottom w:val="single" w:sz="4" w:space="0" w:color="000000"/>
            </w:tcBorders>
          </w:tcPr>
          <w:p w:rsidR="002B64E8" w:rsidRPr="000E4463" w:rsidRDefault="002B64E8" w:rsidP="005B6F18">
            <w:pPr>
              <w:spacing w:before="60" w:after="60" w:line="240" w:lineRule="auto"/>
              <w:rPr>
                <w:b/>
                <w:color w:val="000000"/>
                <w:sz w:val="18"/>
                <w:szCs w:val="18"/>
              </w:rPr>
            </w:pPr>
            <w:r w:rsidRPr="000E4463">
              <w:rPr>
                <w:b/>
                <w:color w:val="000000"/>
                <w:sz w:val="18"/>
                <w:szCs w:val="18"/>
              </w:rPr>
              <w:t>Boxes</w:t>
            </w:r>
          </w:p>
          <w:p w:rsidR="002B64E8" w:rsidRPr="000E4463" w:rsidRDefault="002B64E8" w:rsidP="005B6F18">
            <w:pPr>
              <w:spacing w:before="60" w:after="60" w:line="240" w:lineRule="auto"/>
              <w:rPr>
                <w:color w:val="000000"/>
                <w:sz w:val="18"/>
                <w:szCs w:val="18"/>
              </w:rPr>
            </w:pPr>
            <w:r w:rsidRPr="000E4463">
              <w:rPr>
                <w:color w:val="000000"/>
                <w:sz w:val="18"/>
                <w:szCs w:val="18"/>
              </w:rPr>
              <w:t>steel (4A)</w:t>
            </w:r>
          </w:p>
          <w:p w:rsidR="002B64E8" w:rsidRPr="000E4463" w:rsidRDefault="002B64E8" w:rsidP="005B6F18">
            <w:pPr>
              <w:spacing w:before="60" w:after="60" w:line="240" w:lineRule="auto"/>
              <w:rPr>
                <w:color w:val="000000"/>
                <w:sz w:val="18"/>
                <w:szCs w:val="18"/>
              </w:rPr>
            </w:pPr>
            <w:r w:rsidRPr="000E4463">
              <w:rPr>
                <w:color w:val="000000"/>
                <w:sz w:val="18"/>
                <w:szCs w:val="18"/>
              </w:rPr>
              <w:t>aluminium (4B)</w:t>
            </w:r>
          </w:p>
          <w:p w:rsidR="002B64E8" w:rsidRPr="000E4463" w:rsidRDefault="002B64E8" w:rsidP="005B6F18">
            <w:pPr>
              <w:spacing w:before="60" w:after="60" w:line="240" w:lineRule="auto"/>
              <w:rPr>
                <w:color w:val="000000"/>
                <w:sz w:val="18"/>
                <w:szCs w:val="18"/>
              </w:rPr>
            </w:pPr>
            <w:r w:rsidRPr="000E4463">
              <w:rPr>
                <w:color w:val="000000"/>
                <w:sz w:val="18"/>
                <w:szCs w:val="18"/>
              </w:rPr>
              <w:t>plywood (4D)</w:t>
            </w:r>
          </w:p>
          <w:p w:rsidR="002B64E8" w:rsidRPr="000E4463" w:rsidRDefault="002B64E8" w:rsidP="005B6F18">
            <w:pPr>
              <w:spacing w:before="60" w:after="60" w:line="240" w:lineRule="auto"/>
              <w:rPr>
                <w:color w:val="000000"/>
                <w:sz w:val="18"/>
                <w:szCs w:val="18"/>
              </w:rPr>
            </w:pPr>
            <w:r w:rsidRPr="000E4463">
              <w:rPr>
                <w:color w:val="000000"/>
                <w:sz w:val="18"/>
                <w:szCs w:val="18"/>
              </w:rPr>
              <w:t>fibreboard (4G)</w:t>
            </w:r>
          </w:p>
          <w:p w:rsidR="002B64E8" w:rsidRPr="000E4463" w:rsidRDefault="002B64E8" w:rsidP="005B6F18">
            <w:pPr>
              <w:spacing w:before="60" w:after="60" w:line="240" w:lineRule="auto"/>
              <w:rPr>
                <w:color w:val="000000"/>
                <w:sz w:val="18"/>
                <w:szCs w:val="18"/>
              </w:rPr>
            </w:pPr>
            <w:r w:rsidRPr="000E4463">
              <w:rPr>
                <w:color w:val="000000"/>
                <w:sz w:val="18"/>
                <w:szCs w:val="18"/>
              </w:rPr>
              <w:t>other metal (4N)</w:t>
            </w:r>
          </w:p>
          <w:p w:rsidR="002B64E8" w:rsidRPr="000E4463" w:rsidRDefault="002B64E8" w:rsidP="005B6F18">
            <w:pPr>
              <w:spacing w:before="60" w:after="60" w:line="240" w:lineRule="auto"/>
              <w:rPr>
                <w:color w:val="000000"/>
                <w:sz w:val="18"/>
                <w:szCs w:val="18"/>
              </w:rPr>
            </w:pPr>
            <w:r w:rsidRPr="000E4463">
              <w:rPr>
                <w:color w:val="000000"/>
                <w:sz w:val="18"/>
                <w:szCs w:val="18"/>
              </w:rPr>
              <w:t>plastics, solid (4H2)</w:t>
            </w:r>
          </w:p>
          <w:p w:rsidR="002B64E8" w:rsidRPr="000E4463" w:rsidRDefault="002B64E8" w:rsidP="005B6F18">
            <w:pPr>
              <w:spacing w:before="60" w:after="60" w:line="240" w:lineRule="auto"/>
              <w:rPr>
                <w:b/>
                <w:color w:val="000000"/>
                <w:sz w:val="18"/>
                <w:szCs w:val="18"/>
              </w:rPr>
            </w:pPr>
            <w:r w:rsidRPr="000E4463">
              <w:rPr>
                <w:b/>
                <w:color w:val="000000"/>
                <w:sz w:val="18"/>
                <w:szCs w:val="18"/>
              </w:rPr>
              <w:t>Drums</w:t>
            </w:r>
          </w:p>
          <w:p w:rsidR="002B64E8" w:rsidRPr="000E4463" w:rsidRDefault="002B64E8" w:rsidP="005B6F18">
            <w:pPr>
              <w:spacing w:before="60" w:after="60" w:line="240" w:lineRule="auto"/>
              <w:rPr>
                <w:color w:val="000000"/>
                <w:sz w:val="18"/>
                <w:szCs w:val="18"/>
              </w:rPr>
            </w:pPr>
            <w:r w:rsidRPr="000E4463">
              <w:rPr>
                <w:color w:val="000000"/>
                <w:sz w:val="18"/>
                <w:szCs w:val="18"/>
              </w:rPr>
              <w:t>steel (1A2)</w:t>
            </w:r>
          </w:p>
          <w:p w:rsidR="002B64E8" w:rsidRPr="000E4463" w:rsidRDefault="002B64E8" w:rsidP="005B6F18">
            <w:pPr>
              <w:spacing w:before="60" w:after="60" w:line="240" w:lineRule="auto"/>
              <w:rPr>
                <w:color w:val="000000"/>
                <w:sz w:val="18"/>
                <w:szCs w:val="18"/>
              </w:rPr>
            </w:pPr>
            <w:r w:rsidRPr="000E4463">
              <w:rPr>
                <w:color w:val="000000"/>
                <w:sz w:val="18"/>
                <w:szCs w:val="18"/>
              </w:rPr>
              <w:t>aluminium (1B2)</w:t>
            </w:r>
          </w:p>
          <w:p w:rsidR="002B64E8" w:rsidRPr="000E4463" w:rsidRDefault="002B64E8" w:rsidP="005B6F18">
            <w:pPr>
              <w:spacing w:before="60" w:after="60" w:line="240" w:lineRule="auto"/>
              <w:rPr>
                <w:color w:val="000000"/>
                <w:sz w:val="18"/>
                <w:szCs w:val="18"/>
              </w:rPr>
            </w:pPr>
            <w:r w:rsidRPr="000E4463">
              <w:rPr>
                <w:color w:val="000000"/>
                <w:sz w:val="18"/>
                <w:szCs w:val="18"/>
              </w:rPr>
              <w:t>plywood (1D)</w:t>
            </w:r>
          </w:p>
          <w:p w:rsidR="002B64E8" w:rsidRPr="000E4463" w:rsidRDefault="002B64E8" w:rsidP="005B6F18">
            <w:pPr>
              <w:spacing w:before="60" w:after="60" w:line="240" w:lineRule="auto"/>
              <w:rPr>
                <w:color w:val="000000"/>
                <w:sz w:val="18"/>
                <w:szCs w:val="18"/>
              </w:rPr>
            </w:pPr>
            <w:r w:rsidRPr="000E4463">
              <w:rPr>
                <w:color w:val="000000"/>
                <w:sz w:val="18"/>
                <w:szCs w:val="18"/>
              </w:rPr>
              <w:t>fibre (1G)</w:t>
            </w:r>
          </w:p>
          <w:p w:rsidR="002B64E8" w:rsidRPr="000E4463" w:rsidRDefault="002B64E8" w:rsidP="005B6F18">
            <w:pPr>
              <w:spacing w:before="60" w:after="60" w:line="240" w:lineRule="auto"/>
              <w:rPr>
                <w:color w:val="000000"/>
                <w:sz w:val="18"/>
                <w:szCs w:val="18"/>
              </w:rPr>
            </w:pPr>
            <w:r w:rsidRPr="000E4463">
              <w:rPr>
                <w:color w:val="000000"/>
                <w:sz w:val="18"/>
                <w:szCs w:val="18"/>
              </w:rPr>
              <w:t>other metal (1N2)</w:t>
            </w:r>
          </w:p>
          <w:p w:rsidR="002B64E8" w:rsidRPr="000E4463" w:rsidRDefault="002B64E8" w:rsidP="005B6F18">
            <w:pPr>
              <w:spacing w:before="60" w:after="60" w:line="240" w:lineRule="auto"/>
              <w:rPr>
                <w:color w:val="000000"/>
                <w:sz w:val="18"/>
                <w:szCs w:val="18"/>
              </w:rPr>
            </w:pPr>
            <w:r w:rsidRPr="000E4463">
              <w:rPr>
                <w:color w:val="000000"/>
                <w:sz w:val="18"/>
                <w:szCs w:val="18"/>
              </w:rPr>
              <w:t>plastics (1H2)</w:t>
            </w:r>
          </w:p>
          <w:p w:rsidR="002B64E8" w:rsidRPr="000E4463" w:rsidRDefault="002B64E8" w:rsidP="005B6F18">
            <w:pPr>
              <w:spacing w:before="60" w:after="60" w:line="240" w:lineRule="auto"/>
              <w:rPr>
                <w:b/>
                <w:color w:val="000000"/>
                <w:sz w:val="18"/>
                <w:szCs w:val="18"/>
              </w:rPr>
            </w:pPr>
            <w:r w:rsidRPr="000E4463">
              <w:rPr>
                <w:b/>
                <w:color w:val="000000"/>
                <w:sz w:val="18"/>
                <w:szCs w:val="18"/>
              </w:rPr>
              <w:t>Jerricans</w:t>
            </w:r>
          </w:p>
          <w:p w:rsidR="002B64E8" w:rsidRPr="000E4463" w:rsidRDefault="002B64E8" w:rsidP="005B6F18">
            <w:pPr>
              <w:spacing w:before="60" w:after="60" w:line="240" w:lineRule="auto"/>
              <w:rPr>
                <w:color w:val="000000"/>
                <w:sz w:val="18"/>
                <w:szCs w:val="18"/>
              </w:rPr>
            </w:pPr>
            <w:r w:rsidRPr="000E4463">
              <w:rPr>
                <w:color w:val="000000"/>
                <w:sz w:val="18"/>
                <w:szCs w:val="18"/>
              </w:rPr>
              <w:t>steel (3A2)</w:t>
            </w:r>
          </w:p>
          <w:p w:rsidR="002B64E8" w:rsidRPr="000E4463" w:rsidRDefault="002B64E8" w:rsidP="005B6F18">
            <w:pPr>
              <w:spacing w:before="60" w:after="60" w:line="240" w:lineRule="auto"/>
              <w:rPr>
                <w:color w:val="000000"/>
                <w:sz w:val="18"/>
                <w:szCs w:val="18"/>
              </w:rPr>
            </w:pPr>
            <w:r w:rsidRPr="000E4463">
              <w:rPr>
                <w:color w:val="000000"/>
                <w:sz w:val="18"/>
                <w:szCs w:val="18"/>
              </w:rPr>
              <w:t>aluminium (3B2)</w:t>
            </w:r>
          </w:p>
          <w:p w:rsidR="002B64E8" w:rsidRPr="000E4463" w:rsidRDefault="002B64E8" w:rsidP="005B6F18">
            <w:pPr>
              <w:spacing w:before="60" w:after="60" w:line="240" w:lineRule="auto"/>
              <w:rPr>
                <w:color w:val="000000"/>
                <w:sz w:val="18"/>
                <w:szCs w:val="18"/>
              </w:rPr>
            </w:pPr>
            <w:r w:rsidRPr="000E4463">
              <w:rPr>
                <w:color w:val="000000"/>
                <w:sz w:val="18"/>
                <w:szCs w:val="18"/>
              </w:rPr>
              <w:t>plastics (3H2)</w:t>
            </w:r>
          </w:p>
        </w:tc>
      </w:tr>
      <w:tr w:rsidR="002B64E8" w:rsidRPr="000E4463" w:rsidTr="004631AC">
        <w:tc>
          <w:tcPr>
            <w:tcW w:w="9615" w:type="dxa"/>
            <w:gridSpan w:val="5"/>
          </w:tcPr>
          <w:p w:rsidR="002B64E8" w:rsidRPr="000E4463" w:rsidRDefault="002B64E8" w:rsidP="005B6F18">
            <w:pPr>
              <w:spacing w:before="60" w:after="60" w:line="240" w:lineRule="auto"/>
              <w:rPr>
                <w:color w:val="000000"/>
                <w:sz w:val="18"/>
                <w:szCs w:val="18"/>
              </w:rPr>
            </w:pPr>
            <w:r w:rsidRPr="000E4463">
              <w:rPr>
                <w:color w:val="000000"/>
                <w:sz w:val="18"/>
                <w:szCs w:val="18"/>
              </w:rPr>
              <w:t xml:space="preserve">The </w:t>
            </w:r>
            <w:r>
              <w:rPr>
                <w:color w:val="000000"/>
                <w:sz w:val="18"/>
                <w:szCs w:val="18"/>
              </w:rPr>
              <w:t xml:space="preserve">outer </w:t>
            </w:r>
            <w:r w:rsidRPr="000E4463">
              <w:rPr>
                <w:color w:val="000000"/>
                <w:sz w:val="18"/>
                <w:szCs w:val="18"/>
              </w:rPr>
              <w:t xml:space="preserve">packaging shall conform to the packing group I performance level for solids.  </w:t>
            </w:r>
          </w:p>
        </w:tc>
      </w:tr>
      <w:tr w:rsidR="002B64E8" w:rsidRPr="000E4463" w:rsidTr="004631AC">
        <w:trPr>
          <w:trHeight w:val="244"/>
        </w:trPr>
        <w:tc>
          <w:tcPr>
            <w:tcW w:w="9615" w:type="dxa"/>
            <w:gridSpan w:val="5"/>
            <w:tcBorders>
              <w:top w:val="single" w:sz="4" w:space="0" w:color="000000"/>
              <w:bottom w:val="single" w:sz="4" w:space="0" w:color="000000"/>
            </w:tcBorders>
          </w:tcPr>
          <w:p w:rsidR="002B64E8" w:rsidRPr="000E4463" w:rsidRDefault="002B64E8" w:rsidP="005B6F18">
            <w:pPr>
              <w:spacing w:before="60" w:after="60" w:line="240" w:lineRule="auto"/>
              <w:rPr>
                <w:color w:val="000000"/>
                <w:sz w:val="18"/>
                <w:szCs w:val="18"/>
              </w:rPr>
            </w:pPr>
            <w:r w:rsidRPr="000E4463">
              <w:rPr>
                <w:b/>
                <w:color w:val="000000"/>
                <w:sz w:val="18"/>
                <w:szCs w:val="18"/>
              </w:rPr>
              <w:lastRenderedPageBreak/>
              <w:t>Additional requirements:</w:t>
            </w:r>
          </w:p>
        </w:tc>
      </w:tr>
      <w:tr w:rsidR="002B64E8" w:rsidRPr="000E4463" w:rsidTr="004631AC">
        <w:trPr>
          <w:trHeight w:val="360"/>
        </w:trPr>
        <w:tc>
          <w:tcPr>
            <w:tcW w:w="9615" w:type="dxa"/>
            <w:gridSpan w:val="5"/>
            <w:tcBorders>
              <w:top w:val="single" w:sz="4" w:space="0" w:color="000000"/>
              <w:bottom w:val="single" w:sz="4" w:space="0" w:color="auto"/>
            </w:tcBorders>
            <w:vAlign w:val="center"/>
          </w:tcPr>
          <w:p w:rsidR="002B64E8" w:rsidRPr="00847938" w:rsidRDefault="002B64E8" w:rsidP="0022022D">
            <w:pPr>
              <w:pStyle w:val="ListParagraph"/>
              <w:numPr>
                <w:ilvl w:val="0"/>
                <w:numId w:val="23"/>
              </w:numPr>
              <w:spacing w:before="60" w:after="60" w:line="240" w:lineRule="auto"/>
              <w:ind w:left="390"/>
              <w:rPr>
                <w:color w:val="000000"/>
                <w:sz w:val="18"/>
                <w:szCs w:val="18"/>
              </w:rPr>
            </w:pPr>
            <w:r w:rsidRPr="00847938">
              <w:rPr>
                <w:color w:val="000000"/>
                <w:sz w:val="18"/>
                <w:szCs w:val="18"/>
              </w:rPr>
              <w:t>Fragile articles shall be contained in either a rigid inner packaging or rigid intermediate packagings.</w:t>
            </w:r>
          </w:p>
          <w:p w:rsidR="002B64E8" w:rsidRPr="00847938" w:rsidRDefault="002B64E8" w:rsidP="0022022D">
            <w:pPr>
              <w:pStyle w:val="ListParagraph"/>
              <w:numPr>
                <w:ilvl w:val="0"/>
                <w:numId w:val="23"/>
              </w:numPr>
              <w:spacing w:before="60" w:after="60" w:line="240" w:lineRule="auto"/>
              <w:ind w:left="390"/>
              <w:rPr>
                <w:color w:val="000000"/>
                <w:sz w:val="18"/>
                <w:szCs w:val="18"/>
              </w:rPr>
            </w:pPr>
            <w:r w:rsidRPr="00847938">
              <w:rPr>
                <w:color w:val="000000"/>
                <w:sz w:val="18"/>
                <w:szCs w:val="18"/>
              </w:rPr>
              <w:t>Inner packagings containing sharps objects such as broken glass and needles shall be rigid and resistant to puncture.</w:t>
            </w:r>
          </w:p>
          <w:p w:rsidR="002B64E8" w:rsidRPr="00847938" w:rsidRDefault="002B64E8" w:rsidP="0022022D">
            <w:pPr>
              <w:pStyle w:val="ListParagraph"/>
              <w:numPr>
                <w:ilvl w:val="0"/>
                <w:numId w:val="23"/>
              </w:numPr>
              <w:spacing w:before="60" w:after="60" w:line="240" w:lineRule="auto"/>
              <w:ind w:left="390"/>
              <w:rPr>
                <w:color w:val="000000"/>
                <w:sz w:val="18"/>
                <w:szCs w:val="18"/>
              </w:rPr>
            </w:pPr>
            <w:r w:rsidRPr="00847938">
              <w:rPr>
                <w:color w:val="000000"/>
                <w:sz w:val="18"/>
                <w:szCs w:val="18"/>
              </w:rPr>
              <w:t>The inner packaging, the intermediate packaging, and the outer packaging shall be capable of retaining liquids. Outer packagings that are not capable of retaining liquids by design shall be fitted with a liner or suitable measure of retaining liquids.</w:t>
            </w:r>
          </w:p>
          <w:p w:rsidR="002B64E8" w:rsidRPr="00847938" w:rsidRDefault="002B64E8" w:rsidP="0022022D">
            <w:pPr>
              <w:pStyle w:val="ListParagraph"/>
              <w:numPr>
                <w:ilvl w:val="0"/>
                <w:numId w:val="23"/>
              </w:numPr>
              <w:spacing w:before="60" w:after="60" w:line="240" w:lineRule="auto"/>
              <w:ind w:left="390"/>
              <w:jc w:val="both"/>
              <w:rPr>
                <w:color w:val="000000"/>
                <w:sz w:val="18"/>
                <w:szCs w:val="18"/>
                <w:lang w:val="en-CA"/>
              </w:rPr>
            </w:pPr>
            <w:r w:rsidRPr="00847938">
              <w:rPr>
                <w:color w:val="000000"/>
                <w:sz w:val="18"/>
                <w:szCs w:val="18"/>
                <w:lang w:val="en-CA"/>
              </w:rPr>
              <w:t xml:space="preserve">The inner packaging and/or the intermediate packaging may be flexible.  When flexible packagings are used, they shall be capable of passing the impact resistance </w:t>
            </w:r>
            <w:r w:rsidRPr="00847938">
              <w:rPr>
                <w:sz w:val="18"/>
                <w:szCs w:val="18"/>
                <w:lang w:val="en-CA"/>
              </w:rPr>
              <w:t xml:space="preserve">test to at least 165 g </w:t>
            </w:r>
            <w:r w:rsidRPr="00847938">
              <w:rPr>
                <w:color w:val="000000"/>
                <w:sz w:val="18"/>
                <w:szCs w:val="18"/>
                <w:lang w:val="en-CA"/>
              </w:rPr>
              <w:t xml:space="preserve">according to ISO 7765-1:1988 “Plastics film and sheeting – Determination of impact resistance by the free-falling dart method – Part 1: Staircase methods” and </w:t>
            </w:r>
            <w:r w:rsidRPr="00847938">
              <w:rPr>
                <w:sz w:val="18"/>
                <w:szCs w:val="18"/>
                <w:lang w:val="en-CA"/>
              </w:rPr>
              <w:t xml:space="preserve">the tear resistance test to at least 480 g in both parallel and perpendicular planes with respect to the length of the bag in accordance </w:t>
            </w:r>
            <w:r w:rsidRPr="00847938">
              <w:rPr>
                <w:color w:val="000000"/>
                <w:sz w:val="18"/>
                <w:szCs w:val="18"/>
                <w:lang w:val="en-CA"/>
              </w:rPr>
              <w:t xml:space="preserve">with ISO 6383-2:1983 “Plastics – Film and sheeting – Determination of tear resistance – Part 2: Elmendorf method”.  The maximum net mass of each </w:t>
            </w:r>
            <w:r w:rsidRPr="00847938">
              <w:rPr>
                <w:sz w:val="18"/>
                <w:szCs w:val="18"/>
                <w:lang w:val="en-CA"/>
              </w:rPr>
              <w:t>flexible inner packaging</w:t>
            </w:r>
            <w:r w:rsidRPr="00847938">
              <w:rPr>
                <w:color w:val="000000"/>
                <w:sz w:val="18"/>
                <w:szCs w:val="18"/>
                <w:lang w:val="en-CA"/>
              </w:rPr>
              <w:t xml:space="preserve"> shall be 30kg.</w:t>
            </w:r>
          </w:p>
          <w:p w:rsidR="002B64E8" w:rsidRPr="00847938" w:rsidRDefault="002B64E8" w:rsidP="0022022D">
            <w:pPr>
              <w:pStyle w:val="ListParagraph"/>
              <w:numPr>
                <w:ilvl w:val="0"/>
                <w:numId w:val="23"/>
              </w:numPr>
              <w:spacing w:before="60" w:after="60" w:line="240" w:lineRule="auto"/>
              <w:ind w:left="390"/>
              <w:jc w:val="both"/>
              <w:rPr>
                <w:color w:val="000000"/>
                <w:sz w:val="18"/>
                <w:szCs w:val="18"/>
                <w:lang w:val="en-CA"/>
              </w:rPr>
            </w:pPr>
            <w:r w:rsidRPr="00847938">
              <w:rPr>
                <w:color w:val="000000"/>
                <w:sz w:val="18"/>
                <w:szCs w:val="18"/>
                <w:lang w:val="en-CA"/>
              </w:rPr>
              <w:t>Each flexible intermediate packaging shall contain only one inner packaging.</w:t>
            </w:r>
          </w:p>
          <w:p w:rsidR="002B64E8" w:rsidRPr="00847938" w:rsidRDefault="002B64E8" w:rsidP="0022022D">
            <w:pPr>
              <w:pStyle w:val="ListParagraph"/>
              <w:numPr>
                <w:ilvl w:val="0"/>
                <w:numId w:val="23"/>
              </w:numPr>
              <w:spacing w:before="60" w:after="60" w:line="240" w:lineRule="auto"/>
              <w:ind w:left="390"/>
              <w:jc w:val="both"/>
              <w:rPr>
                <w:color w:val="000000"/>
                <w:sz w:val="18"/>
                <w:szCs w:val="18"/>
                <w:lang w:val="en-CA"/>
              </w:rPr>
            </w:pPr>
            <w:r w:rsidRPr="00847938">
              <w:rPr>
                <w:color w:val="000000"/>
                <w:sz w:val="18"/>
                <w:szCs w:val="18"/>
                <w:lang w:val="en-CA"/>
              </w:rPr>
              <w:t>Inner packagings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2B64E8" w:rsidRPr="00847938" w:rsidRDefault="002B64E8" w:rsidP="0022022D">
            <w:pPr>
              <w:pStyle w:val="ListParagraph"/>
              <w:numPr>
                <w:ilvl w:val="0"/>
                <w:numId w:val="23"/>
              </w:numPr>
              <w:spacing w:before="60" w:after="60" w:line="240" w:lineRule="auto"/>
              <w:ind w:left="390"/>
              <w:jc w:val="both"/>
              <w:rPr>
                <w:color w:val="000000"/>
                <w:sz w:val="18"/>
                <w:szCs w:val="18"/>
                <w:lang w:val="en-US"/>
              </w:rPr>
            </w:pPr>
            <w:r w:rsidRPr="00847938">
              <w:rPr>
                <w:color w:val="000000"/>
                <w:sz w:val="18"/>
                <w:szCs w:val="18"/>
                <w:lang w:val="en-CA"/>
              </w:rPr>
              <w:t>Intermediate packagings shall be secured in outer packagings with suitable cushioning and</w:t>
            </w:r>
            <w:r w:rsidRPr="00847938">
              <w:rPr>
                <w:color w:val="000000"/>
                <w:sz w:val="18"/>
                <w:szCs w:val="18"/>
                <w:lang w:val="en-US"/>
              </w:rPr>
              <w:t>/or absorbent material.</w:t>
            </w:r>
            <w:r w:rsidRPr="00847938">
              <w:rPr>
                <w:color w:val="000000"/>
                <w:sz w:val="18"/>
                <w:szCs w:val="18"/>
              </w:rPr>
              <w:tab/>
            </w:r>
          </w:p>
        </w:tc>
      </w:tr>
    </w:tbl>
    <w:p w:rsidR="002B64E8" w:rsidRDefault="002B64E8" w:rsidP="00985363">
      <w:pPr>
        <w:pStyle w:val="SingleTxtG"/>
        <w:rPr>
          <w:i/>
          <w:iCs/>
          <w:lang w:val="en-US"/>
        </w:rPr>
      </w:pPr>
      <w:r w:rsidRPr="00DC6A2B">
        <w:rPr>
          <w:lang w:val="en-US"/>
        </w:rPr>
        <w:t>]</w:t>
      </w:r>
    </w:p>
    <w:p w:rsidR="004E428F" w:rsidRDefault="002B64E8" w:rsidP="0073029F">
      <w:pPr>
        <w:pStyle w:val="SingleTxtG"/>
        <w:rPr>
          <w:bCs/>
          <w:i/>
          <w:iCs/>
          <w:lang w:val="en-US"/>
        </w:rPr>
      </w:pPr>
      <w:r w:rsidRPr="003141B9">
        <w:rPr>
          <w:i/>
          <w:iCs/>
          <w:lang w:val="en-US"/>
        </w:rPr>
        <w:t xml:space="preserve">(Reference document: </w:t>
      </w:r>
      <w:r w:rsidR="001A27DC" w:rsidRPr="00020245">
        <w:rPr>
          <w:i/>
          <w:iCs/>
        </w:rPr>
        <w:t>ST/SG/AC.10/C.3/</w:t>
      </w:r>
      <w:r w:rsidR="001A27DC">
        <w:rPr>
          <w:i/>
          <w:iCs/>
        </w:rPr>
        <w:t>106/Add.1</w:t>
      </w:r>
      <w:r>
        <w:rPr>
          <w:i/>
          <w:iCs/>
          <w:lang w:val="en-US"/>
        </w:rPr>
        <w:t>, re</w:t>
      </w:r>
      <w:r w:rsidRPr="003141B9">
        <w:rPr>
          <w:i/>
          <w:iCs/>
          <w:lang w:val="en-US"/>
        </w:rPr>
        <w:t>places the amendment in annex II of document ST/SG/AC.10/C.3/102/Add.1</w:t>
      </w:r>
      <w:r w:rsidRPr="003141B9">
        <w:rPr>
          <w:bCs/>
          <w:i/>
          <w:iCs/>
          <w:lang w:val="en-US"/>
        </w:rPr>
        <w:t>)</w:t>
      </w:r>
    </w:p>
    <w:p w:rsidR="002B64E8" w:rsidRDefault="002B64E8" w:rsidP="0073029F">
      <w:pPr>
        <w:pStyle w:val="SingleTxtG"/>
      </w:pPr>
      <w:r>
        <w:t>4.1.4.1</w:t>
      </w:r>
      <w:r>
        <w:tab/>
      </w:r>
      <w:r>
        <w:tab/>
        <w:t>Amend packing instruction P801 to read as follows:</w:t>
      </w:r>
    </w:p>
    <w:tbl>
      <w:tblPr>
        <w:tblStyle w:val="TableGrid"/>
        <w:tblW w:w="9630" w:type="dxa"/>
        <w:tblInd w:w="85" w:type="dxa"/>
        <w:tblLook w:val="04A0" w:firstRow="1" w:lastRow="0" w:firstColumn="1" w:lastColumn="0" w:noHBand="0" w:noVBand="1"/>
      </w:tblPr>
      <w:tblGrid>
        <w:gridCol w:w="9630"/>
      </w:tblGrid>
      <w:tr w:rsidR="002B64E8" w:rsidRPr="00066C56" w:rsidTr="00203722">
        <w:tc>
          <w:tcPr>
            <w:tcW w:w="9630" w:type="dxa"/>
          </w:tcPr>
          <w:p w:rsidR="002B64E8" w:rsidRPr="00066C56" w:rsidRDefault="002B64E8" w:rsidP="005B6F18">
            <w:pPr>
              <w:keepNext/>
              <w:keepLines/>
              <w:suppressLineNumbers/>
              <w:rPr>
                <w:b/>
                <w:sz w:val="18"/>
                <w:szCs w:val="18"/>
              </w:rPr>
            </w:pPr>
            <w:r w:rsidRPr="00066C56">
              <w:rPr>
                <w:b/>
                <w:sz w:val="18"/>
                <w:szCs w:val="18"/>
              </w:rPr>
              <w:t xml:space="preserve">P801                                           </w:t>
            </w:r>
            <w:r>
              <w:rPr>
                <w:b/>
                <w:sz w:val="18"/>
                <w:szCs w:val="18"/>
              </w:rPr>
              <w:tab/>
            </w:r>
            <w:r w:rsidRPr="00066C56">
              <w:rPr>
                <w:b/>
                <w:sz w:val="18"/>
                <w:szCs w:val="18"/>
              </w:rPr>
              <w:t xml:space="preserve">PACKING INSTRUCTION                                                   </w:t>
            </w:r>
            <w:r>
              <w:rPr>
                <w:b/>
                <w:sz w:val="18"/>
                <w:szCs w:val="18"/>
              </w:rPr>
              <w:t xml:space="preserve">      </w:t>
            </w:r>
            <w:r w:rsidRPr="00066C56">
              <w:rPr>
                <w:b/>
                <w:sz w:val="18"/>
                <w:szCs w:val="18"/>
              </w:rPr>
              <w:t xml:space="preserve"> </w:t>
            </w:r>
            <w:r>
              <w:rPr>
                <w:b/>
                <w:sz w:val="18"/>
                <w:szCs w:val="18"/>
              </w:rPr>
              <w:t xml:space="preserve">     </w:t>
            </w:r>
            <w:r w:rsidR="00203722">
              <w:rPr>
                <w:b/>
                <w:sz w:val="18"/>
                <w:szCs w:val="18"/>
              </w:rPr>
              <w:t xml:space="preserve">                             </w:t>
            </w:r>
            <w:r w:rsidRPr="00066C56">
              <w:rPr>
                <w:b/>
                <w:sz w:val="18"/>
                <w:szCs w:val="18"/>
              </w:rPr>
              <w:t>P801</w:t>
            </w:r>
          </w:p>
        </w:tc>
      </w:tr>
      <w:tr w:rsidR="002B64E8" w:rsidRPr="00066C56" w:rsidTr="00203722">
        <w:tc>
          <w:tcPr>
            <w:tcW w:w="9630" w:type="dxa"/>
          </w:tcPr>
          <w:p w:rsidR="002B64E8" w:rsidRPr="00066C56" w:rsidRDefault="002B64E8" w:rsidP="005B6F18">
            <w:pPr>
              <w:keepNext/>
              <w:keepLines/>
              <w:suppressLineNumbers/>
              <w:rPr>
                <w:sz w:val="18"/>
                <w:szCs w:val="18"/>
              </w:rPr>
            </w:pPr>
            <w:r>
              <w:rPr>
                <w:sz w:val="18"/>
                <w:szCs w:val="18"/>
              </w:rPr>
              <w:t xml:space="preserve">This instruction applies to </w:t>
            </w:r>
            <w:r w:rsidRPr="00066C56">
              <w:rPr>
                <w:sz w:val="18"/>
                <w:szCs w:val="18"/>
              </w:rPr>
              <w:t>UN Nos. 2794, 2795 or 3028</w:t>
            </w:r>
            <w:r>
              <w:rPr>
                <w:sz w:val="18"/>
                <w:szCs w:val="18"/>
              </w:rPr>
              <w:t>.</w:t>
            </w:r>
          </w:p>
        </w:tc>
      </w:tr>
      <w:tr w:rsidR="002B64E8" w:rsidRPr="00066C56" w:rsidTr="00203722">
        <w:tc>
          <w:tcPr>
            <w:tcW w:w="9630" w:type="dxa"/>
          </w:tcPr>
          <w:p w:rsidR="002B64E8" w:rsidRPr="00066C56" w:rsidRDefault="002B64E8" w:rsidP="005B6F18">
            <w:pPr>
              <w:keepNext/>
              <w:keepLines/>
              <w:suppressLineNumbers/>
              <w:spacing w:after="60"/>
              <w:rPr>
                <w:sz w:val="18"/>
                <w:szCs w:val="18"/>
              </w:rPr>
            </w:pPr>
            <w:r w:rsidRPr="00066C56">
              <w:rPr>
                <w:sz w:val="18"/>
                <w:szCs w:val="18"/>
              </w:rPr>
              <w:t>The following packagings ar</w:t>
            </w:r>
            <w:r>
              <w:rPr>
                <w:sz w:val="18"/>
                <w:szCs w:val="18"/>
              </w:rPr>
              <w:t>e authorized, provided that the</w:t>
            </w:r>
            <w:r w:rsidRPr="00066C56">
              <w:rPr>
                <w:sz w:val="18"/>
                <w:szCs w:val="18"/>
              </w:rPr>
              <w:t xml:space="preserve"> provisions of </w:t>
            </w:r>
            <w:r w:rsidRPr="002F1E64">
              <w:rPr>
                <w:b/>
                <w:sz w:val="18"/>
                <w:szCs w:val="18"/>
              </w:rPr>
              <w:t>4.1.1.1, 4.1.1.2, 4.1.1.6</w:t>
            </w:r>
            <w:r w:rsidRPr="002F1E64">
              <w:rPr>
                <w:sz w:val="18"/>
                <w:szCs w:val="18"/>
              </w:rPr>
              <w:t>,</w:t>
            </w:r>
            <w:r w:rsidRPr="00066C56">
              <w:rPr>
                <w:sz w:val="18"/>
                <w:szCs w:val="18"/>
              </w:rPr>
              <w:t xml:space="preserve"> and </w:t>
            </w:r>
            <w:r w:rsidRPr="00066C56">
              <w:rPr>
                <w:b/>
                <w:sz w:val="18"/>
                <w:szCs w:val="18"/>
              </w:rPr>
              <w:t>4.1.3</w:t>
            </w:r>
            <w:r w:rsidRPr="00066C56">
              <w:rPr>
                <w:sz w:val="18"/>
                <w:szCs w:val="18"/>
              </w:rPr>
              <w:t xml:space="preserve"> are met:</w:t>
            </w:r>
          </w:p>
          <w:p w:rsidR="002B64E8" w:rsidRPr="00757934" w:rsidRDefault="002B64E8" w:rsidP="005B6F18">
            <w:pPr>
              <w:pStyle w:val="ListParagraph"/>
              <w:keepNext/>
              <w:keepLines/>
              <w:numPr>
                <w:ilvl w:val="0"/>
                <w:numId w:val="17"/>
              </w:numPr>
              <w:suppressLineNumbers/>
              <w:rPr>
                <w:i/>
                <w:sz w:val="18"/>
                <w:szCs w:val="18"/>
              </w:rPr>
            </w:pPr>
            <w:r w:rsidRPr="00757934">
              <w:rPr>
                <w:sz w:val="18"/>
                <w:szCs w:val="18"/>
              </w:rPr>
              <w:t>Rigid outer packagings, wooden slatted crates or pallets</w:t>
            </w:r>
            <w:r w:rsidRPr="00757934">
              <w:rPr>
                <w:i/>
                <w:sz w:val="18"/>
                <w:szCs w:val="18"/>
              </w:rPr>
              <w:t>.</w:t>
            </w:r>
          </w:p>
          <w:p w:rsidR="002B64E8" w:rsidRPr="002F1E64" w:rsidRDefault="002B64E8" w:rsidP="005B6F18">
            <w:pPr>
              <w:keepNext/>
              <w:keepLines/>
              <w:suppressLineNumbers/>
              <w:snapToGrid w:val="0"/>
              <w:spacing w:before="120" w:after="120" w:line="40" w:lineRule="atLeast"/>
              <w:ind w:left="368"/>
              <w:rPr>
                <w:sz w:val="18"/>
                <w:szCs w:val="18"/>
              </w:rPr>
            </w:pPr>
            <w:r w:rsidRPr="002F1E64">
              <w:rPr>
                <w:sz w:val="18"/>
                <w:szCs w:val="18"/>
              </w:rPr>
              <w:t>Additionally, the following conditions shall be met:</w:t>
            </w:r>
          </w:p>
          <w:p w:rsidR="002B64E8" w:rsidRPr="002F1E64" w:rsidRDefault="002B64E8" w:rsidP="005B6F18">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(a)</w:t>
            </w:r>
            <w:r w:rsidRPr="002F1E64">
              <w:rPr>
                <w:sz w:val="18"/>
                <w:szCs w:val="18"/>
              </w:rPr>
              <w:tab/>
              <w:t xml:space="preserve">Batteries stacks shall be in tiers separated by a layer of electrically non-conductive material; </w:t>
            </w:r>
          </w:p>
          <w:p w:rsidR="002B64E8" w:rsidRPr="002F1E64" w:rsidRDefault="002B64E8" w:rsidP="005B6F18">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(b)</w:t>
            </w:r>
            <w:r w:rsidRPr="002F1E64">
              <w:rPr>
                <w:sz w:val="18"/>
                <w:szCs w:val="18"/>
              </w:rPr>
              <w:tab/>
              <w:t>Battery terminals shall not support the weight of other superimposed elements;</w:t>
            </w:r>
          </w:p>
          <w:p w:rsidR="002B64E8" w:rsidRPr="002F1E64" w:rsidRDefault="002B64E8" w:rsidP="005B6F18">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(c)</w:t>
            </w:r>
            <w:r w:rsidRPr="002F1E64">
              <w:rPr>
                <w:sz w:val="18"/>
                <w:szCs w:val="18"/>
              </w:rPr>
              <w:tab/>
              <w:t>Batteries shall be packaged or secured to prevent inadvertent movement;</w:t>
            </w:r>
          </w:p>
          <w:p w:rsidR="002B64E8" w:rsidRPr="002F1E64" w:rsidRDefault="002B64E8" w:rsidP="005B6F18">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(d)</w:t>
            </w:r>
            <w:r w:rsidRPr="002F1E64">
              <w:rPr>
                <w:sz w:val="18"/>
                <w:szCs w:val="18"/>
              </w:rPr>
              <w:tab/>
              <w:t>Batteries shall not leak under normal conditions of transport or appropriate measures shall be taken to prevent the release of electrolyte from the package (e.g. individually packaging batteries or other equally effective methods); and</w:t>
            </w:r>
          </w:p>
          <w:p w:rsidR="002B64E8" w:rsidRPr="003C31EB" w:rsidRDefault="002B64E8" w:rsidP="005B6F18">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(e) Batteries shall be protected against short circuits.</w:t>
            </w:r>
          </w:p>
          <w:p w:rsidR="002B64E8" w:rsidRPr="00066C56" w:rsidRDefault="002B64E8" w:rsidP="005B6F18">
            <w:pPr>
              <w:keepNext/>
              <w:keepLines/>
              <w:suppressLineNumbers/>
              <w:ind w:left="368" w:hanging="368"/>
              <w:rPr>
                <w:sz w:val="18"/>
                <w:szCs w:val="18"/>
              </w:rPr>
            </w:pPr>
            <w:r w:rsidRPr="00757934">
              <w:rPr>
                <w:sz w:val="18"/>
                <w:szCs w:val="18"/>
              </w:rPr>
              <w:t>(2)</w:t>
            </w:r>
            <w:r w:rsidRPr="002F1E64">
              <w:rPr>
                <w:sz w:val="18"/>
                <w:szCs w:val="18"/>
              </w:rPr>
              <w:t xml:space="preserve"> </w:t>
            </w:r>
            <w:r>
              <w:rPr>
                <w:sz w:val="18"/>
                <w:szCs w:val="18"/>
              </w:rPr>
              <w:t xml:space="preserve">  </w:t>
            </w:r>
            <w:r w:rsidRPr="00066C56">
              <w:rPr>
                <w:sz w:val="18"/>
                <w:szCs w:val="18"/>
              </w:rPr>
              <w:t xml:space="preserve">Stainless steel or plastics </w:t>
            </w:r>
            <w:r w:rsidRPr="002F1E64">
              <w:rPr>
                <w:sz w:val="18"/>
                <w:szCs w:val="18"/>
              </w:rPr>
              <w:t>bins may</w:t>
            </w:r>
            <w:r w:rsidRPr="00564DBD">
              <w:rPr>
                <w:sz w:val="18"/>
                <w:szCs w:val="18"/>
              </w:rPr>
              <w:t xml:space="preserve"> also</w:t>
            </w:r>
            <w:r>
              <w:rPr>
                <w:sz w:val="18"/>
                <w:szCs w:val="18"/>
                <w:u w:val="single"/>
              </w:rPr>
              <w:t xml:space="preserve"> </w:t>
            </w:r>
            <w:r w:rsidRPr="002F1E64">
              <w:rPr>
                <w:sz w:val="18"/>
                <w:szCs w:val="18"/>
              </w:rPr>
              <w:t>be used to transport used batteries</w:t>
            </w:r>
            <w:r w:rsidRPr="00066C56">
              <w:rPr>
                <w:sz w:val="18"/>
                <w:szCs w:val="18"/>
              </w:rPr>
              <w:t xml:space="preserve">. </w:t>
            </w:r>
          </w:p>
          <w:p w:rsidR="002B64E8" w:rsidRPr="002F1E64" w:rsidRDefault="002B64E8" w:rsidP="005B6F18">
            <w:pPr>
              <w:keepNext/>
              <w:keepLines/>
              <w:suppressLineNumbers/>
              <w:snapToGrid w:val="0"/>
              <w:spacing w:before="120" w:after="120" w:line="40" w:lineRule="atLeast"/>
              <w:ind w:left="368"/>
              <w:rPr>
                <w:sz w:val="18"/>
                <w:szCs w:val="18"/>
              </w:rPr>
            </w:pPr>
            <w:r w:rsidRPr="002F1E64">
              <w:rPr>
                <w:sz w:val="18"/>
                <w:szCs w:val="18"/>
              </w:rPr>
              <w:t>Additionally, the following conditions shall be met:</w:t>
            </w:r>
          </w:p>
          <w:p w:rsidR="002B64E8" w:rsidRPr="00757934" w:rsidRDefault="002B64E8" w:rsidP="005B6F18">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(a)</w:t>
            </w:r>
            <w:r w:rsidRPr="002F1E64">
              <w:rPr>
                <w:sz w:val="18"/>
                <w:szCs w:val="18"/>
              </w:rPr>
              <w:tab/>
              <w:t xml:space="preserve">The bins shall be resistant to the electrolyte </w:t>
            </w:r>
            <w:r w:rsidRPr="00757934">
              <w:rPr>
                <w:sz w:val="18"/>
                <w:szCs w:val="18"/>
              </w:rPr>
              <w:t xml:space="preserve">that was </w:t>
            </w:r>
            <w:r w:rsidRPr="002F1E64">
              <w:rPr>
                <w:sz w:val="18"/>
                <w:szCs w:val="18"/>
              </w:rPr>
              <w:t>contained in the batteries;</w:t>
            </w:r>
          </w:p>
          <w:p w:rsidR="002B64E8" w:rsidRPr="002F1E64" w:rsidRDefault="002B64E8" w:rsidP="005B6F18">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(b)</w:t>
            </w:r>
            <w:r w:rsidRPr="002F1E64">
              <w:rPr>
                <w:sz w:val="18"/>
                <w:szCs w:val="18"/>
              </w:rPr>
              <w:tab/>
              <w:t>The bins shall not be filled to a height greater than the height of their sides;</w:t>
            </w:r>
          </w:p>
          <w:p w:rsidR="002B64E8" w:rsidRPr="002F1E64" w:rsidRDefault="002B64E8" w:rsidP="005B6F18">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(c)</w:t>
            </w:r>
            <w:r w:rsidRPr="002F1E64">
              <w:rPr>
                <w:sz w:val="18"/>
                <w:szCs w:val="18"/>
              </w:rPr>
              <w:tab/>
              <w:t>The outside of the bins shall be free of residues of electrolyte contained in the batteries;</w:t>
            </w:r>
          </w:p>
          <w:p w:rsidR="002B64E8" w:rsidRPr="002F1E64" w:rsidRDefault="002B64E8" w:rsidP="005B6F18">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(d)</w:t>
            </w:r>
            <w:r w:rsidRPr="002F1E64">
              <w:rPr>
                <w:sz w:val="18"/>
                <w:szCs w:val="18"/>
              </w:rPr>
              <w:tab/>
              <w:t>Under normal conditions of transport, no electrolyte shall leak from the bins;</w:t>
            </w:r>
          </w:p>
          <w:p w:rsidR="002B64E8" w:rsidRPr="002F1E64" w:rsidRDefault="002B64E8" w:rsidP="005B6F18">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(e)</w:t>
            </w:r>
            <w:r w:rsidRPr="002F1E64">
              <w:rPr>
                <w:sz w:val="18"/>
                <w:szCs w:val="18"/>
              </w:rPr>
              <w:tab/>
              <w:t>Measures shall be taken to ensure that filled bins cannot lose their content; and</w:t>
            </w:r>
          </w:p>
          <w:p w:rsidR="002B64E8" w:rsidRPr="00066C56" w:rsidRDefault="002B64E8" w:rsidP="005B6F18">
            <w:pPr>
              <w:pStyle w:val="ListParagraph"/>
              <w:keepNext/>
              <w:keepLines/>
              <w:suppressLineNumbers/>
              <w:snapToGrid w:val="0"/>
              <w:spacing w:before="120" w:after="120" w:line="40" w:lineRule="atLeast"/>
              <w:ind w:left="989" w:hanging="284"/>
              <w:contextualSpacing w:val="0"/>
              <w:rPr>
                <w:sz w:val="18"/>
                <w:szCs w:val="18"/>
              </w:rPr>
            </w:pPr>
            <w:r w:rsidRPr="002F1E64">
              <w:rPr>
                <w:sz w:val="18"/>
                <w:szCs w:val="18"/>
              </w:rPr>
              <w:t>(f)</w:t>
            </w:r>
            <w:r w:rsidRPr="002F1E64">
              <w:rPr>
                <w:sz w:val="18"/>
                <w:szCs w:val="18"/>
              </w:rPr>
              <w:tab/>
              <w:t xml:space="preserve">Measures shall be taken to prevent short circuits </w:t>
            </w:r>
            <w:r w:rsidRPr="00757934">
              <w:rPr>
                <w:sz w:val="18"/>
                <w:szCs w:val="18"/>
              </w:rPr>
              <w:t>(e.g. batteries are discharged, individual protection of the battery terminals, etc.).</w:t>
            </w:r>
          </w:p>
        </w:tc>
      </w:tr>
    </w:tbl>
    <w:p w:rsidR="002B64E8" w:rsidRDefault="002B64E8" w:rsidP="004E428F">
      <w:pPr>
        <w:pStyle w:val="SingleTxtG"/>
        <w:rPr>
          <w:i/>
          <w:iCs/>
          <w:lang w:val="en-US"/>
        </w:rPr>
      </w:pPr>
      <w:r w:rsidRPr="001B36C9">
        <w:rPr>
          <w:i/>
          <w:iCs/>
          <w:lang w:val="en-US"/>
        </w:rPr>
        <w:t>(Reference document:</w:t>
      </w:r>
      <w:r w:rsidRPr="00CF419C">
        <w:rPr>
          <w:bCs/>
          <w:i/>
          <w:iCs/>
          <w:lang w:val="en-US"/>
        </w:rPr>
        <w:t xml:space="preserve"> </w:t>
      </w:r>
      <w:r w:rsidR="00203722" w:rsidRPr="00020245">
        <w:rPr>
          <w:i/>
          <w:iCs/>
        </w:rPr>
        <w:t>ST/SG/AC.10/C.3/</w:t>
      </w:r>
      <w:r w:rsidR="00203722">
        <w:rPr>
          <w:i/>
          <w:iCs/>
        </w:rPr>
        <w:t>106/Add.1</w:t>
      </w:r>
      <w:r w:rsidRPr="001B36C9">
        <w:rPr>
          <w:i/>
          <w:iCs/>
          <w:lang w:val="en-US"/>
        </w:rPr>
        <w:t>)</w:t>
      </w:r>
    </w:p>
    <w:p w:rsidR="00C217FE" w:rsidRDefault="00C217FE" w:rsidP="004E428F">
      <w:pPr>
        <w:pStyle w:val="SingleTxtG"/>
      </w:pPr>
    </w:p>
    <w:p w:rsidR="00C217FE" w:rsidRDefault="00C217FE" w:rsidP="004E428F">
      <w:pPr>
        <w:pStyle w:val="SingleTxtG"/>
      </w:pPr>
    </w:p>
    <w:p w:rsidR="00C217FE" w:rsidRDefault="00C217FE" w:rsidP="004E428F">
      <w:pPr>
        <w:pStyle w:val="SingleTxtG"/>
      </w:pPr>
    </w:p>
    <w:p w:rsidR="004E428F" w:rsidRDefault="004E428F" w:rsidP="004E428F">
      <w:pPr>
        <w:pStyle w:val="SingleTxtG"/>
      </w:pPr>
      <w:r>
        <w:lastRenderedPageBreak/>
        <w:t>4.1.4.1, packing instruction P903</w:t>
      </w:r>
      <w:r>
        <w:tab/>
        <w:t>Add the following new paragraph (5):</w:t>
      </w:r>
    </w:p>
    <w:p w:rsidR="004E428F" w:rsidRPr="00DC400E" w:rsidRDefault="004E428F" w:rsidP="004E428F">
      <w:pPr>
        <w:pStyle w:val="SingleTxtG"/>
      </w:pPr>
      <w:r w:rsidRPr="00DC400E">
        <w:t xml:space="preserve">“(5) </w:t>
      </w:r>
      <w:r w:rsidRPr="00DC400E">
        <w:tab/>
        <w:t>For packaging containing both cells or batteries packed with equipment and contained in equipment:</w:t>
      </w:r>
    </w:p>
    <w:p w:rsidR="004E428F" w:rsidRPr="00DC400E" w:rsidRDefault="004E428F" w:rsidP="004E428F">
      <w:pPr>
        <w:pStyle w:val="SingleTxtG"/>
      </w:pPr>
      <w:r>
        <w:t>(a)</w:t>
      </w:r>
      <w:r>
        <w:tab/>
      </w:r>
      <w:r w:rsidRPr="00DC400E">
        <w:t xml:space="preserve">For cells and batteries, packagings that completely enclose the cells or batteries, then placed with equipment in a packaging conforming to the requirements in paragraph (1) of this packing instruction; or  </w:t>
      </w:r>
    </w:p>
    <w:p w:rsidR="004E428F" w:rsidRPr="00DC400E" w:rsidRDefault="004E428F" w:rsidP="004E428F">
      <w:pPr>
        <w:pStyle w:val="SingleTxtG"/>
      </w:pPr>
      <w:r>
        <w:t>(b)</w:t>
      </w:r>
      <w:r>
        <w:tab/>
      </w:r>
      <w:r w:rsidRPr="00DC400E">
        <w:t>Packagings conforming to the requirements in paragraph (1) of this packing instruction, then placed with the equipment in a strong outer packaging constructed of suitable material, and of adequate strength and design in relation to the packaging cap</w:t>
      </w:r>
      <w:r>
        <w:t>acity and its intended use. The outer packaging</w:t>
      </w:r>
      <w:r w:rsidRPr="00DC400E">
        <w:t xml:space="preserve"> shall be constructed in such a manner as to prevent accidental operation during transport</w:t>
      </w:r>
      <w:r>
        <w:t xml:space="preserve"> and </w:t>
      </w:r>
      <w:r w:rsidRPr="00DC400E">
        <w:t xml:space="preserve">need not meet the requirements of 4.1.1.3. </w:t>
      </w:r>
    </w:p>
    <w:p w:rsidR="004E428F" w:rsidRPr="00DC400E" w:rsidRDefault="004E428F" w:rsidP="004E428F">
      <w:pPr>
        <w:pStyle w:val="SingleTxtG"/>
      </w:pPr>
      <w:r w:rsidRPr="00DC400E">
        <w:t xml:space="preserve">The equipment shall be secured against movement within the outer packaging. </w:t>
      </w:r>
    </w:p>
    <w:p w:rsidR="004E428F" w:rsidRPr="00DC400E" w:rsidRDefault="004E428F" w:rsidP="004E428F">
      <w:pPr>
        <w:pStyle w:val="SingleTxtG"/>
      </w:pPr>
      <w:r w:rsidRPr="00DC400E">
        <w:t>Devices such as radio frequency identification (RFID) tags, watches and temperature loggers, which are not capable of generating a dangerous evolution of heat, may be transported when intentionally active in strong outer packagings. When active, these devices shall meet defined standards for electromagnetic radiation to ensure that the operation of the devices does not interfere with aircraft systems.</w:t>
      </w:r>
      <w:r>
        <w:t>”.</w:t>
      </w:r>
    </w:p>
    <w:p w:rsidR="004E428F" w:rsidRPr="006A6A78" w:rsidRDefault="004E428F" w:rsidP="004E428F">
      <w:pPr>
        <w:pStyle w:val="SingleTxtG"/>
        <w:rPr>
          <w:i/>
          <w:iCs/>
          <w:lang w:val="en-US"/>
        </w:rPr>
      </w:pPr>
      <w:r w:rsidRPr="002D23D8">
        <w:rPr>
          <w:i/>
          <w:iCs/>
        </w:rPr>
        <w:t xml:space="preserve">(Reference document: </w:t>
      </w:r>
      <w:r w:rsidR="00C217FE" w:rsidRPr="00020245">
        <w:rPr>
          <w:i/>
          <w:iCs/>
        </w:rPr>
        <w:t>ST/SG/AC.10/C.3/</w:t>
      </w:r>
      <w:r w:rsidR="00C217FE">
        <w:rPr>
          <w:i/>
          <w:iCs/>
        </w:rPr>
        <w:t>106/Add.1</w:t>
      </w:r>
      <w:r w:rsidRPr="006A6A78">
        <w:rPr>
          <w:i/>
          <w:iCs/>
          <w:lang w:val="en-US"/>
        </w:rPr>
        <w:t>)</w:t>
      </w:r>
    </w:p>
    <w:p w:rsidR="005B6F18" w:rsidRDefault="005B6F18" w:rsidP="00B04B7B">
      <w:pPr>
        <w:pStyle w:val="SingleTxtG"/>
      </w:pPr>
      <w:r w:rsidRPr="00B04B7B">
        <w:t>4.1</w:t>
      </w:r>
      <w:r w:rsidR="00B04B7B" w:rsidRPr="00B04B7B">
        <w:t xml:space="preserve">.4.1, packing instruction P907 </w:t>
      </w:r>
      <w:r w:rsidRPr="00F63542">
        <w:t>In the text after th</w:t>
      </w:r>
      <w:r w:rsidR="002E53CD">
        <w:t>e</w:t>
      </w:r>
      <w:r w:rsidRPr="00F63542">
        <w:t xml:space="preserve"> introductory sentence: in the first sentence, replace “machinery or apparatus” by “article”. In the second sentence replace “machinery or apparatus” by “an article”. In the fifth sentence replace “machinery or apparatus” by “article”. In the </w:t>
      </w:r>
      <w:r>
        <w:t xml:space="preserve">sixth </w:t>
      </w:r>
      <w:r w:rsidRPr="00F63542">
        <w:t>sentence replace “machinery or apparatus” by “article”.</w:t>
      </w:r>
    </w:p>
    <w:p w:rsidR="005B6F18" w:rsidRDefault="005B6F18">
      <w:pPr>
        <w:pStyle w:val="SingleTxtG"/>
        <w:rPr>
          <w:i/>
          <w:iCs/>
          <w:lang w:val="en-US"/>
        </w:rPr>
      </w:pPr>
      <w:r w:rsidRPr="001539C6">
        <w:rPr>
          <w:i/>
          <w:iCs/>
        </w:rPr>
        <w:t>(</w:t>
      </w:r>
      <w:r>
        <w:rPr>
          <w:i/>
          <w:iCs/>
          <w:lang w:val="en-US"/>
        </w:rPr>
        <w:t>Reference document</w:t>
      </w:r>
      <w:r w:rsidRPr="00325855">
        <w:rPr>
          <w:i/>
          <w:iCs/>
          <w:lang w:val="en-US"/>
        </w:rPr>
        <w:t>:</w:t>
      </w:r>
      <w:r>
        <w:rPr>
          <w:i/>
          <w:iCs/>
          <w:lang w:val="en-US"/>
        </w:rPr>
        <w:t xml:space="preserve"> </w:t>
      </w:r>
      <w:r w:rsidR="002E53CD" w:rsidRPr="00020245">
        <w:rPr>
          <w:i/>
          <w:iCs/>
        </w:rPr>
        <w:t>ST/SG/AC.10/C.3/</w:t>
      </w:r>
      <w:r w:rsidR="002E53CD">
        <w:rPr>
          <w:i/>
          <w:iCs/>
        </w:rPr>
        <w:t>106/Add.1</w:t>
      </w:r>
      <w:r>
        <w:rPr>
          <w:i/>
          <w:iCs/>
          <w:lang w:val="en-US"/>
        </w:rPr>
        <w:t>, replaces the amendment in ST/SG/AC.10/C.3/104/Add.1, annex II)</w:t>
      </w:r>
    </w:p>
    <w:p w:rsidR="005B6F18" w:rsidRDefault="005B6F18" w:rsidP="005B6F18">
      <w:pPr>
        <w:pStyle w:val="SingleTxtG"/>
      </w:pPr>
      <w:r w:rsidRPr="00624A59">
        <w:rPr>
          <w:lang w:val="en-US"/>
        </w:rPr>
        <w:t>4.1.4.2, Packing instruction IBC520</w:t>
      </w:r>
      <w:r w:rsidRPr="00624A59">
        <w:rPr>
          <w:lang w:val="en-US"/>
        </w:rPr>
        <w:tab/>
        <w:t>For UN No. 31</w:t>
      </w:r>
      <w:r>
        <w:rPr>
          <w:lang w:val="en-US"/>
        </w:rPr>
        <w:t>1</w:t>
      </w:r>
      <w:r w:rsidRPr="00624A59">
        <w:rPr>
          <w:lang w:val="en-US"/>
        </w:rPr>
        <w:t>9, insert the two following new entries:</w:t>
      </w:r>
      <w:r>
        <w:tab/>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5B6F18" w:rsidRPr="00B301AF" w:rsidTr="000E1BD9">
        <w:trPr>
          <w:cantSplit/>
          <w:tblHeader/>
        </w:trPr>
        <w:tc>
          <w:tcPr>
            <w:tcW w:w="720" w:type="dxa"/>
            <w:shd w:val="clear" w:color="auto" w:fill="auto"/>
          </w:tcPr>
          <w:p w:rsidR="005B6F18" w:rsidRPr="00B301AF" w:rsidRDefault="005B6F18" w:rsidP="00846BC9">
            <w:pPr>
              <w:spacing w:before="80" w:after="80" w:line="200" w:lineRule="exact"/>
              <w:ind w:right="113"/>
              <w:jc w:val="center"/>
              <w:rPr>
                <w:i/>
                <w:sz w:val="16"/>
              </w:rPr>
            </w:pPr>
            <w:r>
              <w:rPr>
                <w:i/>
                <w:sz w:val="16"/>
              </w:rPr>
              <w:t>UN No.</w:t>
            </w:r>
          </w:p>
        </w:tc>
        <w:tc>
          <w:tcPr>
            <w:tcW w:w="3060" w:type="dxa"/>
            <w:shd w:val="clear" w:color="auto" w:fill="auto"/>
          </w:tcPr>
          <w:p w:rsidR="005B6F18" w:rsidRPr="00B301AF" w:rsidRDefault="005B6F18" w:rsidP="00846BC9">
            <w:pPr>
              <w:spacing w:before="80" w:after="80" w:line="200" w:lineRule="exact"/>
              <w:ind w:right="113"/>
              <w:jc w:val="center"/>
              <w:rPr>
                <w:i/>
                <w:sz w:val="16"/>
              </w:rPr>
            </w:pPr>
            <w:r>
              <w:rPr>
                <w:i/>
                <w:sz w:val="16"/>
              </w:rPr>
              <w:t>Organic peroxide</w:t>
            </w:r>
          </w:p>
        </w:tc>
        <w:tc>
          <w:tcPr>
            <w:tcW w:w="1080" w:type="dxa"/>
            <w:shd w:val="clear" w:color="auto" w:fill="auto"/>
          </w:tcPr>
          <w:p w:rsidR="005B6F18" w:rsidRPr="00B301AF" w:rsidRDefault="005B6F18" w:rsidP="00846BC9">
            <w:pPr>
              <w:spacing w:before="80" w:after="80" w:line="200" w:lineRule="exact"/>
              <w:ind w:right="113"/>
              <w:jc w:val="center"/>
              <w:rPr>
                <w:i/>
                <w:sz w:val="16"/>
              </w:rPr>
            </w:pPr>
            <w:r w:rsidRPr="00B301AF">
              <w:rPr>
                <w:i/>
                <w:sz w:val="16"/>
              </w:rPr>
              <w:t xml:space="preserve">Type </w:t>
            </w:r>
            <w:r>
              <w:rPr>
                <w:i/>
                <w:sz w:val="16"/>
              </w:rPr>
              <w:t>of IBC</w:t>
            </w:r>
          </w:p>
        </w:tc>
        <w:tc>
          <w:tcPr>
            <w:tcW w:w="1440" w:type="dxa"/>
            <w:shd w:val="clear" w:color="auto" w:fill="auto"/>
          </w:tcPr>
          <w:p w:rsidR="005B6F18" w:rsidRPr="00B301AF" w:rsidRDefault="005B6F18" w:rsidP="00846BC9">
            <w:pPr>
              <w:spacing w:before="80" w:after="80" w:line="200" w:lineRule="exact"/>
              <w:ind w:right="113"/>
              <w:jc w:val="center"/>
              <w:rPr>
                <w:i/>
                <w:sz w:val="16"/>
              </w:rPr>
            </w:pPr>
            <w:r>
              <w:rPr>
                <w:i/>
                <w:sz w:val="16"/>
              </w:rPr>
              <w:t>Maximum quantity</w:t>
            </w:r>
            <w:r w:rsidRPr="00B301AF">
              <w:rPr>
                <w:i/>
                <w:sz w:val="16"/>
              </w:rPr>
              <w:t xml:space="preserve"> (litres)</w:t>
            </w:r>
          </w:p>
        </w:tc>
        <w:tc>
          <w:tcPr>
            <w:tcW w:w="1260" w:type="dxa"/>
            <w:shd w:val="clear" w:color="auto" w:fill="auto"/>
          </w:tcPr>
          <w:p w:rsidR="005B6F18" w:rsidRPr="00B301AF" w:rsidRDefault="005B6F18" w:rsidP="00846BC9">
            <w:pPr>
              <w:spacing w:before="80" w:after="80" w:line="200" w:lineRule="exact"/>
              <w:ind w:right="113"/>
              <w:jc w:val="center"/>
              <w:rPr>
                <w:i/>
                <w:sz w:val="16"/>
              </w:rPr>
            </w:pPr>
            <w:r>
              <w:rPr>
                <w:i/>
                <w:sz w:val="16"/>
              </w:rPr>
              <w:t>Control temperature</w:t>
            </w:r>
          </w:p>
        </w:tc>
        <w:tc>
          <w:tcPr>
            <w:tcW w:w="1094" w:type="dxa"/>
            <w:shd w:val="clear" w:color="auto" w:fill="auto"/>
          </w:tcPr>
          <w:p w:rsidR="005B6F18" w:rsidRPr="00B301AF" w:rsidRDefault="005B6F18" w:rsidP="00846BC9">
            <w:pPr>
              <w:spacing w:before="80" w:after="80" w:line="200" w:lineRule="exact"/>
              <w:ind w:right="113"/>
              <w:jc w:val="center"/>
              <w:rPr>
                <w:i/>
                <w:sz w:val="16"/>
              </w:rPr>
            </w:pPr>
            <w:r>
              <w:rPr>
                <w:i/>
                <w:sz w:val="16"/>
              </w:rPr>
              <w:t>Emergency temperature</w:t>
            </w:r>
          </w:p>
        </w:tc>
      </w:tr>
      <w:tr w:rsidR="005B6F18" w:rsidRPr="00B301AF" w:rsidTr="000E1BD9">
        <w:tc>
          <w:tcPr>
            <w:tcW w:w="720" w:type="dxa"/>
            <w:shd w:val="clear" w:color="auto" w:fill="auto"/>
          </w:tcPr>
          <w:p w:rsidR="005B6F18" w:rsidRPr="00B301AF" w:rsidRDefault="005B6F18" w:rsidP="005B6F18">
            <w:pPr>
              <w:spacing w:before="40" w:after="120"/>
              <w:ind w:right="113"/>
              <w:rPr>
                <w:sz w:val="18"/>
                <w:szCs w:val="18"/>
              </w:rPr>
            </w:pPr>
            <w:r w:rsidRPr="00B301AF">
              <w:rPr>
                <w:sz w:val="18"/>
                <w:szCs w:val="18"/>
              </w:rPr>
              <w:t>3119</w:t>
            </w:r>
          </w:p>
        </w:tc>
        <w:tc>
          <w:tcPr>
            <w:tcW w:w="3060" w:type="dxa"/>
            <w:shd w:val="clear" w:color="auto" w:fill="auto"/>
            <w:vAlign w:val="bottom"/>
          </w:tcPr>
          <w:p w:rsidR="005B6F18" w:rsidRPr="0041335F" w:rsidRDefault="005B6F18" w:rsidP="005B6F18">
            <w:pPr>
              <w:spacing w:before="60" w:after="60" w:line="200" w:lineRule="exact"/>
              <w:ind w:left="57" w:right="57"/>
              <w:rPr>
                <w:rFonts w:asciiTheme="majorBidi" w:hAnsiTheme="majorBidi" w:cstheme="majorBidi"/>
                <w:sz w:val="16"/>
                <w:szCs w:val="16"/>
                <w:lang w:val="en-US"/>
              </w:rPr>
            </w:pPr>
            <w:r w:rsidRPr="00F905A8">
              <w:rPr>
                <w:rFonts w:asciiTheme="majorBidi" w:hAnsiTheme="majorBidi" w:cstheme="majorBidi"/>
                <w:sz w:val="18"/>
                <w:szCs w:val="18"/>
              </w:rPr>
              <w:t>tert-Amyl peroxypivalate, not more than 42% as a stable dispersion in water</w:t>
            </w:r>
          </w:p>
        </w:tc>
        <w:tc>
          <w:tcPr>
            <w:tcW w:w="1080" w:type="dxa"/>
            <w:shd w:val="clear" w:color="auto" w:fill="auto"/>
          </w:tcPr>
          <w:p w:rsidR="005B6F18" w:rsidRPr="00B301AF" w:rsidRDefault="005B6F18" w:rsidP="005B6F18">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31HA1</w:t>
            </w:r>
          </w:p>
        </w:tc>
        <w:tc>
          <w:tcPr>
            <w:tcW w:w="1440" w:type="dxa"/>
            <w:shd w:val="clear" w:color="auto" w:fill="auto"/>
          </w:tcPr>
          <w:p w:rsidR="005B6F18" w:rsidRPr="00B301AF" w:rsidRDefault="005B6F18" w:rsidP="005B6F18">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1 000</w:t>
            </w:r>
          </w:p>
        </w:tc>
        <w:tc>
          <w:tcPr>
            <w:tcW w:w="1260" w:type="dxa"/>
            <w:shd w:val="clear" w:color="auto" w:fill="auto"/>
          </w:tcPr>
          <w:p w:rsidR="005B6F18" w:rsidRPr="00B301AF" w:rsidRDefault="005B6F18" w:rsidP="005B6F18">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0 ºC</w:t>
            </w:r>
          </w:p>
        </w:tc>
        <w:tc>
          <w:tcPr>
            <w:tcW w:w="1094" w:type="dxa"/>
            <w:shd w:val="clear" w:color="auto" w:fill="auto"/>
          </w:tcPr>
          <w:p w:rsidR="005B6F18" w:rsidRPr="00B301AF" w:rsidRDefault="005B6F18" w:rsidP="005B6F18">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+10 ºC</w:t>
            </w:r>
          </w:p>
        </w:tc>
      </w:tr>
      <w:tr w:rsidR="005B6F18" w:rsidRPr="00CC6AA6" w:rsidTr="000E1BD9">
        <w:tc>
          <w:tcPr>
            <w:tcW w:w="720" w:type="dxa"/>
            <w:shd w:val="clear" w:color="auto" w:fill="auto"/>
          </w:tcPr>
          <w:p w:rsidR="005B6F18" w:rsidRPr="00B301AF" w:rsidRDefault="005B6F18" w:rsidP="005B6F18">
            <w:pPr>
              <w:spacing w:before="40" w:after="120"/>
              <w:ind w:right="113"/>
              <w:rPr>
                <w:sz w:val="18"/>
                <w:szCs w:val="18"/>
              </w:rPr>
            </w:pPr>
            <w:r w:rsidRPr="00B301AF">
              <w:rPr>
                <w:sz w:val="18"/>
                <w:szCs w:val="18"/>
              </w:rPr>
              <w:t>3119</w:t>
            </w:r>
          </w:p>
        </w:tc>
        <w:tc>
          <w:tcPr>
            <w:tcW w:w="3060" w:type="dxa"/>
            <w:shd w:val="clear" w:color="auto" w:fill="auto"/>
            <w:vAlign w:val="bottom"/>
          </w:tcPr>
          <w:p w:rsidR="005B6F18" w:rsidRPr="0041335F" w:rsidRDefault="005B6F18" w:rsidP="005B6F18">
            <w:pPr>
              <w:spacing w:before="60" w:after="60" w:line="200" w:lineRule="exact"/>
              <w:ind w:left="57" w:right="57"/>
              <w:rPr>
                <w:rFonts w:asciiTheme="majorBidi" w:hAnsiTheme="majorBidi" w:cstheme="majorBidi"/>
                <w:sz w:val="16"/>
                <w:szCs w:val="16"/>
                <w:lang w:val="en-US"/>
              </w:rPr>
            </w:pPr>
            <w:r w:rsidRPr="00F905A8">
              <w:rPr>
                <w:rFonts w:asciiTheme="majorBidi" w:hAnsiTheme="majorBidi" w:cstheme="majorBidi"/>
                <w:sz w:val="18"/>
                <w:szCs w:val="18"/>
              </w:rPr>
              <w:t>tert-Butyl peroxypivalate, not more than 42% in a diluent type A</w:t>
            </w:r>
          </w:p>
        </w:tc>
        <w:tc>
          <w:tcPr>
            <w:tcW w:w="1080" w:type="dxa"/>
            <w:shd w:val="clear" w:color="auto" w:fill="auto"/>
          </w:tcPr>
          <w:p w:rsidR="005B6F18" w:rsidRPr="00B301AF" w:rsidRDefault="005B6F18" w:rsidP="005B6F18">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31HA1</w:t>
            </w:r>
            <w:r w:rsidRPr="00B301AF">
              <w:rPr>
                <w:rFonts w:asciiTheme="majorBidi" w:hAnsiTheme="majorBidi" w:cstheme="majorBidi"/>
                <w:sz w:val="16"/>
                <w:szCs w:val="16"/>
              </w:rPr>
              <w:br/>
              <w:t>31A</w:t>
            </w:r>
          </w:p>
        </w:tc>
        <w:tc>
          <w:tcPr>
            <w:tcW w:w="1440" w:type="dxa"/>
            <w:shd w:val="clear" w:color="auto" w:fill="auto"/>
          </w:tcPr>
          <w:p w:rsidR="005B6F18" w:rsidRPr="00B301AF" w:rsidRDefault="005B6F18" w:rsidP="005B6F18">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1 000</w:t>
            </w:r>
            <w:r w:rsidRPr="00B301AF">
              <w:rPr>
                <w:rFonts w:asciiTheme="majorBidi" w:hAnsiTheme="majorBidi" w:cstheme="majorBidi"/>
                <w:sz w:val="16"/>
                <w:szCs w:val="16"/>
              </w:rPr>
              <w:br/>
              <w:t>1 250</w:t>
            </w:r>
          </w:p>
        </w:tc>
        <w:tc>
          <w:tcPr>
            <w:tcW w:w="1260" w:type="dxa"/>
            <w:shd w:val="clear" w:color="auto" w:fill="auto"/>
          </w:tcPr>
          <w:p w:rsidR="005B6F18" w:rsidRPr="00B301AF" w:rsidRDefault="005B6F18" w:rsidP="005B6F18">
            <w:pPr>
              <w:spacing w:before="60" w:after="60" w:line="200" w:lineRule="exact"/>
              <w:ind w:left="57" w:right="57"/>
              <w:jc w:val="center"/>
              <w:rPr>
                <w:rFonts w:asciiTheme="majorBidi" w:hAnsiTheme="majorBidi" w:cstheme="majorBidi"/>
                <w:sz w:val="16"/>
                <w:szCs w:val="16"/>
                <w:lang w:val="en-US"/>
              </w:rPr>
            </w:pPr>
            <w:r>
              <w:rPr>
                <w:rFonts w:asciiTheme="majorBidi" w:hAnsiTheme="majorBidi" w:cstheme="majorBidi"/>
                <w:sz w:val="16"/>
                <w:szCs w:val="16"/>
              </w:rPr>
              <w:t>+</w:t>
            </w:r>
            <w:r w:rsidRPr="00B301AF">
              <w:rPr>
                <w:rFonts w:asciiTheme="majorBidi" w:hAnsiTheme="majorBidi" w:cstheme="majorBidi"/>
                <w:sz w:val="16"/>
                <w:szCs w:val="16"/>
              </w:rPr>
              <w:t>10 ºC</w:t>
            </w:r>
            <w:r w:rsidRPr="00B301AF">
              <w:rPr>
                <w:rFonts w:asciiTheme="majorBidi" w:hAnsiTheme="majorBidi" w:cstheme="majorBidi"/>
                <w:sz w:val="16"/>
                <w:szCs w:val="16"/>
              </w:rPr>
              <w:br/>
            </w:r>
            <w:r>
              <w:rPr>
                <w:rFonts w:asciiTheme="majorBidi" w:hAnsiTheme="majorBidi" w:cstheme="majorBidi"/>
                <w:sz w:val="16"/>
                <w:szCs w:val="16"/>
              </w:rPr>
              <w:t>+</w:t>
            </w:r>
            <w:r w:rsidRPr="00B301AF">
              <w:rPr>
                <w:rFonts w:asciiTheme="majorBidi" w:hAnsiTheme="majorBidi" w:cstheme="majorBidi"/>
                <w:sz w:val="16"/>
                <w:szCs w:val="16"/>
              </w:rPr>
              <w:t>1</w:t>
            </w:r>
            <w:r w:rsidRPr="00B301AF">
              <w:rPr>
                <w:rFonts w:asciiTheme="majorBidi" w:hAnsiTheme="majorBidi" w:cstheme="majorBidi"/>
                <w:sz w:val="16"/>
                <w:szCs w:val="16"/>
                <w:lang w:val="en-US"/>
              </w:rPr>
              <w:t>0 ºC</w:t>
            </w:r>
          </w:p>
        </w:tc>
        <w:tc>
          <w:tcPr>
            <w:tcW w:w="1094" w:type="dxa"/>
            <w:shd w:val="clear" w:color="auto" w:fill="auto"/>
          </w:tcPr>
          <w:p w:rsidR="005B6F18" w:rsidRPr="00C25671" w:rsidRDefault="005B6F18" w:rsidP="005B6F18">
            <w:pPr>
              <w:spacing w:before="60" w:after="60" w:line="200" w:lineRule="exact"/>
              <w:ind w:left="57" w:right="57"/>
              <w:jc w:val="center"/>
              <w:rPr>
                <w:rFonts w:asciiTheme="majorBidi" w:hAnsiTheme="majorBidi" w:cstheme="majorBidi"/>
                <w:sz w:val="16"/>
                <w:szCs w:val="16"/>
                <w:lang w:val="en-US"/>
              </w:rPr>
            </w:pPr>
            <w:r>
              <w:rPr>
                <w:rFonts w:asciiTheme="majorBidi" w:hAnsiTheme="majorBidi" w:cstheme="majorBidi"/>
                <w:sz w:val="16"/>
                <w:szCs w:val="16"/>
                <w:lang w:val="en-US"/>
              </w:rPr>
              <w:t>+</w:t>
            </w:r>
            <w:r w:rsidRPr="00B301AF">
              <w:rPr>
                <w:rFonts w:asciiTheme="majorBidi" w:hAnsiTheme="majorBidi" w:cstheme="majorBidi"/>
                <w:sz w:val="16"/>
                <w:szCs w:val="16"/>
                <w:lang w:val="en-US"/>
              </w:rPr>
              <w:t>15 ºC</w:t>
            </w:r>
            <w:r w:rsidRPr="00B301AF">
              <w:rPr>
                <w:rFonts w:asciiTheme="majorBidi" w:hAnsiTheme="majorBidi" w:cstheme="majorBidi"/>
                <w:sz w:val="16"/>
                <w:szCs w:val="16"/>
                <w:lang w:val="en-US"/>
              </w:rPr>
              <w:br/>
            </w:r>
            <w:r>
              <w:rPr>
                <w:rFonts w:asciiTheme="majorBidi" w:hAnsiTheme="majorBidi" w:cstheme="majorBidi"/>
                <w:sz w:val="16"/>
                <w:szCs w:val="16"/>
                <w:lang w:val="en-US"/>
              </w:rPr>
              <w:t>+</w:t>
            </w:r>
            <w:r w:rsidRPr="00B301AF">
              <w:rPr>
                <w:rFonts w:asciiTheme="majorBidi" w:hAnsiTheme="majorBidi" w:cstheme="majorBidi"/>
                <w:sz w:val="16"/>
                <w:szCs w:val="16"/>
                <w:lang w:val="en-US"/>
              </w:rPr>
              <w:t>15 ºC</w:t>
            </w:r>
          </w:p>
        </w:tc>
      </w:tr>
    </w:tbl>
    <w:p w:rsidR="005B6F18" w:rsidRDefault="005B6F18" w:rsidP="005B6F18">
      <w:pPr>
        <w:pStyle w:val="SingleTxtG"/>
        <w:spacing w:after="0"/>
        <w:ind w:left="0"/>
        <w:rPr>
          <w:i/>
          <w:iCs/>
        </w:rPr>
      </w:pPr>
    </w:p>
    <w:p w:rsidR="005B6F18" w:rsidRDefault="005B6F18" w:rsidP="005B6F18">
      <w:pPr>
        <w:pStyle w:val="SingleTxtG"/>
        <w:rPr>
          <w:i/>
          <w:iCs/>
          <w:lang w:val="en-US"/>
        </w:rPr>
      </w:pPr>
      <w:r w:rsidRPr="00C74AAB">
        <w:rPr>
          <w:i/>
          <w:iCs/>
        </w:rPr>
        <w:t>(</w:t>
      </w:r>
      <w:r w:rsidRPr="00C74AAB">
        <w:rPr>
          <w:i/>
          <w:iCs/>
          <w:lang w:val="en-US"/>
        </w:rPr>
        <w:t xml:space="preserve">Reference document: </w:t>
      </w:r>
      <w:r w:rsidR="005A36A6" w:rsidRPr="00020245">
        <w:rPr>
          <w:i/>
          <w:iCs/>
        </w:rPr>
        <w:t>ST/SG/AC.10/C.3/</w:t>
      </w:r>
      <w:r w:rsidR="005A36A6">
        <w:rPr>
          <w:i/>
          <w:iCs/>
        </w:rPr>
        <w:t>106/Add.1</w:t>
      </w:r>
      <w:r w:rsidRPr="00C74AAB">
        <w:rPr>
          <w:i/>
          <w:iCs/>
          <w:lang w:val="en-US"/>
        </w:rPr>
        <w:t>)</w:t>
      </w:r>
    </w:p>
    <w:p w:rsidR="00E26FF8" w:rsidRDefault="00E26FF8">
      <w:pPr>
        <w:suppressAutoHyphens w:val="0"/>
        <w:spacing w:line="240" w:lineRule="auto"/>
      </w:pPr>
      <w:r>
        <w:br w:type="page"/>
      </w:r>
    </w:p>
    <w:p w:rsidR="005B6F18" w:rsidRPr="000E4463" w:rsidRDefault="005B6F18" w:rsidP="005A36A6">
      <w:pPr>
        <w:pStyle w:val="SingleTxtG"/>
        <w:ind w:hanging="54"/>
      </w:pPr>
      <w:r>
        <w:lastRenderedPageBreak/>
        <w:t>[</w:t>
      </w:r>
      <w:r w:rsidRPr="000E4463">
        <w:t>4.1.4.3</w:t>
      </w:r>
      <w:r>
        <w:tab/>
      </w:r>
      <w:r w:rsidRPr="000E4463">
        <w:tab/>
        <w:t>Add the following new packing instruction LP622:</w:t>
      </w:r>
    </w:p>
    <w:tbl>
      <w:tblPr>
        <w:tblW w:w="8921" w:type="dxa"/>
        <w:tblInd w:w="776"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630"/>
        <w:gridCol w:w="1862"/>
        <w:gridCol w:w="3214"/>
        <w:gridCol w:w="2221"/>
        <w:gridCol w:w="994"/>
      </w:tblGrid>
      <w:tr w:rsidR="005B6F18" w:rsidRPr="0006120D" w:rsidTr="005B6F18">
        <w:tc>
          <w:tcPr>
            <w:tcW w:w="630" w:type="dxa"/>
            <w:tcBorders>
              <w:bottom w:val="single" w:sz="4" w:space="0" w:color="000000"/>
            </w:tcBorders>
          </w:tcPr>
          <w:p w:rsidR="005B6F18" w:rsidRPr="0006120D" w:rsidRDefault="005B6F18" w:rsidP="005B6F18">
            <w:pPr>
              <w:spacing w:before="60" w:after="60" w:line="240" w:lineRule="auto"/>
              <w:rPr>
                <w:b/>
                <w:bCs/>
                <w:color w:val="000000"/>
                <w:sz w:val="18"/>
                <w:szCs w:val="18"/>
                <w:lang w:val="en-CA"/>
              </w:rPr>
            </w:pPr>
            <w:r w:rsidRPr="0006120D">
              <w:rPr>
                <w:b/>
                <w:color w:val="000000"/>
                <w:sz w:val="18"/>
                <w:szCs w:val="18"/>
                <w:lang w:val="en-CA"/>
              </w:rPr>
              <w:t>LP622</w:t>
            </w:r>
          </w:p>
        </w:tc>
        <w:tc>
          <w:tcPr>
            <w:tcW w:w="7297" w:type="dxa"/>
            <w:gridSpan w:val="3"/>
            <w:tcBorders>
              <w:bottom w:val="single" w:sz="4" w:space="0" w:color="000000"/>
            </w:tcBorders>
          </w:tcPr>
          <w:p w:rsidR="005B6F18" w:rsidRPr="0006120D" w:rsidRDefault="005B6F18" w:rsidP="005B6F18">
            <w:pPr>
              <w:spacing w:before="60" w:after="60" w:line="240" w:lineRule="auto"/>
              <w:jc w:val="center"/>
              <w:rPr>
                <w:b/>
                <w:bCs/>
                <w:color w:val="000000"/>
                <w:sz w:val="18"/>
                <w:szCs w:val="18"/>
                <w:lang w:val="en-CA"/>
              </w:rPr>
            </w:pPr>
            <w:r w:rsidRPr="0006120D">
              <w:rPr>
                <w:b/>
                <w:bCs/>
                <w:color w:val="000000"/>
                <w:sz w:val="18"/>
                <w:szCs w:val="18"/>
                <w:lang w:val="en-CA"/>
              </w:rPr>
              <w:t>PACKING INSTRUCTION</w:t>
            </w:r>
          </w:p>
        </w:tc>
        <w:tc>
          <w:tcPr>
            <w:tcW w:w="994" w:type="dxa"/>
            <w:tcBorders>
              <w:bottom w:val="single" w:sz="4" w:space="0" w:color="000000"/>
            </w:tcBorders>
          </w:tcPr>
          <w:p w:rsidR="005B6F18" w:rsidRPr="0006120D" w:rsidRDefault="005B6F18" w:rsidP="005B6F18">
            <w:pPr>
              <w:spacing w:before="60" w:after="60" w:line="240" w:lineRule="auto"/>
              <w:rPr>
                <w:b/>
                <w:bCs/>
                <w:color w:val="000000"/>
                <w:sz w:val="18"/>
                <w:szCs w:val="18"/>
                <w:lang w:val="en-CA"/>
              </w:rPr>
            </w:pPr>
            <w:r>
              <w:rPr>
                <w:b/>
                <w:color w:val="000000"/>
                <w:sz w:val="18"/>
                <w:szCs w:val="18"/>
                <w:lang w:val="en-CA"/>
              </w:rPr>
              <w:t xml:space="preserve">       </w:t>
            </w:r>
            <w:r w:rsidRPr="0006120D">
              <w:rPr>
                <w:b/>
                <w:color w:val="000000"/>
                <w:sz w:val="18"/>
                <w:szCs w:val="18"/>
                <w:lang w:val="en-CA"/>
              </w:rPr>
              <w:t>LP622</w:t>
            </w:r>
          </w:p>
        </w:tc>
      </w:tr>
      <w:tr w:rsidR="005B6F18" w:rsidRPr="0006120D" w:rsidTr="005B6F18">
        <w:tc>
          <w:tcPr>
            <w:tcW w:w="8921" w:type="dxa"/>
            <w:gridSpan w:val="5"/>
            <w:tcBorders>
              <w:top w:val="single" w:sz="4" w:space="0" w:color="000000"/>
              <w:bottom w:val="single" w:sz="4" w:space="0" w:color="000000"/>
            </w:tcBorders>
          </w:tcPr>
          <w:p w:rsidR="005B6F18" w:rsidRPr="0006120D" w:rsidRDefault="005B6F18" w:rsidP="005B6F18">
            <w:pPr>
              <w:spacing w:before="60" w:after="60" w:line="240" w:lineRule="auto"/>
              <w:rPr>
                <w:color w:val="000000"/>
                <w:sz w:val="18"/>
                <w:szCs w:val="18"/>
                <w:lang w:val="en-CA"/>
              </w:rPr>
            </w:pPr>
            <w:r w:rsidRPr="0006120D">
              <w:rPr>
                <w:color w:val="000000"/>
                <w:sz w:val="18"/>
                <w:szCs w:val="18"/>
                <w:lang w:val="en-CA"/>
              </w:rPr>
              <w:t>This instruction applies to UN 3549.</w:t>
            </w:r>
          </w:p>
        </w:tc>
      </w:tr>
      <w:tr w:rsidR="005B6F18" w:rsidRPr="0006120D" w:rsidTr="005B6F18">
        <w:tc>
          <w:tcPr>
            <w:tcW w:w="8921" w:type="dxa"/>
            <w:gridSpan w:val="5"/>
            <w:tcBorders>
              <w:top w:val="single" w:sz="4" w:space="0" w:color="000000"/>
              <w:bottom w:val="single" w:sz="4" w:space="0" w:color="000000"/>
            </w:tcBorders>
          </w:tcPr>
          <w:p w:rsidR="005B6F18" w:rsidRPr="0006120D" w:rsidRDefault="005B6F18" w:rsidP="005B6F18">
            <w:pPr>
              <w:spacing w:before="60" w:after="60" w:line="240" w:lineRule="auto"/>
              <w:rPr>
                <w:color w:val="000000"/>
                <w:sz w:val="18"/>
                <w:szCs w:val="18"/>
                <w:lang w:val="en-CA"/>
              </w:rPr>
            </w:pPr>
            <w:r w:rsidRPr="0006120D">
              <w:rPr>
                <w:color w:val="000000"/>
                <w:sz w:val="18"/>
                <w:szCs w:val="18"/>
                <w:lang w:val="en-CA"/>
              </w:rPr>
              <w:t xml:space="preserve">The following packagings are authorized provided the general provisions of </w:t>
            </w:r>
            <w:r w:rsidRPr="0006120D">
              <w:rPr>
                <w:b/>
                <w:color w:val="000000"/>
                <w:sz w:val="18"/>
                <w:szCs w:val="18"/>
                <w:lang w:val="en-CA"/>
              </w:rPr>
              <w:t xml:space="preserve">4.1.1 </w:t>
            </w:r>
            <w:r w:rsidRPr="0006120D">
              <w:rPr>
                <w:color w:val="000000"/>
                <w:sz w:val="18"/>
                <w:szCs w:val="18"/>
                <w:lang w:val="en-CA"/>
              </w:rPr>
              <w:t xml:space="preserve">and </w:t>
            </w:r>
            <w:r w:rsidRPr="0006120D">
              <w:rPr>
                <w:b/>
                <w:color w:val="000000"/>
                <w:sz w:val="18"/>
                <w:szCs w:val="18"/>
                <w:lang w:val="en-CA"/>
              </w:rPr>
              <w:t xml:space="preserve">4.1.3 </w:t>
            </w:r>
            <w:r w:rsidRPr="0006120D">
              <w:rPr>
                <w:color w:val="000000"/>
                <w:sz w:val="18"/>
                <w:szCs w:val="18"/>
                <w:lang w:val="en-CA"/>
              </w:rPr>
              <w:t>are met:</w:t>
            </w:r>
          </w:p>
        </w:tc>
      </w:tr>
      <w:tr w:rsidR="005B6F18" w:rsidRPr="0006120D" w:rsidTr="00A64CB8">
        <w:trPr>
          <w:trHeight w:val="20"/>
        </w:trPr>
        <w:tc>
          <w:tcPr>
            <w:tcW w:w="2492" w:type="dxa"/>
            <w:gridSpan w:val="2"/>
            <w:tcBorders>
              <w:top w:val="single" w:sz="4" w:space="0" w:color="000000"/>
              <w:bottom w:val="single" w:sz="4" w:space="0" w:color="000000"/>
              <w:right w:val="single" w:sz="4" w:space="0" w:color="auto"/>
            </w:tcBorders>
          </w:tcPr>
          <w:p w:rsidR="005B6F18" w:rsidRPr="0006120D" w:rsidRDefault="005B6F18" w:rsidP="005B6F18">
            <w:pPr>
              <w:spacing w:before="60" w:after="60" w:line="240" w:lineRule="auto"/>
              <w:rPr>
                <w:b/>
                <w:color w:val="000000"/>
                <w:sz w:val="18"/>
                <w:szCs w:val="18"/>
                <w:lang w:val="en-CA"/>
              </w:rPr>
            </w:pPr>
            <w:r w:rsidRPr="0006120D">
              <w:rPr>
                <w:b/>
                <w:color w:val="000000"/>
                <w:sz w:val="18"/>
                <w:szCs w:val="18"/>
                <w:lang w:val="en-CA"/>
              </w:rPr>
              <w:t>Inner packagings</w:t>
            </w:r>
          </w:p>
        </w:tc>
        <w:tc>
          <w:tcPr>
            <w:tcW w:w="3214" w:type="dxa"/>
            <w:tcBorders>
              <w:top w:val="single" w:sz="4" w:space="0" w:color="000000"/>
              <w:left w:val="single" w:sz="4" w:space="0" w:color="auto"/>
              <w:bottom w:val="single" w:sz="4" w:space="0" w:color="000000"/>
              <w:right w:val="single" w:sz="4" w:space="0" w:color="auto"/>
            </w:tcBorders>
          </w:tcPr>
          <w:p w:rsidR="005B6F18" w:rsidRPr="0006120D" w:rsidRDefault="005B6F18" w:rsidP="005B6F18">
            <w:pPr>
              <w:spacing w:before="60" w:after="60" w:line="240" w:lineRule="auto"/>
              <w:rPr>
                <w:b/>
                <w:color w:val="000000"/>
                <w:sz w:val="18"/>
                <w:szCs w:val="18"/>
                <w:lang w:val="en-CA"/>
              </w:rPr>
            </w:pPr>
            <w:r w:rsidRPr="0006120D">
              <w:rPr>
                <w:b/>
                <w:color w:val="000000"/>
                <w:sz w:val="18"/>
                <w:szCs w:val="18"/>
                <w:lang w:val="en-CA"/>
              </w:rPr>
              <w:t>Intermediate packagings</w:t>
            </w:r>
          </w:p>
        </w:tc>
        <w:tc>
          <w:tcPr>
            <w:tcW w:w="3215" w:type="dxa"/>
            <w:gridSpan w:val="2"/>
            <w:tcBorders>
              <w:top w:val="single" w:sz="4" w:space="0" w:color="000000"/>
              <w:left w:val="single" w:sz="4" w:space="0" w:color="auto"/>
              <w:bottom w:val="single" w:sz="4" w:space="0" w:color="000000"/>
            </w:tcBorders>
          </w:tcPr>
          <w:p w:rsidR="005B6F18" w:rsidRPr="0006120D" w:rsidRDefault="005B6F18" w:rsidP="005B6F18">
            <w:pPr>
              <w:spacing w:before="60" w:after="60" w:line="240" w:lineRule="auto"/>
              <w:rPr>
                <w:b/>
                <w:color w:val="000000"/>
                <w:sz w:val="18"/>
                <w:szCs w:val="18"/>
                <w:lang w:val="en-CA"/>
              </w:rPr>
            </w:pPr>
            <w:r w:rsidRPr="0006120D">
              <w:rPr>
                <w:b/>
                <w:color w:val="000000"/>
                <w:sz w:val="18"/>
                <w:szCs w:val="18"/>
                <w:lang w:val="en-CA"/>
              </w:rPr>
              <w:t>Outer packagings</w:t>
            </w:r>
          </w:p>
        </w:tc>
      </w:tr>
      <w:tr w:rsidR="005B6F18" w:rsidRPr="0006120D" w:rsidTr="00A64CB8">
        <w:trPr>
          <w:trHeight w:val="288"/>
        </w:trPr>
        <w:tc>
          <w:tcPr>
            <w:tcW w:w="2492" w:type="dxa"/>
            <w:gridSpan w:val="2"/>
            <w:tcBorders>
              <w:top w:val="single" w:sz="4" w:space="0" w:color="000000"/>
              <w:bottom w:val="single" w:sz="4" w:space="0" w:color="000000"/>
              <w:right w:val="single" w:sz="4" w:space="0" w:color="auto"/>
            </w:tcBorders>
          </w:tcPr>
          <w:p w:rsidR="005B6F18" w:rsidRPr="0006120D" w:rsidRDefault="005B6F18" w:rsidP="005B6F18">
            <w:pPr>
              <w:spacing w:before="60" w:after="60" w:line="240" w:lineRule="auto"/>
              <w:rPr>
                <w:color w:val="000000"/>
                <w:sz w:val="18"/>
                <w:szCs w:val="18"/>
                <w:lang w:val="en-CA"/>
              </w:rPr>
            </w:pPr>
            <w:r w:rsidRPr="0006120D">
              <w:rPr>
                <w:color w:val="000000"/>
                <w:sz w:val="18"/>
                <w:szCs w:val="18"/>
                <w:lang w:val="en-CA"/>
              </w:rPr>
              <w:t>metal</w:t>
            </w:r>
          </w:p>
          <w:p w:rsidR="005B6F18" w:rsidRPr="0006120D" w:rsidRDefault="005B6F18" w:rsidP="005B6F18">
            <w:pPr>
              <w:spacing w:before="60" w:after="60" w:line="240" w:lineRule="auto"/>
              <w:rPr>
                <w:color w:val="000000"/>
                <w:sz w:val="18"/>
                <w:szCs w:val="18"/>
                <w:lang w:val="en-CA"/>
              </w:rPr>
            </w:pPr>
            <w:r w:rsidRPr="0006120D">
              <w:rPr>
                <w:color w:val="000000"/>
                <w:sz w:val="18"/>
                <w:szCs w:val="18"/>
                <w:lang w:val="en-CA"/>
              </w:rPr>
              <w:t>plastics</w:t>
            </w:r>
          </w:p>
        </w:tc>
        <w:tc>
          <w:tcPr>
            <w:tcW w:w="3214" w:type="dxa"/>
            <w:tcBorders>
              <w:top w:val="single" w:sz="4" w:space="0" w:color="000000"/>
              <w:left w:val="single" w:sz="4" w:space="0" w:color="auto"/>
              <w:bottom w:val="single" w:sz="4" w:space="0" w:color="000000"/>
              <w:right w:val="single" w:sz="4" w:space="0" w:color="auto"/>
            </w:tcBorders>
          </w:tcPr>
          <w:p w:rsidR="005B6F18" w:rsidRPr="0006120D" w:rsidRDefault="005B6F18" w:rsidP="005B6F18">
            <w:pPr>
              <w:spacing w:before="60" w:after="60" w:line="240" w:lineRule="auto"/>
              <w:rPr>
                <w:color w:val="000000"/>
                <w:sz w:val="18"/>
                <w:szCs w:val="18"/>
                <w:lang w:val="en-CA"/>
              </w:rPr>
            </w:pPr>
            <w:r w:rsidRPr="0006120D">
              <w:rPr>
                <w:color w:val="000000"/>
                <w:sz w:val="18"/>
                <w:szCs w:val="18"/>
                <w:lang w:val="en-CA"/>
              </w:rPr>
              <w:t>metal</w:t>
            </w:r>
          </w:p>
          <w:p w:rsidR="005B6F18" w:rsidRPr="0006120D" w:rsidRDefault="005B6F18" w:rsidP="005B6F18">
            <w:pPr>
              <w:spacing w:before="60" w:after="60" w:line="240" w:lineRule="auto"/>
              <w:rPr>
                <w:color w:val="000000"/>
                <w:sz w:val="18"/>
                <w:szCs w:val="18"/>
                <w:lang w:val="en-CA"/>
              </w:rPr>
            </w:pPr>
            <w:r w:rsidRPr="0006120D">
              <w:rPr>
                <w:color w:val="000000"/>
                <w:sz w:val="18"/>
                <w:szCs w:val="18"/>
                <w:lang w:val="en-CA"/>
              </w:rPr>
              <w:t>plastics</w:t>
            </w:r>
          </w:p>
        </w:tc>
        <w:tc>
          <w:tcPr>
            <w:tcW w:w="3215" w:type="dxa"/>
            <w:gridSpan w:val="2"/>
            <w:tcBorders>
              <w:top w:val="single" w:sz="4" w:space="0" w:color="000000"/>
              <w:left w:val="single" w:sz="4" w:space="0" w:color="auto"/>
              <w:bottom w:val="single" w:sz="4" w:space="0" w:color="000000"/>
            </w:tcBorders>
          </w:tcPr>
          <w:p w:rsidR="005B6F18" w:rsidRPr="0006120D" w:rsidRDefault="005B6F18" w:rsidP="005B6F18">
            <w:pPr>
              <w:spacing w:before="60" w:after="60" w:line="240" w:lineRule="auto"/>
              <w:rPr>
                <w:color w:val="000000"/>
                <w:sz w:val="18"/>
                <w:szCs w:val="18"/>
                <w:lang w:val="en-CA"/>
              </w:rPr>
            </w:pPr>
            <w:r w:rsidRPr="0006120D">
              <w:rPr>
                <w:color w:val="000000"/>
                <w:sz w:val="18"/>
                <w:szCs w:val="18"/>
                <w:lang w:val="en-CA"/>
              </w:rPr>
              <w:t>steel (50A)</w:t>
            </w:r>
          </w:p>
          <w:p w:rsidR="005B6F18" w:rsidRPr="0006120D" w:rsidRDefault="005B6F18" w:rsidP="005B6F18">
            <w:pPr>
              <w:spacing w:before="60" w:after="60" w:line="240" w:lineRule="auto"/>
              <w:rPr>
                <w:color w:val="000000"/>
                <w:sz w:val="18"/>
                <w:szCs w:val="18"/>
                <w:lang w:val="en-CA"/>
              </w:rPr>
            </w:pPr>
            <w:r w:rsidRPr="0006120D">
              <w:rPr>
                <w:color w:val="000000"/>
                <w:sz w:val="18"/>
                <w:szCs w:val="18"/>
                <w:lang w:val="en-CA"/>
              </w:rPr>
              <w:t>aluminium (50B)</w:t>
            </w:r>
          </w:p>
          <w:p w:rsidR="005B6F18" w:rsidRPr="0006120D" w:rsidRDefault="005B6F18" w:rsidP="005B6F18">
            <w:pPr>
              <w:spacing w:before="60" w:after="60" w:line="240" w:lineRule="auto"/>
              <w:rPr>
                <w:color w:val="000000"/>
                <w:sz w:val="18"/>
                <w:szCs w:val="18"/>
                <w:lang w:val="en-CA"/>
              </w:rPr>
            </w:pPr>
            <w:r w:rsidRPr="0006120D">
              <w:rPr>
                <w:color w:val="000000"/>
                <w:sz w:val="18"/>
                <w:szCs w:val="18"/>
                <w:lang w:val="en-CA"/>
              </w:rPr>
              <w:t>plywood (50D)</w:t>
            </w:r>
          </w:p>
          <w:p w:rsidR="005B6F18" w:rsidRPr="0006120D" w:rsidRDefault="005B6F18" w:rsidP="005B6F18">
            <w:pPr>
              <w:spacing w:before="60" w:after="60" w:line="240" w:lineRule="auto"/>
              <w:rPr>
                <w:color w:val="000000"/>
                <w:sz w:val="18"/>
                <w:szCs w:val="18"/>
                <w:lang w:val="en-CA"/>
              </w:rPr>
            </w:pPr>
            <w:r w:rsidRPr="0006120D">
              <w:rPr>
                <w:color w:val="000000"/>
                <w:sz w:val="18"/>
                <w:szCs w:val="18"/>
                <w:lang w:val="en-CA"/>
              </w:rPr>
              <w:t>fibreboard (50G)</w:t>
            </w:r>
          </w:p>
          <w:p w:rsidR="00A64CB8" w:rsidRDefault="005B6F18" w:rsidP="00A64CB8">
            <w:pPr>
              <w:spacing w:before="60" w:after="60" w:line="240" w:lineRule="auto"/>
              <w:rPr>
                <w:color w:val="000000"/>
                <w:sz w:val="18"/>
                <w:szCs w:val="18"/>
                <w:lang w:val="en-CA"/>
              </w:rPr>
            </w:pPr>
            <w:r w:rsidRPr="0006120D">
              <w:rPr>
                <w:color w:val="000000"/>
                <w:sz w:val="18"/>
                <w:szCs w:val="18"/>
                <w:lang w:val="en-CA"/>
              </w:rPr>
              <w:t>other metal (50N)</w:t>
            </w:r>
          </w:p>
          <w:p w:rsidR="005B6F18" w:rsidRPr="0006120D" w:rsidRDefault="005B6F18" w:rsidP="00A64CB8">
            <w:pPr>
              <w:spacing w:before="60" w:after="60" w:line="240" w:lineRule="auto"/>
              <w:rPr>
                <w:color w:val="000000"/>
                <w:sz w:val="18"/>
                <w:szCs w:val="18"/>
                <w:lang w:val="en-CA"/>
              </w:rPr>
            </w:pPr>
            <w:r w:rsidRPr="0006120D">
              <w:rPr>
                <w:color w:val="000000"/>
                <w:sz w:val="18"/>
                <w:szCs w:val="18"/>
                <w:lang w:val="en-CA"/>
              </w:rPr>
              <w:t>plastics (50H)</w:t>
            </w:r>
          </w:p>
        </w:tc>
      </w:tr>
      <w:tr w:rsidR="005B6F18" w:rsidRPr="0006120D" w:rsidTr="005B6F18">
        <w:tc>
          <w:tcPr>
            <w:tcW w:w="8921" w:type="dxa"/>
            <w:gridSpan w:val="5"/>
            <w:tcBorders>
              <w:top w:val="single" w:sz="4" w:space="0" w:color="000000"/>
              <w:bottom w:val="single" w:sz="4" w:space="0" w:color="000000"/>
            </w:tcBorders>
          </w:tcPr>
          <w:p w:rsidR="005B6F18" w:rsidRPr="0006120D" w:rsidRDefault="005B6F18" w:rsidP="005B6F18">
            <w:pPr>
              <w:spacing w:before="60" w:after="60" w:line="240" w:lineRule="auto"/>
              <w:rPr>
                <w:color w:val="000000"/>
                <w:sz w:val="18"/>
                <w:szCs w:val="18"/>
                <w:lang w:val="en-CA"/>
              </w:rPr>
            </w:pPr>
            <w:r w:rsidRPr="0006120D">
              <w:rPr>
                <w:color w:val="000000"/>
                <w:sz w:val="18"/>
                <w:szCs w:val="18"/>
                <w:lang w:val="en-CA"/>
              </w:rPr>
              <w:t xml:space="preserve">The </w:t>
            </w:r>
            <w:r>
              <w:rPr>
                <w:color w:val="000000"/>
                <w:sz w:val="18"/>
                <w:szCs w:val="18"/>
                <w:lang w:val="en-CA"/>
              </w:rPr>
              <w:t xml:space="preserve">outer </w:t>
            </w:r>
            <w:r w:rsidRPr="0006120D">
              <w:rPr>
                <w:color w:val="000000"/>
                <w:sz w:val="18"/>
                <w:szCs w:val="18"/>
                <w:lang w:val="en-CA"/>
              </w:rPr>
              <w:t xml:space="preserve">packaging shall conform to the packing group I performance level for solids. </w:t>
            </w:r>
          </w:p>
        </w:tc>
      </w:tr>
      <w:tr w:rsidR="005B6F18" w:rsidRPr="0006120D" w:rsidTr="005B6F18">
        <w:tc>
          <w:tcPr>
            <w:tcW w:w="8921" w:type="dxa"/>
            <w:gridSpan w:val="5"/>
            <w:tcBorders>
              <w:bottom w:val="single" w:sz="4" w:space="0" w:color="000000"/>
            </w:tcBorders>
          </w:tcPr>
          <w:p w:rsidR="005B6F18" w:rsidRPr="0006120D" w:rsidRDefault="005B6F18" w:rsidP="005B6F18">
            <w:pPr>
              <w:spacing w:before="60" w:after="60" w:line="240" w:lineRule="auto"/>
              <w:rPr>
                <w:color w:val="000000"/>
                <w:sz w:val="18"/>
                <w:szCs w:val="18"/>
                <w:lang w:val="en-CA"/>
              </w:rPr>
            </w:pPr>
            <w:r w:rsidRPr="0006120D">
              <w:rPr>
                <w:b/>
                <w:color w:val="000000"/>
                <w:sz w:val="18"/>
                <w:szCs w:val="18"/>
                <w:lang w:val="en-CA"/>
              </w:rPr>
              <w:t>Additional requirement</w:t>
            </w:r>
            <w:r w:rsidRPr="0006120D">
              <w:rPr>
                <w:color w:val="000000"/>
                <w:sz w:val="18"/>
                <w:szCs w:val="18"/>
                <w:lang w:val="en-CA"/>
              </w:rPr>
              <w:t>:</w:t>
            </w:r>
          </w:p>
        </w:tc>
      </w:tr>
      <w:tr w:rsidR="005B6F18" w:rsidRPr="0006120D" w:rsidTr="005B6F18">
        <w:trPr>
          <w:trHeight w:val="244"/>
        </w:trPr>
        <w:tc>
          <w:tcPr>
            <w:tcW w:w="8921" w:type="dxa"/>
            <w:gridSpan w:val="5"/>
            <w:tcBorders>
              <w:top w:val="single" w:sz="4" w:space="0" w:color="000000"/>
              <w:bottom w:val="single" w:sz="4" w:space="0" w:color="auto"/>
            </w:tcBorders>
            <w:vAlign w:val="center"/>
          </w:tcPr>
          <w:p w:rsidR="005B6F18" w:rsidRPr="0006120D" w:rsidRDefault="005B6F18" w:rsidP="005B6F18">
            <w:pPr>
              <w:spacing w:before="60" w:after="60" w:line="240" w:lineRule="auto"/>
              <w:ind w:left="372" w:hanging="284"/>
              <w:rPr>
                <w:color w:val="000000"/>
                <w:sz w:val="18"/>
                <w:szCs w:val="18"/>
                <w:lang w:val="en-CA"/>
              </w:rPr>
            </w:pPr>
            <w:r w:rsidRPr="0006120D">
              <w:rPr>
                <w:color w:val="000000"/>
                <w:sz w:val="18"/>
                <w:szCs w:val="18"/>
                <w:lang w:val="en-CA"/>
              </w:rPr>
              <w:t>1.</w:t>
            </w:r>
            <w:r w:rsidRPr="0006120D">
              <w:rPr>
                <w:color w:val="000000"/>
                <w:sz w:val="18"/>
                <w:szCs w:val="18"/>
                <w:lang w:val="en-CA"/>
              </w:rPr>
              <w:tab/>
              <w:t>Fragile articles shall be contained in either a rigid inner packaging or a rigid intermediate packagings.</w:t>
            </w:r>
          </w:p>
          <w:p w:rsidR="005B6F18" w:rsidRPr="0006120D" w:rsidRDefault="005B6F18" w:rsidP="005B6F18">
            <w:pPr>
              <w:spacing w:before="60" w:after="60" w:line="240" w:lineRule="auto"/>
              <w:ind w:left="372" w:hanging="284"/>
              <w:rPr>
                <w:color w:val="000000"/>
                <w:sz w:val="18"/>
                <w:szCs w:val="18"/>
                <w:lang w:val="en-CA"/>
              </w:rPr>
            </w:pPr>
            <w:r w:rsidRPr="0006120D">
              <w:rPr>
                <w:color w:val="000000"/>
                <w:sz w:val="18"/>
                <w:szCs w:val="18"/>
                <w:lang w:val="en-CA"/>
              </w:rPr>
              <w:t>2.</w:t>
            </w:r>
            <w:r w:rsidRPr="0006120D">
              <w:rPr>
                <w:color w:val="000000"/>
                <w:sz w:val="18"/>
                <w:szCs w:val="18"/>
                <w:lang w:val="en-CA"/>
              </w:rPr>
              <w:tab/>
              <w:t>Inner packagings containing sharps objects such as broken glass and needles shall be rigid and resistant to puncture.</w:t>
            </w:r>
          </w:p>
          <w:p w:rsidR="005B6F18" w:rsidRPr="0006120D" w:rsidRDefault="005B6F18" w:rsidP="005B6F18">
            <w:pPr>
              <w:spacing w:before="60" w:after="60" w:line="240" w:lineRule="auto"/>
              <w:ind w:left="372" w:hanging="284"/>
              <w:rPr>
                <w:color w:val="000000"/>
                <w:sz w:val="18"/>
                <w:szCs w:val="18"/>
                <w:lang w:val="en-CA"/>
              </w:rPr>
            </w:pPr>
            <w:r w:rsidRPr="0006120D">
              <w:rPr>
                <w:color w:val="000000"/>
                <w:sz w:val="18"/>
                <w:szCs w:val="18"/>
                <w:lang w:val="en-CA"/>
              </w:rPr>
              <w:t>3.</w:t>
            </w:r>
            <w:r w:rsidRPr="0006120D">
              <w:rPr>
                <w:color w:val="000000"/>
                <w:sz w:val="18"/>
                <w:szCs w:val="18"/>
                <w:lang w:val="en-CA"/>
              </w:rPr>
              <w:tab/>
              <w:t>The inner packaging</w:t>
            </w:r>
            <w:r>
              <w:rPr>
                <w:color w:val="000000"/>
                <w:sz w:val="18"/>
                <w:szCs w:val="18"/>
                <w:lang w:val="en-CA"/>
              </w:rPr>
              <w:t>,</w:t>
            </w:r>
            <w:r w:rsidRPr="0006120D">
              <w:rPr>
                <w:color w:val="000000"/>
                <w:sz w:val="18"/>
                <w:szCs w:val="18"/>
                <w:lang w:val="en-CA"/>
              </w:rPr>
              <w:t xml:space="preserve"> the intermediate packaging</w:t>
            </w:r>
            <w:r>
              <w:rPr>
                <w:color w:val="000000"/>
                <w:sz w:val="18"/>
                <w:szCs w:val="18"/>
                <w:lang w:val="en-CA"/>
              </w:rPr>
              <w:t xml:space="preserve"> and the outer packaging</w:t>
            </w:r>
            <w:r w:rsidRPr="0006120D">
              <w:rPr>
                <w:color w:val="000000"/>
                <w:sz w:val="18"/>
                <w:szCs w:val="18"/>
                <w:lang w:val="en-CA"/>
              </w:rPr>
              <w:t xml:space="preserve"> shall be capable of retaining liquids.</w:t>
            </w:r>
            <w:r>
              <w:rPr>
                <w:color w:val="000000"/>
                <w:sz w:val="18"/>
                <w:szCs w:val="18"/>
                <w:lang w:val="en-CA"/>
              </w:rPr>
              <w:t xml:space="preserve"> </w:t>
            </w:r>
            <w:r>
              <w:rPr>
                <w:color w:val="000000"/>
                <w:sz w:val="18"/>
                <w:szCs w:val="18"/>
              </w:rPr>
              <w:t>Outer packagings that are not capable of retaining liquids by design shall be fitted with a liner or suitable measure of retaining liquids.</w:t>
            </w:r>
          </w:p>
          <w:p w:rsidR="005B6F18" w:rsidRPr="0006120D" w:rsidRDefault="005B6F18" w:rsidP="005B6F18">
            <w:pPr>
              <w:spacing w:before="60" w:after="60" w:line="240" w:lineRule="auto"/>
              <w:ind w:left="372" w:hanging="284"/>
              <w:rPr>
                <w:color w:val="000000"/>
                <w:sz w:val="18"/>
                <w:szCs w:val="18"/>
                <w:lang w:val="en-CA"/>
              </w:rPr>
            </w:pPr>
            <w:r w:rsidRPr="0006120D">
              <w:rPr>
                <w:color w:val="000000"/>
                <w:sz w:val="18"/>
                <w:szCs w:val="18"/>
                <w:lang w:val="en-CA"/>
              </w:rPr>
              <w:t>4.</w:t>
            </w:r>
            <w:r w:rsidRPr="0006120D">
              <w:rPr>
                <w:color w:val="000000"/>
                <w:sz w:val="18"/>
                <w:szCs w:val="18"/>
                <w:lang w:val="en-CA"/>
              </w:rPr>
              <w:tab/>
              <w:t xml:space="preserve">The inner packaging and/or the intermediate packaging may be flexible.  When flexible packagings are used, they shall be capable of passing the impact resistance </w:t>
            </w:r>
            <w:r w:rsidRPr="003203DA">
              <w:rPr>
                <w:sz w:val="18"/>
                <w:szCs w:val="18"/>
                <w:lang w:val="en-CA"/>
              </w:rPr>
              <w:t>test to at least 165g</w:t>
            </w:r>
            <w:r w:rsidRPr="0006120D">
              <w:rPr>
                <w:sz w:val="18"/>
                <w:szCs w:val="18"/>
                <w:lang w:val="en-CA"/>
              </w:rPr>
              <w:t xml:space="preserve"> </w:t>
            </w:r>
            <w:r w:rsidRPr="0006120D">
              <w:rPr>
                <w:color w:val="000000"/>
                <w:sz w:val="18"/>
                <w:szCs w:val="18"/>
                <w:lang w:val="en-CA"/>
              </w:rPr>
              <w:t xml:space="preserve">according to ISO 7765-1:1988 “Plastics film and sheeting – Determination of impact resistance by the free-falling dart method – Part 1: Staircase methods” and </w:t>
            </w:r>
            <w:r w:rsidRPr="003203DA">
              <w:rPr>
                <w:sz w:val="18"/>
                <w:szCs w:val="18"/>
                <w:lang w:val="en-CA"/>
              </w:rPr>
              <w:t>the tear resistance test to at least 480g in both parallel and perpendicular planes with respect to the length of the bag in accordance</w:t>
            </w:r>
            <w:r w:rsidRPr="0006120D">
              <w:rPr>
                <w:sz w:val="18"/>
                <w:szCs w:val="18"/>
                <w:lang w:val="en-CA"/>
              </w:rPr>
              <w:t xml:space="preserve"> </w:t>
            </w:r>
            <w:r w:rsidRPr="0006120D">
              <w:rPr>
                <w:color w:val="000000"/>
                <w:sz w:val="18"/>
                <w:szCs w:val="18"/>
                <w:lang w:val="en-CA"/>
              </w:rPr>
              <w:t xml:space="preserve">with ISO 6383-2:1983 “Plastics – Film and sheeting – Determination of tear resistance – Part 2: Elmendorf method”.  The maximum net mass of each </w:t>
            </w:r>
            <w:r w:rsidRPr="003203DA">
              <w:rPr>
                <w:sz w:val="18"/>
                <w:szCs w:val="18"/>
                <w:lang w:val="en-CA"/>
              </w:rPr>
              <w:t>flexible inner packaging</w:t>
            </w:r>
            <w:r w:rsidRPr="0006120D">
              <w:rPr>
                <w:sz w:val="18"/>
                <w:szCs w:val="18"/>
                <w:lang w:val="en-CA"/>
              </w:rPr>
              <w:t xml:space="preserve"> </w:t>
            </w:r>
            <w:r w:rsidRPr="0006120D">
              <w:rPr>
                <w:color w:val="000000"/>
                <w:sz w:val="18"/>
                <w:szCs w:val="18"/>
                <w:lang w:val="en-CA"/>
              </w:rPr>
              <w:t>shall be 30kg.</w:t>
            </w:r>
          </w:p>
          <w:p w:rsidR="005B6F18" w:rsidRPr="0006120D" w:rsidRDefault="005B6F18" w:rsidP="005B6F18">
            <w:pPr>
              <w:spacing w:before="60" w:after="60" w:line="240" w:lineRule="auto"/>
              <w:ind w:left="372" w:hanging="284"/>
              <w:rPr>
                <w:color w:val="000000"/>
                <w:sz w:val="18"/>
                <w:szCs w:val="18"/>
                <w:lang w:val="en-CA"/>
              </w:rPr>
            </w:pPr>
            <w:r w:rsidRPr="0006120D">
              <w:rPr>
                <w:color w:val="000000"/>
                <w:sz w:val="18"/>
                <w:szCs w:val="18"/>
                <w:lang w:val="en-CA"/>
              </w:rPr>
              <w:t>5.</w:t>
            </w:r>
            <w:r w:rsidRPr="0006120D">
              <w:rPr>
                <w:color w:val="000000"/>
                <w:sz w:val="18"/>
                <w:szCs w:val="18"/>
                <w:lang w:val="en-CA"/>
              </w:rPr>
              <w:tab/>
              <w:t>Each flexible intermediate packaging shall contain only one inner packaging.</w:t>
            </w:r>
          </w:p>
          <w:p w:rsidR="005B6F18" w:rsidRDefault="005B6F18" w:rsidP="005B6F18">
            <w:pPr>
              <w:spacing w:before="60" w:after="60" w:line="240" w:lineRule="auto"/>
              <w:ind w:left="372" w:hanging="284"/>
              <w:rPr>
                <w:color w:val="000000"/>
                <w:sz w:val="18"/>
                <w:szCs w:val="18"/>
                <w:lang w:val="en-CA"/>
              </w:rPr>
            </w:pPr>
            <w:r w:rsidRPr="0006120D">
              <w:rPr>
                <w:color w:val="000000"/>
                <w:sz w:val="18"/>
                <w:szCs w:val="18"/>
                <w:lang w:val="en-CA"/>
              </w:rPr>
              <w:t>6.</w:t>
            </w:r>
            <w:r w:rsidRPr="0006120D">
              <w:rPr>
                <w:color w:val="000000"/>
                <w:sz w:val="18"/>
                <w:szCs w:val="18"/>
                <w:lang w:val="en-CA"/>
              </w:rPr>
              <w:tab/>
              <w:t>Inner packagings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5B6F18" w:rsidRPr="003141B9" w:rsidRDefault="005B6F18" w:rsidP="005B6F18">
            <w:pPr>
              <w:spacing w:before="60" w:after="60" w:line="240" w:lineRule="auto"/>
              <w:ind w:left="372" w:hanging="284"/>
              <w:rPr>
                <w:color w:val="000000"/>
                <w:sz w:val="18"/>
                <w:szCs w:val="18"/>
                <w:lang w:val="en-CA"/>
              </w:rPr>
            </w:pPr>
            <w:r>
              <w:rPr>
                <w:color w:val="000000"/>
                <w:sz w:val="18"/>
                <w:szCs w:val="18"/>
                <w:lang w:val="en-CA"/>
              </w:rPr>
              <w:t>7.    Intermediate packagings shall be secured in outer packagings with suitable cushioning and</w:t>
            </w:r>
            <w:r>
              <w:rPr>
                <w:color w:val="000000"/>
                <w:sz w:val="18"/>
                <w:szCs w:val="18"/>
                <w:lang w:val="en-US"/>
              </w:rPr>
              <w:t>/or absorbent material.</w:t>
            </w:r>
          </w:p>
        </w:tc>
      </w:tr>
    </w:tbl>
    <w:p w:rsidR="005B6F18" w:rsidRPr="00E071FA" w:rsidRDefault="005B6F18" w:rsidP="005B6F18">
      <w:pPr>
        <w:pStyle w:val="SingleTxtG"/>
        <w:rPr>
          <w:lang w:val="en-US"/>
        </w:rPr>
      </w:pPr>
      <w:r w:rsidRPr="00E071FA">
        <w:rPr>
          <w:lang w:val="en-US"/>
        </w:rPr>
        <w:t>]</w:t>
      </w:r>
    </w:p>
    <w:p w:rsidR="005B6F18" w:rsidRPr="004631AC" w:rsidRDefault="005B6F18">
      <w:pPr>
        <w:pStyle w:val="SingleTxtG"/>
        <w:rPr>
          <w:bCs/>
          <w:i/>
          <w:iCs/>
          <w:lang w:val="en-US"/>
        </w:rPr>
      </w:pPr>
      <w:r w:rsidRPr="003141B9">
        <w:rPr>
          <w:i/>
          <w:iCs/>
          <w:lang w:val="en-US"/>
        </w:rPr>
        <w:t xml:space="preserve">(Reference </w:t>
      </w:r>
      <w:r w:rsidR="005A36A6" w:rsidRPr="00020245">
        <w:rPr>
          <w:i/>
          <w:iCs/>
        </w:rPr>
        <w:t>ST/SG/AC.10/C.3/</w:t>
      </w:r>
      <w:r w:rsidR="005A36A6">
        <w:rPr>
          <w:i/>
          <w:iCs/>
        </w:rPr>
        <w:t>106/Add.1</w:t>
      </w:r>
      <w:r w:rsidRPr="003141B9">
        <w:rPr>
          <w:i/>
          <w:iCs/>
          <w:lang w:val="en-US"/>
        </w:rPr>
        <w:t>, replaces the amendment in annex II of document ST/SG/AC.10/C.3/102/Add.1</w:t>
      </w:r>
      <w:r w:rsidRPr="003141B9">
        <w:rPr>
          <w:bCs/>
          <w:i/>
          <w:iCs/>
          <w:lang w:val="en-US"/>
        </w:rPr>
        <w:t>)</w:t>
      </w:r>
    </w:p>
    <w:p w:rsidR="0089110F" w:rsidRPr="000E4463" w:rsidRDefault="0089110F" w:rsidP="0089110F">
      <w:pPr>
        <w:pStyle w:val="SingleTxtG"/>
        <w:rPr>
          <w:bCs/>
        </w:rPr>
      </w:pPr>
      <w:r w:rsidRPr="000E4463">
        <w:rPr>
          <w:bCs/>
        </w:rPr>
        <w:t>4.1.6.1.2</w:t>
      </w:r>
      <w:r w:rsidRPr="000E4463">
        <w:rPr>
          <w:bCs/>
        </w:rPr>
        <w:tab/>
        <w:t>Replace “ISO 11114-1:2012” by “ISO 11114-1:2012 + Amd 1:2017”.</w:t>
      </w:r>
    </w:p>
    <w:p w:rsidR="0089110F" w:rsidRPr="000E4463" w:rsidRDefault="0089110F" w:rsidP="0089110F">
      <w:pPr>
        <w:pStyle w:val="SingleTxtG"/>
        <w:rPr>
          <w:bCs/>
          <w:i/>
        </w:rPr>
      </w:pPr>
      <w:r w:rsidRPr="000E4463">
        <w:rPr>
          <w:bCs/>
          <w:i/>
        </w:rPr>
        <w:t>(Reference document:</w:t>
      </w:r>
      <w:r w:rsidRPr="000E4463">
        <w:rPr>
          <w:i/>
        </w:rPr>
        <w:t xml:space="preserve"> </w:t>
      </w:r>
      <w:r w:rsidR="005A36A6" w:rsidRPr="00020245">
        <w:rPr>
          <w:i/>
          <w:iCs/>
        </w:rPr>
        <w:t>ST/SG/AC.10/C.3/</w:t>
      </w:r>
      <w:r w:rsidR="005A36A6">
        <w:rPr>
          <w:i/>
          <w:iCs/>
        </w:rPr>
        <w:t>102/Add.1</w:t>
      </w:r>
      <w:r w:rsidRPr="000E4463">
        <w:rPr>
          <w:i/>
        </w:rPr>
        <w:t>)</w:t>
      </w:r>
    </w:p>
    <w:p w:rsidR="0089110F" w:rsidRPr="000E4463" w:rsidRDefault="0089110F" w:rsidP="0089110F">
      <w:pPr>
        <w:pStyle w:val="SingleTxtG"/>
        <w:rPr>
          <w:bCs/>
        </w:rPr>
      </w:pPr>
      <w:r w:rsidRPr="000E4463">
        <w:rPr>
          <w:bCs/>
        </w:rPr>
        <w:t>4.1.6.1.8</w:t>
      </w:r>
      <w:r w:rsidRPr="000E4463">
        <w:rPr>
          <w:bCs/>
        </w:rPr>
        <w:tab/>
      </w:r>
      <w:r w:rsidRPr="000E4463">
        <w:t>In the second sentence of the penultimate paragraph replace “annex A of ISO 10297:2006 or annex A of ISO 10297:2014” by “annex A of ISO 10297:2006, annex A of ISO 10297:2014 or annex A of ISO 10297 + Amd 1:2017”.</w:t>
      </w:r>
    </w:p>
    <w:p w:rsidR="0089110F" w:rsidRDefault="0089110F" w:rsidP="0089110F">
      <w:pPr>
        <w:pStyle w:val="SingleTxtG"/>
        <w:rPr>
          <w:i/>
        </w:rPr>
      </w:pPr>
      <w:r w:rsidRPr="000E4463">
        <w:rPr>
          <w:bCs/>
          <w:i/>
        </w:rPr>
        <w:t>(Reference document:</w:t>
      </w:r>
      <w:r w:rsidRPr="000E4463">
        <w:rPr>
          <w:i/>
        </w:rPr>
        <w:t xml:space="preserve"> </w:t>
      </w:r>
      <w:r w:rsidR="005A36A6" w:rsidRPr="00020245">
        <w:rPr>
          <w:i/>
          <w:iCs/>
        </w:rPr>
        <w:t>ST/SG/AC.10/C.3/</w:t>
      </w:r>
      <w:r w:rsidR="005A36A6">
        <w:rPr>
          <w:i/>
          <w:iCs/>
        </w:rPr>
        <w:t>102/Add.1</w:t>
      </w:r>
      <w:r w:rsidRPr="000E4463">
        <w:rPr>
          <w:i/>
        </w:rPr>
        <w:t>)</w:t>
      </w:r>
    </w:p>
    <w:p w:rsidR="005D01E7" w:rsidRPr="007D36A1" w:rsidRDefault="005D01E7" w:rsidP="005D01E7">
      <w:pPr>
        <w:pStyle w:val="SingleTxtG"/>
        <w:tabs>
          <w:tab w:val="left" w:pos="2268"/>
        </w:tabs>
      </w:pPr>
      <w:r w:rsidRPr="007D36A1">
        <w:t>4.1.9.1.4</w:t>
      </w:r>
      <w:r w:rsidRPr="007D36A1">
        <w:tab/>
        <w:t>Add at the end the following new sentence: “This requirement does not apply to the internal surfaces of freight containers being used as packagings, either loaded or empty.”</w:t>
      </w:r>
    </w:p>
    <w:p w:rsidR="005D01E7" w:rsidRDefault="005D01E7" w:rsidP="005D01E7">
      <w:pPr>
        <w:pStyle w:val="SingleTxtG"/>
        <w:tabs>
          <w:tab w:val="left" w:pos="2268"/>
        </w:tabs>
        <w:rPr>
          <w:i/>
        </w:rPr>
      </w:pPr>
      <w:r>
        <w:rPr>
          <w:i/>
        </w:rPr>
        <w:t>(Reference document: ST/SG/AC.10/C.3/2018/54)</w:t>
      </w:r>
    </w:p>
    <w:p w:rsidR="005D01E7" w:rsidRPr="007D36A1" w:rsidRDefault="005D01E7" w:rsidP="005D01E7">
      <w:pPr>
        <w:pStyle w:val="SingleTxtG"/>
        <w:tabs>
          <w:tab w:val="left" w:pos="2268"/>
        </w:tabs>
      </w:pPr>
      <w:r w:rsidRPr="007D36A1">
        <w:t>4.1.9.1.8</w:t>
      </w:r>
      <w:r w:rsidRPr="007D36A1">
        <w:tab/>
        <w:t>Add additional sub-paragraph (e):</w:t>
      </w:r>
    </w:p>
    <w:p w:rsidR="005D01E7" w:rsidRPr="007D36A1" w:rsidRDefault="005D01E7" w:rsidP="005D01E7">
      <w:pPr>
        <w:pStyle w:val="SingleTxtG"/>
        <w:tabs>
          <w:tab w:val="left" w:pos="2268"/>
        </w:tabs>
      </w:pPr>
      <w:r w:rsidRPr="007D36A1">
        <w:lastRenderedPageBreak/>
        <w:t xml:space="preserve">“(e) </w:t>
      </w:r>
      <w:bookmarkStart w:id="6" w:name="_Toc474335055"/>
      <w:bookmarkStart w:id="7" w:name="_Toc477347012"/>
      <w:r w:rsidRPr="007D36A1">
        <w:t>For packages intended to be used for shipment after storage, it shall be ensured that all packaging components and radioactive contents have been maintained during storage in a manner such that all the requirements specified in the relevant provisions of these Regulations and in the applicable certificates of approval have been fulfilled.</w:t>
      </w:r>
      <w:bookmarkEnd w:id="6"/>
      <w:bookmarkEnd w:id="7"/>
      <w:r w:rsidRPr="007D36A1">
        <w:t xml:space="preserve"> “ </w:t>
      </w:r>
    </w:p>
    <w:p w:rsidR="005D01E7" w:rsidRDefault="005D01E7" w:rsidP="005D01E7">
      <w:pPr>
        <w:pStyle w:val="SingleTxtG"/>
        <w:tabs>
          <w:tab w:val="left" w:pos="2268"/>
        </w:tabs>
        <w:rPr>
          <w:i/>
        </w:rPr>
      </w:pPr>
      <w:r>
        <w:rPr>
          <w:i/>
        </w:rPr>
        <w:t>(Reference document: ST/SG/AC.10/C.3/2018/54)</w:t>
      </w:r>
    </w:p>
    <w:p w:rsidR="005D01E7" w:rsidRPr="007D36A1" w:rsidRDefault="005D01E7" w:rsidP="005D01E7">
      <w:pPr>
        <w:pStyle w:val="SingleTxtG"/>
        <w:tabs>
          <w:tab w:val="left" w:pos="2268"/>
        </w:tabs>
      </w:pPr>
      <w:r w:rsidRPr="007D36A1">
        <w:t>4.1.9.2.4</w:t>
      </w:r>
      <w:r w:rsidRPr="007D36A1">
        <w:tab/>
        <w:t>In the introductory sentence, replace “and SCO-I” by “, SCO-I and SCO-III”. Add the following new sub-paragraph (e):</w:t>
      </w:r>
    </w:p>
    <w:p w:rsidR="005D01E7" w:rsidRPr="007D36A1" w:rsidRDefault="005D01E7" w:rsidP="005D01E7">
      <w:pPr>
        <w:pStyle w:val="SingleTxtG"/>
        <w:tabs>
          <w:tab w:val="left" w:pos="2268"/>
        </w:tabs>
      </w:pPr>
      <w:r w:rsidRPr="007D36A1">
        <w:t>“(e)</w:t>
      </w:r>
      <w:r w:rsidRPr="007D36A1">
        <w:tab/>
        <w:t xml:space="preserve">For SCO-III; </w:t>
      </w:r>
    </w:p>
    <w:p w:rsidR="005D01E7" w:rsidRPr="007D36A1" w:rsidRDefault="005D01E7" w:rsidP="005D01E7">
      <w:pPr>
        <w:pStyle w:val="SingleTxtG"/>
        <w:tabs>
          <w:tab w:val="left" w:pos="2268"/>
        </w:tabs>
        <w:ind w:left="2268"/>
      </w:pPr>
      <w:r w:rsidRPr="007D36A1">
        <w:t>(i)</w:t>
      </w:r>
      <w:r w:rsidRPr="007D36A1">
        <w:tab/>
        <w:t xml:space="preserve">Transport shall be under exclusive use by road, rail, inland waterway or sea; </w:t>
      </w:r>
    </w:p>
    <w:p w:rsidR="005D01E7" w:rsidRPr="007D36A1" w:rsidRDefault="005D01E7" w:rsidP="005D01E7">
      <w:pPr>
        <w:pStyle w:val="SingleTxtG"/>
        <w:tabs>
          <w:tab w:val="left" w:pos="2268"/>
        </w:tabs>
        <w:ind w:left="2268"/>
      </w:pPr>
      <w:r w:rsidRPr="007D36A1">
        <w:t>(ii)</w:t>
      </w:r>
      <w:r w:rsidRPr="007D36A1">
        <w:tab/>
        <w:t xml:space="preserve">Stacking shall not be permitted; </w:t>
      </w:r>
    </w:p>
    <w:p w:rsidR="005D01E7" w:rsidRPr="007D36A1" w:rsidRDefault="005D01E7" w:rsidP="005D01E7">
      <w:pPr>
        <w:pStyle w:val="SingleTxtG"/>
        <w:tabs>
          <w:tab w:val="left" w:pos="2268"/>
        </w:tabs>
        <w:ind w:left="2268"/>
      </w:pPr>
      <w:r w:rsidRPr="007D36A1">
        <w:t>(iii)</w:t>
      </w:r>
      <w:r w:rsidRPr="007D36A1">
        <w:tab/>
        <w:t>All activities associated with the shipment, including radiation protection, emergency response and any special precautions or special administrative or operational controls that are to be employed during transport shall be described in a transport plan. The transport plan shall demonstrate that the overall level of safety in transport is at least equivalent to that which would be provided if the requirements of 6.4.7.14 (only for the test specified in 6.4.15.6, preceded by the tests specified in 6.4.15.2 and 6.4.15.3 had been met.</w:t>
      </w:r>
    </w:p>
    <w:p w:rsidR="005D01E7" w:rsidRPr="007D36A1" w:rsidRDefault="005D01E7" w:rsidP="005D01E7">
      <w:pPr>
        <w:pStyle w:val="SingleTxtG"/>
        <w:tabs>
          <w:tab w:val="left" w:pos="2268"/>
        </w:tabs>
        <w:ind w:left="2268"/>
      </w:pPr>
      <w:r w:rsidRPr="007D36A1">
        <w:t>(iv)</w:t>
      </w:r>
      <w:r w:rsidRPr="007D36A1">
        <w:tab/>
        <w:t xml:space="preserve">The requirements of 6.4.5.1 and 6.4.5.2 for a Type IP-2 package shall be satisfied, except that the maximum damage referred to in 6.4.15.4 may be determined based on provisions in the transport plan, and the requirements of6.4.15.5 are not applicable. </w:t>
      </w:r>
    </w:p>
    <w:p w:rsidR="005D01E7" w:rsidRPr="007D36A1" w:rsidRDefault="005D01E7" w:rsidP="005D01E7">
      <w:pPr>
        <w:pStyle w:val="SingleTxtG"/>
        <w:tabs>
          <w:tab w:val="left" w:pos="2268"/>
        </w:tabs>
        <w:ind w:left="2268"/>
      </w:pPr>
      <w:r w:rsidRPr="007D36A1">
        <w:t>(v)</w:t>
      </w:r>
      <w:r w:rsidRPr="007D36A1">
        <w:tab/>
        <w:t>The object and any shielding are secured to the conveyance in accordance with 6.4.</w:t>
      </w:r>
      <w:r>
        <w:t>2.1</w:t>
      </w:r>
      <w:r w:rsidRPr="007D36A1">
        <w:t>.</w:t>
      </w:r>
    </w:p>
    <w:p w:rsidR="005D01E7" w:rsidRPr="007D36A1" w:rsidRDefault="005D01E7" w:rsidP="005D01E7">
      <w:pPr>
        <w:pStyle w:val="SingleTxtG"/>
        <w:tabs>
          <w:tab w:val="left" w:pos="2268"/>
        </w:tabs>
        <w:ind w:left="2268"/>
      </w:pPr>
      <w:r w:rsidRPr="007D36A1">
        <w:t>(vi)</w:t>
      </w:r>
      <w:r w:rsidRPr="007D36A1">
        <w:tab/>
        <w:t>The shipment shall be subject to multilateral approval.”.</w:t>
      </w:r>
    </w:p>
    <w:p w:rsidR="005D01E7" w:rsidRDefault="005D01E7" w:rsidP="005D01E7">
      <w:pPr>
        <w:pStyle w:val="SingleTxtG"/>
        <w:rPr>
          <w:i/>
        </w:rPr>
      </w:pPr>
      <w:r>
        <w:rPr>
          <w:i/>
        </w:rPr>
        <w:t>(Reference document: ST/SG/AC.10/C.3/2018/54)</w:t>
      </w:r>
    </w:p>
    <w:p w:rsidR="005B6F18" w:rsidRPr="00C87103" w:rsidRDefault="005B6F18" w:rsidP="003370F1">
      <w:pPr>
        <w:pStyle w:val="H1G"/>
        <w:spacing w:before="0"/>
        <w:rPr>
          <w:lang w:val="en-US"/>
        </w:rPr>
      </w:pPr>
      <w:r>
        <w:rPr>
          <w:lang w:val="en-US"/>
        </w:rPr>
        <w:tab/>
      </w:r>
      <w:r>
        <w:rPr>
          <w:lang w:val="en-US"/>
        </w:rPr>
        <w:tab/>
      </w:r>
      <w:r w:rsidR="003370F1">
        <w:rPr>
          <w:lang w:val="en-US"/>
        </w:rPr>
        <w:tab/>
      </w:r>
      <w:r w:rsidRPr="00C87103">
        <w:rPr>
          <w:lang w:val="en-US"/>
        </w:rPr>
        <w:t>Chapter 4.2</w:t>
      </w:r>
    </w:p>
    <w:p w:rsidR="005B6F18" w:rsidRPr="007E6055" w:rsidRDefault="005B6F18" w:rsidP="005B6F18">
      <w:pPr>
        <w:pStyle w:val="SingleTxtG"/>
        <w:rPr>
          <w:lang w:val="en-US"/>
        </w:rPr>
      </w:pPr>
      <w:r>
        <w:rPr>
          <w:lang w:val="en-US"/>
        </w:rPr>
        <w:t>Add the following new 4.2.3.7.3</w:t>
      </w:r>
      <w:r w:rsidRPr="007E6055">
        <w:rPr>
          <w:lang w:val="en-US"/>
        </w:rPr>
        <w:t>:</w:t>
      </w:r>
    </w:p>
    <w:p w:rsidR="005B6F18" w:rsidRPr="007E6055" w:rsidRDefault="005B6F18" w:rsidP="005B6F18">
      <w:pPr>
        <w:pStyle w:val="SingleTxtG"/>
      </w:pPr>
      <w:r w:rsidRPr="007E6055">
        <w:t xml:space="preserve">“4.2.3.7.3 </w:t>
      </w:r>
      <w:r w:rsidRPr="007E6055">
        <w:tab/>
        <w:t>The date at which the actual holding time ends shall be entered in the transport document (see 5.4.1.5.13).”</w:t>
      </w:r>
    </w:p>
    <w:p w:rsidR="005B6F18" w:rsidRDefault="005B6F18" w:rsidP="005B6F18">
      <w:pPr>
        <w:pStyle w:val="SingleTxtG"/>
        <w:rPr>
          <w:i/>
          <w:iCs/>
          <w:lang w:val="en-US"/>
        </w:rPr>
      </w:pPr>
      <w:r>
        <w:rPr>
          <w:i/>
          <w:iCs/>
          <w:lang w:val="en-US"/>
        </w:rPr>
        <w:t>(Reference document</w:t>
      </w:r>
      <w:r w:rsidRPr="00D23BF9">
        <w:rPr>
          <w:i/>
          <w:iCs/>
          <w:lang w:val="en-US"/>
        </w:rPr>
        <w:t xml:space="preserve">: </w:t>
      </w:r>
      <w:r w:rsidR="005A36A6" w:rsidRPr="00020245">
        <w:rPr>
          <w:i/>
          <w:iCs/>
        </w:rPr>
        <w:t>ST/SG/AC.10/C.3/</w:t>
      </w:r>
      <w:r w:rsidR="005A36A6">
        <w:rPr>
          <w:i/>
          <w:iCs/>
        </w:rPr>
        <w:t>106/Add.1</w:t>
      </w:r>
      <w:r w:rsidRPr="00D23BF9">
        <w:rPr>
          <w:i/>
          <w:iCs/>
          <w:lang w:val="en-US"/>
        </w:rPr>
        <w:t>)</w:t>
      </w:r>
    </w:p>
    <w:p w:rsidR="005B6F18" w:rsidRDefault="005B6F18" w:rsidP="005B6F18">
      <w:pPr>
        <w:pStyle w:val="SingleTxtG"/>
      </w:pPr>
      <w:r w:rsidRPr="00700112">
        <w:t>4.2.5.</w:t>
      </w:r>
      <w:r w:rsidR="00112DC7" w:rsidRPr="00700112">
        <w:t>3</w:t>
      </w:r>
      <w:r>
        <w:t>, special provision TP19</w:t>
      </w:r>
      <w:r>
        <w:tab/>
        <w:t>Amend to read as follows:</w:t>
      </w:r>
    </w:p>
    <w:p w:rsidR="005B6F18" w:rsidRPr="00307CBD" w:rsidRDefault="005B6F18" w:rsidP="005B6F18">
      <w:pPr>
        <w:pStyle w:val="SingleTxtG"/>
      </w:pPr>
      <w:r w:rsidRPr="00307CBD">
        <w:t xml:space="preserve">“TP19 </w:t>
      </w:r>
      <w:r>
        <w:tab/>
      </w:r>
      <w:r w:rsidRPr="00307CBD">
        <w:t xml:space="preserve">At the time of construction, the calculated shell thickness </w:t>
      </w:r>
      <w:r>
        <w:t>shall</w:t>
      </w:r>
      <w:r w:rsidRPr="00307CBD">
        <w:t xml:space="preserve"> be increased by 3 mm as a corrosion allowance. Shell thickness </w:t>
      </w:r>
      <w:r>
        <w:t>shall</w:t>
      </w:r>
      <w:r w:rsidRPr="00307CBD">
        <w:t xml:space="preserve"> be verified ultrasonically at intervals midway between periodic hydraulic tests and </w:t>
      </w:r>
      <w:r>
        <w:t>shall</w:t>
      </w:r>
      <w:r w:rsidRPr="00307CBD">
        <w:t xml:space="preserve"> never be lower than the calculated shell thickness.”.</w:t>
      </w:r>
    </w:p>
    <w:p w:rsidR="005B6F18" w:rsidRPr="00007C69" w:rsidRDefault="005B6F18" w:rsidP="005B6F18">
      <w:pPr>
        <w:pStyle w:val="SingleTxtG"/>
        <w:rPr>
          <w:i/>
          <w:iCs/>
        </w:rPr>
      </w:pPr>
      <w:r w:rsidRPr="00D23BF9">
        <w:rPr>
          <w:i/>
          <w:iCs/>
        </w:rPr>
        <w:t xml:space="preserve">(Reference document: </w:t>
      </w:r>
      <w:r w:rsidR="005A36A6" w:rsidRPr="00020245">
        <w:rPr>
          <w:i/>
          <w:iCs/>
        </w:rPr>
        <w:t>ST/SG/AC.10/C.3/</w:t>
      </w:r>
      <w:r w:rsidR="005A36A6">
        <w:rPr>
          <w:i/>
          <w:iCs/>
        </w:rPr>
        <w:t>106/Add.1</w:t>
      </w:r>
      <w:r w:rsidRPr="00D23BF9">
        <w:rPr>
          <w:i/>
          <w:iCs/>
        </w:rPr>
        <w:t>)</w:t>
      </w:r>
    </w:p>
    <w:p w:rsidR="005B6F18" w:rsidRDefault="005B6F18" w:rsidP="005B6F18">
      <w:pPr>
        <w:pStyle w:val="SingleTxtG"/>
        <w:rPr>
          <w:bCs/>
          <w:i/>
          <w:iCs/>
          <w:lang w:val="en-US"/>
        </w:rPr>
      </w:pPr>
      <w:r>
        <w:t>4.2.5.3</w:t>
      </w:r>
      <w:r>
        <w:tab/>
        <w:t xml:space="preserve"> </w:t>
      </w:r>
      <w:r>
        <w:tab/>
        <w:t>Delete portable tank instructions TP35, TP37, TP38 and TP39 and add “</w:t>
      </w:r>
      <w:r w:rsidRPr="00415AB5">
        <w:rPr>
          <w:i/>
        </w:rPr>
        <w:t>Deleted</w:t>
      </w:r>
      <w:r>
        <w:t>”.</w:t>
      </w:r>
    </w:p>
    <w:p w:rsidR="005B6F18" w:rsidRDefault="005B6F18">
      <w:pPr>
        <w:pStyle w:val="SingleTxtG"/>
        <w:rPr>
          <w:bCs/>
          <w:i/>
          <w:iCs/>
          <w:lang w:val="en-US"/>
        </w:rPr>
      </w:pPr>
      <w:r w:rsidRPr="007F764E">
        <w:rPr>
          <w:i/>
          <w:iCs/>
        </w:rPr>
        <w:t xml:space="preserve">(Reference document: </w:t>
      </w:r>
      <w:r w:rsidR="005A36A6" w:rsidRPr="00020245">
        <w:rPr>
          <w:i/>
          <w:iCs/>
        </w:rPr>
        <w:t>ST/SG/AC.10/C.3/</w:t>
      </w:r>
      <w:r w:rsidR="005A36A6">
        <w:rPr>
          <w:i/>
          <w:iCs/>
        </w:rPr>
        <w:t>106/Add.1</w:t>
      </w:r>
      <w:r>
        <w:rPr>
          <w:bCs/>
          <w:i/>
          <w:iCs/>
          <w:lang w:val="en-US"/>
        </w:rPr>
        <w:t>)</w:t>
      </w:r>
    </w:p>
    <w:p w:rsidR="006A7EA5" w:rsidRDefault="006A7EA5" w:rsidP="004631AC">
      <w:pPr>
        <w:pStyle w:val="H1G"/>
        <w:rPr>
          <w:bCs/>
          <w:i/>
          <w:iCs/>
          <w:lang w:val="en-US"/>
        </w:rPr>
      </w:pPr>
      <w:r>
        <w:lastRenderedPageBreak/>
        <w:tab/>
      </w:r>
      <w:r>
        <w:tab/>
      </w:r>
      <w:r w:rsidRPr="007D36A1">
        <w:t>Chapter 5.1</w:t>
      </w:r>
    </w:p>
    <w:p w:rsidR="006A7EA5" w:rsidRPr="007D36A1" w:rsidRDefault="006A7EA5" w:rsidP="006A7EA5">
      <w:pPr>
        <w:pStyle w:val="SingleTxtG"/>
        <w:tabs>
          <w:tab w:val="left" w:pos="2268"/>
        </w:tabs>
      </w:pPr>
      <w:r w:rsidRPr="007D36A1">
        <w:t>5.1.5.1.2</w:t>
      </w:r>
      <w:r w:rsidRPr="007D36A1">
        <w:tab/>
        <w:t>Add additional sub-paragraph (e):</w:t>
      </w:r>
    </w:p>
    <w:p w:rsidR="006A7EA5" w:rsidRPr="007D36A1" w:rsidRDefault="006A7EA5" w:rsidP="006A7EA5">
      <w:pPr>
        <w:pStyle w:val="SingleTxtG"/>
        <w:tabs>
          <w:tab w:val="left" w:pos="2268"/>
        </w:tabs>
      </w:pPr>
      <w:r w:rsidRPr="007D36A1">
        <w:t xml:space="preserve">“(e) </w:t>
      </w:r>
      <w:r w:rsidRPr="007D36A1">
        <w:tab/>
        <w:t>The shipment of SCO-III.”.</w:t>
      </w:r>
    </w:p>
    <w:p w:rsidR="006A7EA5" w:rsidRPr="007D36A1" w:rsidRDefault="006A7EA5" w:rsidP="006A7EA5">
      <w:pPr>
        <w:pStyle w:val="SingleTxtG"/>
        <w:tabs>
          <w:tab w:val="left" w:pos="2268"/>
        </w:tabs>
      </w:pPr>
      <w:r w:rsidRPr="007D36A1">
        <w:tab/>
        <w:t>Transfer the “and” from the end of sub-paragraph (c) to the end of sub-paragraph (d).</w:t>
      </w:r>
    </w:p>
    <w:p w:rsidR="006A7EA5" w:rsidRPr="007D36A1" w:rsidRDefault="006A7EA5" w:rsidP="006A7EA5">
      <w:pPr>
        <w:pStyle w:val="SingleTxtG"/>
        <w:tabs>
          <w:tab w:val="left" w:pos="2268"/>
        </w:tabs>
        <w:rPr>
          <w:i/>
        </w:rPr>
      </w:pPr>
      <w:r>
        <w:rPr>
          <w:i/>
        </w:rPr>
        <w:t>(Reference document: ST/SG/AC.10/C.3/2018/54)</w:t>
      </w:r>
    </w:p>
    <w:p w:rsidR="006A7EA5" w:rsidRPr="007D36A1" w:rsidRDefault="006A7EA5" w:rsidP="006A7EA5">
      <w:pPr>
        <w:pStyle w:val="SingleTxtG"/>
        <w:tabs>
          <w:tab w:val="left" w:pos="2268"/>
        </w:tabs>
      </w:pPr>
      <w:r w:rsidRPr="007D36A1">
        <w:t>5.1.5.1.4 (b)</w:t>
      </w:r>
      <w:r w:rsidRPr="007D36A1">
        <w:tab/>
        <w:t>At the end, replace “in the hands” by “in the possession”.</w:t>
      </w:r>
    </w:p>
    <w:p w:rsidR="006A7EA5" w:rsidRPr="007D36A1" w:rsidRDefault="006A7EA5" w:rsidP="006A7EA5">
      <w:pPr>
        <w:pStyle w:val="SingleTxtG"/>
        <w:tabs>
          <w:tab w:val="left" w:pos="2268"/>
        </w:tabs>
        <w:rPr>
          <w:i/>
        </w:rPr>
      </w:pPr>
      <w:r>
        <w:rPr>
          <w:i/>
        </w:rPr>
        <w:t>(Reference document: ST/SG/AC.10/C.3/2018/54)</w:t>
      </w:r>
    </w:p>
    <w:p w:rsidR="006A7EA5" w:rsidRPr="007D36A1" w:rsidRDefault="006A7EA5" w:rsidP="006A7EA5">
      <w:pPr>
        <w:pStyle w:val="SingleTxtG"/>
        <w:tabs>
          <w:tab w:val="left" w:pos="2268"/>
        </w:tabs>
      </w:pPr>
      <w:r w:rsidRPr="007D36A1">
        <w:t>5.1.5.3.1</w:t>
      </w:r>
      <w:r w:rsidRPr="007D36A1">
        <w:tab/>
        <w:t xml:space="preserve">In the introductory sentence, replace “or SCO-I” by “SCO-I or SCO-III”. In (a), replace “radiation level” by “dose rate” (twice) and replace “and SCO-I” by “, SCO-I or SCO-III”. In (b) replace “and SCO-I” by “, SCO-I and SCO-III”. At the end of (c), add “and the resulting number is the </w:t>
      </w:r>
      <w:r w:rsidRPr="007D36A1">
        <w:rPr>
          <w:i/>
        </w:rPr>
        <w:t>TI</w:t>
      </w:r>
      <w:r w:rsidRPr="007D36A1">
        <w:t xml:space="preserve"> value (without unit).”.</w:t>
      </w:r>
    </w:p>
    <w:p w:rsidR="006A7EA5" w:rsidRPr="007D36A1" w:rsidRDefault="006A7EA5" w:rsidP="006A7EA5">
      <w:pPr>
        <w:pStyle w:val="SingleTxtG"/>
        <w:tabs>
          <w:tab w:val="left" w:pos="2268"/>
        </w:tabs>
        <w:rPr>
          <w:i/>
        </w:rPr>
      </w:pPr>
      <w:r>
        <w:rPr>
          <w:i/>
        </w:rPr>
        <w:t>(Reference document: ST/SG/AC.10/C.3/2018/54)</w:t>
      </w:r>
    </w:p>
    <w:p w:rsidR="006A7EA5" w:rsidRPr="007D36A1" w:rsidRDefault="006A7EA5" w:rsidP="006A7EA5">
      <w:pPr>
        <w:pStyle w:val="SingleTxtG"/>
        <w:tabs>
          <w:tab w:val="left" w:pos="2268"/>
        </w:tabs>
        <w:rPr>
          <w:bCs/>
        </w:rPr>
      </w:pPr>
      <w:r w:rsidRPr="007D36A1">
        <w:rPr>
          <w:bCs/>
        </w:rPr>
        <w:t xml:space="preserve">Table 5.1.5.3.1 </w:t>
      </w:r>
      <w:r w:rsidRPr="007D36A1">
        <w:rPr>
          <w:bCs/>
        </w:rPr>
        <w:tab/>
        <w:t>In the title replace “and SCO-I” by “, SCO-I and SCO-III”.</w:t>
      </w:r>
    </w:p>
    <w:p w:rsidR="006A7EA5" w:rsidRDefault="006A7EA5" w:rsidP="006A7EA5">
      <w:pPr>
        <w:pStyle w:val="SingleTxtG"/>
        <w:tabs>
          <w:tab w:val="left" w:pos="2268"/>
        </w:tabs>
        <w:rPr>
          <w:i/>
        </w:rPr>
      </w:pPr>
      <w:r>
        <w:rPr>
          <w:i/>
        </w:rPr>
        <w:t>(Reference document: ST/SG/AC.10/C.3/2018/54)</w:t>
      </w:r>
    </w:p>
    <w:p w:rsidR="006A7EA5" w:rsidRPr="007D36A1" w:rsidRDefault="006A7EA5" w:rsidP="006A7EA5">
      <w:pPr>
        <w:pStyle w:val="SingleTxtG"/>
        <w:tabs>
          <w:tab w:val="left" w:pos="2268"/>
        </w:tabs>
      </w:pPr>
      <w:r w:rsidRPr="007D36A1">
        <w:t>5.1.5.3.2</w:t>
      </w:r>
      <w:r w:rsidRPr="007D36A1">
        <w:tab/>
        <w:t>Amend to read as follows:</w:t>
      </w:r>
    </w:p>
    <w:p w:rsidR="006A7EA5" w:rsidRPr="007D36A1" w:rsidRDefault="006A7EA5" w:rsidP="006A7EA5">
      <w:pPr>
        <w:pStyle w:val="SingleTxtG"/>
        <w:tabs>
          <w:tab w:val="left" w:pos="2268"/>
        </w:tabs>
      </w:pPr>
      <w:r w:rsidRPr="007D36A1">
        <w:t xml:space="preserve">“The TI for each rigid overpack, freight container or conveyance shall be determined as the sum of the TIs of all the packages contained therein. For a shipment from a single consignor, the consignor may determine the TI by direct measurement of dose rate. </w:t>
      </w:r>
    </w:p>
    <w:p w:rsidR="006A7EA5" w:rsidRPr="007D36A1" w:rsidRDefault="006A7EA5" w:rsidP="006A7EA5">
      <w:pPr>
        <w:pStyle w:val="SingleTxtG"/>
        <w:tabs>
          <w:tab w:val="left" w:pos="2268"/>
        </w:tabs>
      </w:pPr>
      <w:r w:rsidRPr="007D36A1">
        <w:t>The TI for a non-rigid overpack shall be determined only as the sum of the TIs of all the packages within the overpack.”.</w:t>
      </w:r>
    </w:p>
    <w:p w:rsidR="006A7EA5" w:rsidRPr="007D36A1" w:rsidRDefault="006A7EA5" w:rsidP="006A7EA5">
      <w:pPr>
        <w:pStyle w:val="SingleTxtG"/>
        <w:tabs>
          <w:tab w:val="left" w:pos="2268"/>
        </w:tabs>
        <w:rPr>
          <w:i/>
        </w:rPr>
      </w:pPr>
      <w:r>
        <w:rPr>
          <w:i/>
        </w:rPr>
        <w:t>(Reference document: ST/SG/AC.10/C.3/2018/54)</w:t>
      </w:r>
    </w:p>
    <w:p w:rsidR="006A7EA5" w:rsidRPr="007D36A1" w:rsidRDefault="006A7EA5" w:rsidP="006A7EA5">
      <w:pPr>
        <w:pStyle w:val="SingleTxtG"/>
        <w:tabs>
          <w:tab w:val="left" w:pos="2268"/>
        </w:tabs>
      </w:pPr>
      <w:r w:rsidRPr="007D36A1">
        <w:t>5.1.5.3.4</w:t>
      </w:r>
      <w:r w:rsidRPr="007D36A1">
        <w:tab/>
        <w:t>In (b) replace “transport index” by “TI”.</w:t>
      </w:r>
    </w:p>
    <w:p w:rsidR="006A7EA5" w:rsidRPr="004631AC" w:rsidRDefault="006A7EA5">
      <w:pPr>
        <w:pStyle w:val="SingleTxtG"/>
        <w:rPr>
          <w:bCs/>
          <w:i/>
          <w:iCs/>
          <w:lang w:val="en-US"/>
        </w:rPr>
      </w:pPr>
      <w:r>
        <w:rPr>
          <w:i/>
        </w:rPr>
        <w:t>(Reference document: ST/SG/AC.10/C.3/2018/54)</w:t>
      </w:r>
    </w:p>
    <w:p w:rsidR="0089110F" w:rsidRPr="000E4463" w:rsidRDefault="0089110F" w:rsidP="0089110F">
      <w:pPr>
        <w:pStyle w:val="H1G"/>
      </w:pPr>
      <w:r w:rsidRPr="000E4463">
        <w:tab/>
      </w:r>
      <w:r w:rsidRPr="000E4463">
        <w:tab/>
        <w:t>Chapter 5.2</w:t>
      </w:r>
    </w:p>
    <w:p w:rsidR="006A7EA5" w:rsidRPr="007D36A1" w:rsidRDefault="006A7EA5" w:rsidP="006A7EA5">
      <w:pPr>
        <w:pStyle w:val="SingleTxtG"/>
        <w:tabs>
          <w:tab w:val="left" w:pos="2268"/>
        </w:tabs>
      </w:pPr>
      <w:r w:rsidRPr="007D36A1">
        <w:t>5.2.1.5.6</w:t>
      </w:r>
      <w:r w:rsidRPr="007D36A1">
        <w:tab/>
        <w:t>Add the following sentence at the end:</w:t>
      </w:r>
    </w:p>
    <w:p w:rsidR="006A7EA5" w:rsidRPr="007D36A1" w:rsidRDefault="006A7EA5" w:rsidP="006A7EA5">
      <w:pPr>
        <w:pStyle w:val="SingleTxtG"/>
        <w:tabs>
          <w:tab w:val="left" w:pos="2268"/>
        </w:tabs>
      </w:pPr>
      <w:r w:rsidRPr="007D36A1">
        <w:t>“Any mark on the package made in accordance with the requirements of 5.2.1.5.4 (a) and (b) and 5.2.1.5.5 (c) relating to the package type that does not relate to the UN number and proper shipping name assigned to the consignment shall be removed or covered.”.</w:t>
      </w:r>
    </w:p>
    <w:p w:rsidR="006A7EA5" w:rsidRDefault="006A7EA5" w:rsidP="006A7EA5">
      <w:pPr>
        <w:pStyle w:val="SingleTxtG"/>
        <w:rPr>
          <w:i/>
        </w:rPr>
      </w:pPr>
      <w:r>
        <w:rPr>
          <w:i/>
        </w:rPr>
        <w:t>(Reference document: ST/SG/AC.10/C.3/2018/54)</w:t>
      </w:r>
    </w:p>
    <w:p w:rsidR="0089110F" w:rsidRPr="000E4463" w:rsidRDefault="0089110F" w:rsidP="0089110F">
      <w:pPr>
        <w:pStyle w:val="SingleTxtG"/>
      </w:pPr>
      <w:r w:rsidRPr="000E4463">
        <w:t>5.2.2.2.1.1.2</w:t>
      </w:r>
      <w:r w:rsidRPr="000E4463">
        <w:tab/>
        <w:t>Amend to read as follows:</w:t>
      </w:r>
    </w:p>
    <w:p w:rsidR="0089110F" w:rsidRPr="000E4463" w:rsidRDefault="0089110F" w:rsidP="0089110F">
      <w:pPr>
        <w:pStyle w:val="SingleTxtG"/>
        <w:tabs>
          <w:tab w:val="left" w:pos="2835"/>
        </w:tabs>
      </w:pPr>
      <w:r w:rsidRPr="000E4463">
        <w:t>“5.2.2.2.1.1.2</w:t>
      </w:r>
      <w:r w:rsidRPr="000E4463">
        <w:tab/>
        <w:t>The label shall be in the form of a square set at an angle of 45 degrees (diamond-shaped). The minimum dimensions shall be 100 mm x 100 mm. There shall be a line inside the edge forming the diamond which shall be parallel and approximately 5 mm from the outside of that line to the edge of the label.”.</w:t>
      </w:r>
    </w:p>
    <w:p w:rsidR="0089110F" w:rsidRDefault="0089110F" w:rsidP="0089110F">
      <w:pPr>
        <w:pStyle w:val="SingleTxtG"/>
        <w:rPr>
          <w:i/>
        </w:rPr>
      </w:pPr>
      <w:r w:rsidRPr="000E4463">
        <w:rPr>
          <w:i/>
        </w:rPr>
        <w:t xml:space="preserve">(Reference document: </w:t>
      </w:r>
      <w:r w:rsidR="005A36A6" w:rsidRPr="00020245">
        <w:rPr>
          <w:i/>
          <w:iCs/>
        </w:rPr>
        <w:t>ST/SG/AC.10/C.3/</w:t>
      </w:r>
      <w:r w:rsidR="005A36A6">
        <w:rPr>
          <w:i/>
          <w:iCs/>
        </w:rPr>
        <w:t>102/Add.1</w:t>
      </w:r>
      <w:r w:rsidRPr="000E4463">
        <w:rPr>
          <w:i/>
        </w:rPr>
        <w:t>)</w:t>
      </w:r>
    </w:p>
    <w:p w:rsidR="009E2557" w:rsidRPr="007D36A1" w:rsidRDefault="009E2557" w:rsidP="009E2557">
      <w:pPr>
        <w:pStyle w:val="SingleTxtG"/>
        <w:tabs>
          <w:tab w:val="left" w:pos="2268"/>
        </w:tabs>
      </w:pPr>
      <w:r w:rsidRPr="007D36A1">
        <w:t>5.2.2.1.12.2</w:t>
      </w:r>
      <w:r w:rsidRPr="007D36A1">
        <w:tab/>
        <w:t>In (d), replace “(no transport index entry is required for category I-WHITE)” by “(except for category I-WHITE)”.</w:t>
      </w:r>
    </w:p>
    <w:p w:rsidR="009E2557" w:rsidRPr="009E2557" w:rsidRDefault="009E2557" w:rsidP="009E2557">
      <w:pPr>
        <w:pStyle w:val="SingleTxtG"/>
      </w:pPr>
      <w:r>
        <w:rPr>
          <w:i/>
        </w:rPr>
        <w:lastRenderedPageBreak/>
        <w:t>(Reference document: ST/SG/AC.10/C.3/2018/54)</w:t>
      </w:r>
    </w:p>
    <w:p w:rsidR="00B562D6" w:rsidRPr="007D36A1" w:rsidRDefault="00B562D6" w:rsidP="00B562D6">
      <w:pPr>
        <w:pStyle w:val="H1G"/>
      </w:pPr>
      <w:r>
        <w:tab/>
      </w:r>
      <w:r>
        <w:tab/>
      </w:r>
      <w:r w:rsidRPr="007D36A1">
        <w:t>Chapter 5.3</w:t>
      </w:r>
    </w:p>
    <w:p w:rsidR="00B562D6" w:rsidRPr="007D36A1" w:rsidRDefault="00B562D6" w:rsidP="00B562D6">
      <w:pPr>
        <w:pStyle w:val="SingleTxtG"/>
        <w:tabs>
          <w:tab w:val="left" w:pos="2268"/>
        </w:tabs>
      </w:pPr>
      <w:r w:rsidRPr="007D36A1">
        <w:t>5.3.1.1.5.1</w:t>
      </w:r>
      <w:r w:rsidRPr="007D36A1">
        <w:tab/>
        <w:t xml:space="preserve">After “Large freight containers carrying” add “unpackaged LSA-I material or SCO-I or”. </w:t>
      </w:r>
    </w:p>
    <w:p w:rsidR="00B562D6"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5.3.2.1.1</w:t>
      </w:r>
      <w:r w:rsidRPr="007D36A1">
        <w:tab/>
        <w:t>Replace “LSA-1 or SCO-1 material” by “LSA-I material, SCO-I or SCO-III”.</w:t>
      </w:r>
    </w:p>
    <w:p w:rsidR="00B562D6" w:rsidRDefault="00B562D6" w:rsidP="00B562D6">
      <w:pPr>
        <w:pStyle w:val="SingleTxtG"/>
        <w:rPr>
          <w:i/>
        </w:rPr>
      </w:pPr>
      <w:r>
        <w:rPr>
          <w:i/>
        </w:rPr>
        <w:t>(Reference document: ST/SG/AC.10/C.3/2018/54)</w:t>
      </w:r>
    </w:p>
    <w:p w:rsidR="005B6F18" w:rsidRDefault="005B6F18" w:rsidP="005B6F18">
      <w:pPr>
        <w:pStyle w:val="H1G"/>
      </w:pPr>
      <w:r>
        <w:tab/>
      </w:r>
      <w:r>
        <w:tab/>
        <w:t>Chapter 5.4</w:t>
      </w:r>
    </w:p>
    <w:p w:rsidR="00B562D6" w:rsidRPr="007D36A1" w:rsidRDefault="00B562D6" w:rsidP="00B562D6">
      <w:pPr>
        <w:pStyle w:val="SingleTxtG"/>
        <w:tabs>
          <w:tab w:val="left" w:pos="2268"/>
        </w:tabs>
      </w:pPr>
      <w:r w:rsidRPr="007D36A1">
        <w:t>5.4.1.5.7.1</w:t>
      </w:r>
      <w:r w:rsidRPr="007D36A1">
        <w:tab/>
        <w:t>Amend sub-paragraphs (d) and (e) to read:</w:t>
      </w:r>
    </w:p>
    <w:p w:rsidR="00B562D6" w:rsidRPr="007D36A1" w:rsidRDefault="00B562D6" w:rsidP="00B562D6">
      <w:pPr>
        <w:pStyle w:val="SingleTxtG"/>
        <w:tabs>
          <w:tab w:val="left" w:pos="2268"/>
        </w:tabs>
      </w:pPr>
      <w:r w:rsidRPr="007D36A1">
        <w:t>“(d)</w:t>
      </w:r>
      <w:r w:rsidRPr="007D36A1">
        <w:tab/>
        <w:t>The category of the package, overpack or freight container, as assigned per paragraph 5.1.5.3.4, i.e. I-WHITE, II-YELLOW, III-YELLOW;</w:t>
      </w:r>
    </w:p>
    <w:p w:rsidR="00B562D6" w:rsidRPr="007D36A1" w:rsidRDefault="00B562D6" w:rsidP="00B562D6">
      <w:pPr>
        <w:pStyle w:val="SingleTxtG"/>
        <w:tabs>
          <w:tab w:val="left" w:pos="2268"/>
        </w:tabs>
      </w:pPr>
      <w:r w:rsidRPr="007D36A1">
        <w:t>(e)</w:t>
      </w:r>
      <w:r w:rsidRPr="007D36A1">
        <w:tab/>
        <w:t>The TI as determined per paragraphs 5.1.5.3.1 and 5.1.5.3.2 (except for category I-WHITE);”.</w:t>
      </w:r>
    </w:p>
    <w:p w:rsidR="00B562D6" w:rsidRPr="007D36A1" w:rsidRDefault="00B562D6" w:rsidP="00B562D6">
      <w:pPr>
        <w:pStyle w:val="SingleTxtG"/>
        <w:tabs>
          <w:tab w:val="left" w:pos="2268"/>
        </w:tabs>
      </w:pPr>
      <w:r w:rsidRPr="007D36A1">
        <w:t>In (j), replace “SCO-I and SCO-II” by “SCO-I, SCO-II and SCO-III”.</w:t>
      </w:r>
    </w:p>
    <w:p w:rsidR="00B562D6" w:rsidRPr="00DA4D16" w:rsidRDefault="00B562D6" w:rsidP="00B562D6">
      <w:pPr>
        <w:pStyle w:val="SingleTxtG"/>
        <w:tabs>
          <w:tab w:val="left" w:pos="2268"/>
        </w:tabs>
        <w:rPr>
          <w:i/>
        </w:rPr>
      </w:pPr>
      <w:r>
        <w:rPr>
          <w:i/>
        </w:rPr>
        <w:t>(Reference document: ST/SG/AC.10/C.3/2018/54)</w:t>
      </w:r>
    </w:p>
    <w:p w:rsidR="005B6F18" w:rsidRDefault="005B6F18" w:rsidP="005B6F18">
      <w:pPr>
        <w:pStyle w:val="SingleTxtG"/>
      </w:pPr>
      <w:r>
        <w:t>Add the following new 5.4.1.5.13:</w:t>
      </w:r>
    </w:p>
    <w:p w:rsidR="005B6F18" w:rsidRPr="00307CBD" w:rsidRDefault="005B6F18" w:rsidP="005B6F18">
      <w:pPr>
        <w:pStyle w:val="SingleTxtG"/>
      </w:pPr>
      <w:r w:rsidRPr="00307CBD">
        <w:t xml:space="preserve">“5.4.1.5.13 </w:t>
      </w:r>
      <w:r w:rsidRPr="00307CBD">
        <w:tab/>
      </w:r>
      <w:r w:rsidRPr="00307CBD">
        <w:rPr>
          <w:i/>
          <w:iCs/>
        </w:rPr>
        <w:t>Actual holding time</w:t>
      </w:r>
    </w:p>
    <w:p w:rsidR="005B6F18" w:rsidRPr="00307CBD" w:rsidRDefault="005B6F18" w:rsidP="005B6F18">
      <w:pPr>
        <w:pStyle w:val="SingleTxtG"/>
      </w:pPr>
      <w:r w:rsidRPr="00307CBD">
        <w:t>In the case of portable tanks carrying refrigerated liquefied gases the consign</w:t>
      </w:r>
      <w:r>
        <w:t>o</w:t>
      </w:r>
      <w:r w:rsidRPr="00307CBD">
        <w:t>r shall enter in the transport document the date at which the actual holding time ends, in the following format:</w:t>
      </w:r>
    </w:p>
    <w:p w:rsidR="005B6F18" w:rsidRPr="00307CBD" w:rsidRDefault="005B6F18" w:rsidP="005B6F18">
      <w:pPr>
        <w:pStyle w:val="SingleTxtG"/>
      </w:pPr>
      <w:r w:rsidRPr="00307CBD">
        <w:t>“END OF HOLDING TIME: ………….. (DD/MM/YYYY)”.</w:t>
      </w:r>
    </w:p>
    <w:p w:rsidR="005B6F18" w:rsidRDefault="005B6F18">
      <w:pPr>
        <w:pStyle w:val="SingleTxtG"/>
        <w:rPr>
          <w:i/>
          <w:iCs/>
        </w:rPr>
      </w:pPr>
      <w:r w:rsidRPr="00BB39ED">
        <w:rPr>
          <w:i/>
          <w:iCs/>
        </w:rPr>
        <w:t xml:space="preserve">(Reference document: </w:t>
      </w:r>
      <w:r w:rsidR="004660D9" w:rsidRPr="00020245">
        <w:rPr>
          <w:i/>
          <w:iCs/>
        </w:rPr>
        <w:t>ST/SG/AC.10/C.3/</w:t>
      </w:r>
      <w:r w:rsidR="004660D9">
        <w:rPr>
          <w:i/>
          <w:iCs/>
        </w:rPr>
        <w:t>106/Add.1</w:t>
      </w:r>
      <w:r w:rsidRPr="00BB39ED">
        <w:rPr>
          <w:i/>
          <w:iCs/>
        </w:rPr>
        <w:t>)</w:t>
      </w:r>
    </w:p>
    <w:p w:rsidR="00B562D6" w:rsidRPr="007D36A1" w:rsidRDefault="00B562D6" w:rsidP="00B562D6">
      <w:pPr>
        <w:pStyle w:val="SingleTxtG"/>
        <w:tabs>
          <w:tab w:val="left" w:pos="2268"/>
        </w:tabs>
      </w:pPr>
      <w:r w:rsidRPr="007D36A1">
        <w:t>5.4.2.2</w:t>
      </w:r>
      <w:r w:rsidRPr="007D36A1">
        <w:tab/>
      </w:r>
      <w:r w:rsidRPr="007D36A1">
        <w:tab/>
        <w:t>Delete at the end of the first sentence:</w:t>
      </w:r>
    </w:p>
    <w:p w:rsidR="00B562D6" w:rsidRPr="007D36A1" w:rsidRDefault="00B562D6" w:rsidP="00B562D6">
      <w:pPr>
        <w:pStyle w:val="SingleTxtG"/>
        <w:tabs>
          <w:tab w:val="left" w:pos="2268"/>
        </w:tabs>
      </w:pPr>
      <w:r w:rsidRPr="007D36A1">
        <w:t>“one to the other</w:t>
      </w:r>
      <w:r>
        <w:t>”</w:t>
      </w:r>
      <w:r w:rsidRPr="007D36A1">
        <w:t xml:space="preserve"> </w:t>
      </w:r>
    </w:p>
    <w:p w:rsidR="00B562D6" w:rsidRPr="00B562D6" w:rsidRDefault="00B562D6" w:rsidP="00700112">
      <w:pPr>
        <w:pStyle w:val="SingleTxtG"/>
        <w:tabs>
          <w:tab w:val="left" w:pos="2268"/>
        </w:tabs>
        <w:spacing w:after="0"/>
        <w:rPr>
          <w:i/>
        </w:rPr>
      </w:pPr>
      <w:r>
        <w:rPr>
          <w:i/>
        </w:rPr>
        <w:t>(Reference document: ST/SG/AC.10/C.3/2018/54)</w:t>
      </w:r>
    </w:p>
    <w:p w:rsidR="00E62922" w:rsidRDefault="00E62922" w:rsidP="00E62922">
      <w:pPr>
        <w:pStyle w:val="H1G"/>
      </w:pPr>
      <w:r>
        <w:tab/>
      </w:r>
      <w:r>
        <w:tab/>
        <w:t>Chapter 5.5</w:t>
      </w:r>
    </w:p>
    <w:p w:rsidR="00E62922" w:rsidRDefault="00E62922" w:rsidP="00E62922">
      <w:pPr>
        <w:pStyle w:val="SingleTxtG"/>
      </w:pPr>
      <w:r>
        <w:t>5.5.3</w:t>
      </w:r>
      <w:r>
        <w:tab/>
        <w:t>At the end, in the text in parentheses, after “(UN 1951)”, add “or nitrogen”.</w:t>
      </w:r>
    </w:p>
    <w:p w:rsidR="00E62922" w:rsidRPr="00954EA4" w:rsidRDefault="00E62922" w:rsidP="00E62922">
      <w:pPr>
        <w:pStyle w:val="SingleTxtG"/>
        <w:rPr>
          <w:i/>
          <w:lang w:val="fr-CH"/>
        </w:rPr>
      </w:pPr>
      <w:r w:rsidRPr="00954EA4">
        <w:rPr>
          <w:i/>
          <w:lang w:val="fr-CH"/>
        </w:rPr>
        <w:t xml:space="preserve">(Reference document: </w:t>
      </w:r>
      <w:r w:rsidR="009B79E8" w:rsidRPr="00020245">
        <w:rPr>
          <w:i/>
          <w:iCs/>
        </w:rPr>
        <w:t>ST/SG/AC.10/C.3/</w:t>
      </w:r>
      <w:r w:rsidR="009B79E8">
        <w:rPr>
          <w:i/>
          <w:iCs/>
        </w:rPr>
        <w:t>104/Add.1</w:t>
      </w:r>
      <w:r w:rsidRPr="00954EA4">
        <w:rPr>
          <w:i/>
          <w:lang w:val="fr-CH"/>
        </w:rPr>
        <w:t>)</w:t>
      </w:r>
    </w:p>
    <w:p w:rsidR="00E62922" w:rsidRDefault="00E62922" w:rsidP="00E62922">
      <w:pPr>
        <w:pStyle w:val="SingleTxtG"/>
      </w:pPr>
      <w:r>
        <w:t>5.5.3</w:t>
      </w:r>
      <w:r>
        <w:tab/>
        <w:t>Add the following new Note at the end:</w:t>
      </w:r>
    </w:p>
    <w:p w:rsidR="00E62922" w:rsidRPr="008C71E7" w:rsidRDefault="00E62922" w:rsidP="00E62922">
      <w:pPr>
        <w:pStyle w:val="SingleTxtG"/>
      </w:pPr>
      <w:r>
        <w:t>“</w:t>
      </w:r>
      <w:r w:rsidRPr="003A613B">
        <w:rPr>
          <w:b/>
          <w:i/>
        </w:rPr>
        <w:t>NOTE:</w:t>
      </w:r>
      <w:r w:rsidRPr="00551ECB">
        <w:rPr>
          <w:i/>
        </w:rPr>
        <w:tab/>
      </w:r>
      <w:r w:rsidRPr="001C7087">
        <w:rPr>
          <w:i/>
        </w:rPr>
        <w:t>In the context of this section the term “conditioning” may be used in a broader scope and includes protection.</w:t>
      </w:r>
      <w:r>
        <w:t>”.</w:t>
      </w:r>
    </w:p>
    <w:p w:rsidR="00E62922" w:rsidRPr="00954EA4" w:rsidRDefault="00E62922" w:rsidP="00E62922">
      <w:pPr>
        <w:pStyle w:val="SingleTxtG"/>
        <w:rPr>
          <w:i/>
          <w:lang w:val="fr-CH"/>
        </w:rPr>
      </w:pPr>
      <w:r w:rsidRPr="00954EA4">
        <w:rPr>
          <w:i/>
          <w:lang w:val="fr-CH"/>
        </w:rPr>
        <w:t xml:space="preserve">(Reference document: </w:t>
      </w:r>
      <w:r w:rsidR="009B79E8" w:rsidRPr="00020245">
        <w:rPr>
          <w:i/>
          <w:iCs/>
        </w:rPr>
        <w:t>ST/SG/AC.10/C.3/</w:t>
      </w:r>
      <w:r w:rsidR="009B79E8">
        <w:rPr>
          <w:i/>
          <w:iCs/>
        </w:rPr>
        <w:t>10</w:t>
      </w:r>
      <w:r w:rsidR="007B5DD5">
        <w:rPr>
          <w:i/>
          <w:iCs/>
        </w:rPr>
        <w:t>2</w:t>
      </w:r>
      <w:r w:rsidR="009B79E8">
        <w:rPr>
          <w:i/>
          <w:iCs/>
        </w:rPr>
        <w:t>/Add.1</w:t>
      </w:r>
      <w:r w:rsidRPr="00954EA4">
        <w:rPr>
          <w:i/>
          <w:lang w:val="fr-CH"/>
        </w:rPr>
        <w:t>)</w:t>
      </w:r>
    </w:p>
    <w:p w:rsidR="00E62922" w:rsidRPr="001C6AC6" w:rsidRDefault="00E62922" w:rsidP="00E62922">
      <w:pPr>
        <w:pStyle w:val="SingleTxtG"/>
      </w:pPr>
      <w:r w:rsidRPr="001C6AC6">
        <w:t>5.5.3.6.2</w:t>
      </w:r>
      <w:r w:rsidRPr="001C6AC6">
        <w:tab/>
        <w:t>In Figure</w:t>
      </w:r>
      <w:r>
        <w:t xml:space="preserve"> </w:t>
      </w:r>
      <w:r w:rsidRPr="001C6AC6">
        <w:t>5.5.2, amend the heading to read “Asphyxiation warning mark for cargo transport units”. Delete the reference to note ** and the corresponding note. In note *, at the beginning, replace “of the coolant/conditioner” by “or the name of the asphyxiant</w:t>
      </w:r>
      <w:r>
        <w:t xml:space="preserve"> gas</w:t>
      </w:r>
      <w:r w:rsidRPr="001C6AC6">
        <w:t xml:space="preserve"> </w:t>
      </w:r>
      <w:r w:rsidRPr="001C6AC6">
        <w:lastRenderedPageBreak/>
        <w:t>used as the coolant/conditioner”. At the end of note * add “Additional information such as “AS COOLANT” or “AS CONDITIONER” may be added</w:t>
      </w:r>
      <w:r>
        <w:t>.”</w:t>
      </w:r>
      <w:r w:rsidRPr="001C6AC6">
        <w:t>. At the end of 5.5.3.6.2, delete the Note.</w:t>
      </w:r>
    </w:p>
    <w:p w:rsidR="00E62922" w:rsidRPr="000E4463" w:rsidRDefault="00E62922" w:rsidP="00700112">
      <w:pPr>
        <w:pStyle w:val="SingleTxtG"/>
        <w:spacing w:after="0"/>
        <w:rPr>
          <w:i/>
        </w:rPr>
      </w:pPr>
      <w:r w:rsidRPr="00522E96">
        <w:rPr>
          <w:i/>
        </w:rPr>
        <w:t xml:space="preserve">(Reference document: </w:t>
      </w:r>
      <w:r w:rsidR="009B79E8" w:rsidRPr="00020245">
        <w:rPr>
          <w:i/>
          <w:iCs/>
        </w:rPr>
        <w:t>ST/SG/AC.10/C.3/</w:t>
      </w:r>
      <w:r w:rsidR="009B79E8">
        <w:rPr>
          <w:i/>
          <w:iCs/>
        </w:rPr>
        <w:t>104/Add.1</w:t>
      </w:r>
      <w:r w:rsidRPr="00522E96">
        <w:rPr>
          <w:i/>
        </w:rPr>
        <w:t>)</w:t>
      </w:r>
    </w:p>
    <w:p w:rsidR="0089110F" w:rsidRPr="000E4463" w:rsidRDefault="0089110F" w:rsidP="0089110F">
      <w:pPr>
        <w:pStyle w:val="H1G"/>
      </w:pPr>
      <w:r w:rsidRPr="000E4463">
        <w:tab/>
      </w:r>
      <w:r w:rsidRPr="000E4463">
        <w:tab/>
        <w:t>Chapter 6.1</w:t>
      </w:r>
    </w:p>
    <w:p w:rsidR="0089110F" w:rsidRPr="000E4463" w:rsidRDefault="0089110F" w:rsidP="0089110F">
      <w:pPr>
        <w:pStyle w:val="SingleTxtG"/>
      </w:pPr>
      <w:r w:rsidRPr="000E4463">
        <w:t>[6.1.1.1 (e)</w:t>
      </w:r>
      <w:r w:rsidRPr="000E4463">
        <w:tab/>
        <w:t>At the end, add “except for UN 3549”.]</w:t>
      </w:r>
    </w:p>
    <w:p w:rsidR="0089110F" w:rsidRDefault="0089110F" w:rsidP="0089110F">
      <w:pPr>
        <w:pStyle w:val="SingleTxtG"/>
        <w:rPr>
          <w:i/>
        </w:rPr>
      </w:pPr>
      <w:r w:rsidRPr="000E4463">
        <w:rPr>
          <w:i/>
        </w:rPr>
        <w:t xml:space="preserve">(Reference document: </w:t>
      </w:r>
      <w:r w:rsidR="009B79E8" w:rsidRPr="00020245">
        <w:rPr>
          <w:i/>
          <w:iCs/>
        </w:rPr>
        <w:t>ST/SG/AC.10/C.3/</w:t>
      </w:r>
      <w:r w:rsidR="009B79E8">
        <w:rPr>
          <w:i/>
          <w:iCs/>
        </w:rPr>
        <w:t>102/Add.1</w:t>
      </w:r>
      <w:r w:rsidRPr="000E4463">
        <w:rPr>
          <w:i/>
        </w:rPr>
        <w:t>)</w:t>
      </w:r>
    </w:p>
    <w:p w:rsidR="005B6F18" w:rsidRDefault="005B6F18" w:rsidP="005B6F18">
      <w:pPr>
        <w:pStyle w:val="SingleTxtG"/>
      </w:pPr>
      <w:r>
        <w:t>6.1.3.1 (e)</w:t>
      </w:r>
      <w:r>
        <w:tab/>
        <w:t>In the text of the note explaining the asterisk, after the clock, replace the second sentence with the following:</w:t>
      </w:r>
    </w:p>
    <w:p w:rsidR="005B6F18" w:rsidRPr="006160E8" w:rsidRDefault="005B6F18" w:rsidP="005B6F18">
      <w:pPr>
        <w:pStyle w:val="SingleTxtG"/>
      </w:pPr>
      <w:r>
        <w:t>“</w:t>
      </w:r>
      <w:r w:rsidRPr="006160E8">
        <w:t xml:space="preserve">In such a case and when the clock is placed adjacent to the UN design type mark, </w:t>
      </w:r>
      <w:r w:rsidRPr="006160E8">
        <w:rPr>
          <w:rFonts w:eastAsia="Calibri"/>
        </w:rPr>
        <w:t>the indication of the year in the mark may be waived. However, when the clock is not placed</w:t>
      </w:r>
      <w:r w:rsidRPr="006160E8">
        <w:rPr>
          <w:rFonts w:eastAsia="Calibri"/>
          <w:bCs/>
        </w:rPr>
        <w:t xml:space="preserve"> adjacent</w:t>
      </w:r>
      <w:r w:rsidRPr="006160E8">
        <w:rPr>
          <w:rFonts w:eastAsia="Calibri"/>
        </w:rPr>
        <w:t xml:space="preserve"> to the UN design type mark, </w:t>
      </w:r>
      <w:r w:rsidRPr="006160E8">
        <w:t>the two digits of the year in the mark and in the clock shall be identical.</w:t>
      </w:r>
      <w:r>
        <w:t>”.</w:t>
      </w:r>
      <w:r w:rsidRPr="006160E8">
        <w:t xml:space="preserve">  </w:t>
      </w:r>
    </w:p>
    <w:p w:rsidR="005B6F18" w:rsidRPr="004631AC" w:rsidRDefault="005B6F18">
      <w:pPr>
        <w:pStyle w:val="SingleTxtG"/>
        <w:rPr>
          <w:i/>
          <w:iCs/>
          <w:lang w:val="en-US"/>
        </w:rPr>
      </w:pPr>
      <w:r w:rsidRPr="00E96385">
        <w:rPr>
          <w:i/>
          <w:iCs/>
          <w:lang w:val="en-US"/>
        </w:rPr>
        <w:t xml:space="preserve">(Reference document: </w:t>
      </w:r>
      <w:r w:rsidR="009B79E8" w:rsidRPr="00020245">
        <w:rPr>
          <w:i/>
          <w:iCs/>
        </w:rPr>
        <w:t>ST/SG/AC.10/C.3/</w:t>
      </w:r>
      <w:r w:rsidR="009B79E8">
        <w:rPr>
          <w:i/>
          <w:iCs/>
        </w:rPr>
        <w:t>106/Add.1</w:t>
      </w:r>
      <w:r w:rsidRPr="00E96385">
        <w:rPr>
          <w:i/>
          <w:iCs/>
          <w:lang w:val="en-US"/>
        </w:rPr>
        <w:t>)</w:t>
      </w:r>
    </w:p>
    <w:p w:rsidR="005B6F18" w:rsidRDefault="005B6F18" w:rsidP="005B6F18">
      <w:pPr>
        <w:pStyle w:val="SingleTxtG"/>
        <w:spacing w:line="240" w:lineRule="auto"/>
        <w:ind w:right="1135"/>
        <w:rPr>
          <w:iCs/>
          <w:lang w:val="en-US"/>
        </w:rPr>
      </w:pPr>
      <w:r>
        <w:rPr>
          <w:iCs/>
          <w:lang w:val="en-US"/>
        </w:rPr>
        <w:t>Add the following new 6.1.3.13:</w:t>
      </w:r>
    </w:p>
    <w:p w:rsidR="005B6F18" w:rsidRPr="00876370" w:rsidRDefault="005B6F18" w:rsidP="005B6F18">
      <w:pPr>
        <w:pStyle w:val="SingleTxtG"/>
        <w:spacing w:line="240" w:lineRule="auto"/>
        <w:ind w:right="1135"/>
        <w:rPr>
          <w:iCs/>
          <w:lang w:val="en-US"/>
        </w:rPr>
      </w:pPr>
      <w:r>
        <w:rPr>
          <w:iCs/>
          <w:lang w:val="en-US"/>
        </w:rPr>
        <w:t>“6.1.3.13</w:t>
      </w:r>
      <w:r>
        <w:rPr>
          <w:iCs/>
          <w:lang w:val="en-US"/>
        </w:rPr>
        <w:tab/>
        <w:t>Where a packaging</w:t>
      </w:r>
      <w:r w:rsidRPr="00876370">
        <w:rPr>
          <w:iCs/>
          <w:lang w:val="en-US"/>
        </w:rPr>
        <w:t xml:space="preserve"> conforms to </w:t>
      </w:r>
      <w:r w:rsidRPr="00EF53CD">
        <w:rPr>
          <w:iCs/>
          <w:lang w:val="en-US"/>
        </w:rPr>
        <w:t>one or</w:t>
      </w:r>
      <w:r>
        <w:rPr>
          <w:iCs/>
          <w:u w:val="single"/>
          <w:lang w:val="en-US"/>
        </w:rPr>
        <w:t xml:space="preserve"> </w:t>
      </w:r>
      <w:r w:rsidRPr="00876370">
        <w:rPr>
          <w:iCs/>
          <w:lang w:val="en-US"/>
        </w:rPr>
        <w:t>more than one tested packaging</w:t>
      </w:r>
      <w:r>
        <w:rPr>
          <w:iCs/>
          <w:lang w:val="en-US"/>
        </w:rPr>
        <w:t xml:space="preserve"> design type</w:t>
      </w:r>
      <w:r w:rsidRPr="003C6937">
        <w:rPr>
          <w:iCs/>
          <w:lang w:val="en-US"/>
        </w:rPr>
        <w:t xml:space="preserve">, </w:t>
      </w:r>
      <w:r w:rsidRPr="00357579">
        <w:rPr>
          <w:iCs/>
          <w:lang w:val="en-US"/>
        </w:rPr>
        <w:t>including one or more than one tested IBC or large packaging design type, the packaging may bear more than one mark to indicate the relevant performance test requirements that have been met.</w:t>
      </w:r>
      <w:r w:rsidRPr="00C85EAD">
        <w:rPr>
          <w:iCs/>
          <w:lang w:val="en-US"/>
        </w:rPr>
        <w:t xml:space="preserve"> </w:t>
      </w:r>
      <w:r w:rsidRPr="00876370">
        <w:rPr>
          <w:iCs/>
          <w:lang w:val="en-US"/>
        </w:rPr>
        <w:t>Where more than one m</w:t>
      </w:r>
      <w:r>
        <w:rPr>
          <w:iCs/>
          <w:lang w:val="en-US"/>
        </w:rPr>
        <w:t>ark appears on a packaging,</w:t>
      </w:r>
      <w:r w:rsidRPr="00876370">
        <w:rPr>
          <w:iCs/>
          <w:lang w:val="en-US"/>
        </w:rPr>
        <w:t xml:space="preserve"> the marks must appear in close proximity to one another and each mark must appear in its entirety.</w:t>
      </w:r>
      <w:r w:rsidRPr="00357579">
        <w:rPr>
          <w:iCs/>
          <w:lang w:val="en-US"/>
        </w:rPr>
        <w:t>”</w:t>
      </w:r>
      <w:r>
        <w:rPr>
          <w:iCs/>
          <w:lang w:val="en-US"/>
        </w:rPr>
        <w:t>.</w:t>
      </w:r>
    </w:p>
    <w:p w:rsidR="005B6F18" w:rsidRPr="00EF53CD" w:rsidRDefault="005B6F18" w:rsidP="005B6F18">
      <w:pPr>
        <w:pStyle w:val="SingleTxtG"/>
        <w:rPr>
          <w:bCs/>
          <w:i/>
          <w:iCs/>
          <w:lang w:val="en-US"/>
        </w:rPr>
      </w:pPr>
      <w:r w:rsidRPr="00EF53CD">
        <w:rPr>
          <w:i/>
          <w:iCs/>
          <w:lang w:val="en-US"/>
        </w:rPr>
        <w:t xml:space="preserve">(Reference document: </w:t>
      </w:r>
      <w:r w:rsidR="009B79E8" w:rsidRPr="00020245">
        <w:rPr>
          <w:i/>
          <w:iCs/>
        </w:rPr>
        <w:t>ST/SG/AC.10/C.3/</w:t>
      </w:r>
      <w:r w:rsidR="009B79E8">
        <w:rPr>
          <w:i/>
          <w:iCs/>
        </w:rPr>
        <w:t>106/Add.1</w:t>
      </w:r>
      <w:r w:rsidRPr="00EF53CD">
        <w:rPr>
          <w:bCs/>
          <w:i/>
          <w:iCs/>
          <w:lang w:val="en-US"/>
        </w:rPr>
        <w:t>, replaces the amendment in annex II of document ST/SG/AC.10/C.3/104/Add.1)</w:t>
      </w:r>
    </w:p>
    <w:p w:rsidR="005B6F18" w:rsidRDefault="005B6F18" w:rsidP="005B6F18">
      <w:pPr>
        <w:pStyle w:val="SingleTxtG"/>
        <w:spacing w:line="240" w:lineRule="auto"/>
        <w:ind w:right="1135"/>
        <w:rPr>
          <w:iCs/>
          <w:lang w:val="en-US"/>
        </w:rPr>
      </w:pPr>
      <w:r>
        <w:rPr>
          <w:iCs/>
          <w:lang w:val="en-US"/>
        </w:rPr>
        <w:t>Add the following new 6.1.4.2.6:</w:t>
      </w:r>
    </w:p>
    <w:p w:rsidR="005B6F18" w:rsidRDefault="005B6F18" w:rsidP="005B6F18">
      <w:pPr>
        <w:pStyle w:val="SingleTxtG"/>
      </w:pPr>
      <w:r>
        <w:rPr>
          <w:bCs/>
        </w:rPr>
        <w:t>“</w:t>
      </w:r>
      <w:r w:rsidRPr="0060009B">
        <w:rPr>
          <w:bCs/>
        </w:rPr>
        <w:t>6.1.4.2.6</w:t>
      </w:r>
      <w:r>
        <w:rPr>
          <w:bCs/>
        </w:rPr>
        <w:tab/>
      </w:r>
      <w:r w:rsidRPr="0060009B">
        <w:t xml:space="preserve">If materials used for body, heads, closures and fittings are not in themselves compatible with the contents to be </w:t>
      </w:r>
      <w:r>
        <w:t>transported</w:t>
      </w:r>
      <w:r w:rsidRPr="0060009B">
        <w:t xml:space="preserve">, suitable internal protective coatings or treatments shall be applied. These coatings or treatments shall retain their protective properties under normal conditions of </w:t>
      </w:r>
      <w:r>
        <w:t>transport</w:t>
      </w:r>
      <w:r w:rsidRPr="0060009B">
        <w:t>.</w:t>
      </w:r>
      <w:r>
        <w:t>”.</w:t>
      </w:r>
    </w:p>
    <w:p w:rsidR="005B6F18" w:rsidRPr="0060009B" w:rsidRDefault="005B6F18" w:rsidP="005B6F18">
      <w:pPr>
        <w:pStyle w:val="SingleTxtG"/>
      </w:pPr>
      <w:r>
        <w:t>Renumber the existing 6.1.4.2.6 and 6.1.4.2.7 as 6.1.4.2.7 and 6.1.4.2.8.</w:t>
      </w:r>
    </w:p>
    <w:p w:rsidR="005B6F18" w:rsidRDefault="005B6F18" w:rsidP="005B6F18">
      <w:pPr>
        <w:pStyle w:val="SingleTxtG"/>
      </w:pPr>
      <w:r w:rsidRPr="007F764E">
        <w:rPr>
          <w:i/>
          <w:iCs/>
        </w:rPr>
        <w:t xml:space="preserve">(Reference document: </w:t>
      </w:r>
      <w:r w:rsidR="009B79E8" w:rsidRPr="00020245">
        <w:rPr>
          <w:i/>
          <w:iCs/>
        </w:rPr>
        <w:t>ST/SG/AC.10/C.3/</w:t>
      </w:r>
      <w:r w:rsidR="009B79E8">
        <w:rPr>
          <w:i/>
          <w:iCs/>
        </w:rPr>
        <w:t>106/Add.1</w:t>
      </w:r>
      <w:r>
        <w:rPr>
          <w:bCs/>
          <w:i/>
          <w:iCs/>
          <w:lang w:val="en-US"/>
        </w:rPr>
        <w:t>)</w:t>
      </w:r>
    </w:p>
    <w:p w:rsidR="005B6F18" w:rsidRDefault="005B6F18" w:rsidP="005B6F18">
      <w:pPr>
        <w:pStyle w:val="SingleTxtG"/>
        <w:spacing w:line="240" w:lineRule="auto"/>
        <w:ind w:right="1135"/>
        <w:rPr>
          <w:iCs/>
          <w:lang w:val="en-US"/>
        </w:rPr>
      </w:pPr>
      <w:r>
        <w:rPr>
          <w:iCs/>
          <w:lang w:val="en-US"/>
        </w:rPr>
        <w:t>Add the following new 6.1.4.3.6:</w:t>
      </w:r>
    </w:p>
    <w:p w:rsidR="005B6F18" w:rsidRDefault="005B6F18" w:rsidP="005B6F18">
      <w:pPr>
        <w:pStyle w:val="SingleTxtG"/>
        <w:rPr>
          <w:lang w:val="en-US"/>
        </w:rPr>
      </w:pPr>
      <w:r>
        <w:rPr>
          <w:lang w:val="en-US"/>
        </w:rPr>
        <w:t>“6.1.4.3.6</w:t>
      </w:r>
      <w:r>
        <w:rPr>
          <w:lang w:val="en-US"/>
        </w:rPr>
        <w:tab/>
      </w:r>
      <w:r w:rsidRPr="0060009B">
        <w:t xml:space="preserve">If materials used for body, heads, closures and fittings are not in themselves compatible with the contents to be </w:t>
      </w:r>
      <w:r>
        <w:t>transported</w:t>
      </w:r>
      <w:r w:rsidRPr="0060009B">
        <w:t xml:space="preserve">, suitable internal protective coatings or treatments shall be applied. These coatings or treatments shall retain their protective properties under normal conditions of </w:t>
      </w:r>
      <w:r>
        <w:t>transport</w:t>
      </w:r>
      <w:r w:rsidRPr="0060009B">
        <w:t>.</w:t>
      </w:r>
      <w:r>
        <w:t>”.</w:t>
      </w:r>
    </w:p>
    <w:p w:rsidR="005B6F18" w:rsidRDefault="005B6F18" w:rsidP="005B6F18">
      <w:pPr>
        <w:pStyle w:val="SingleTxtG"/>
        <w:rPr>
          <w:lang w:val="en-US"/>
        </w:rPr>
      </w:pPr>
      <w:r>
        <w:rPr>
          <w:lang w:val="en-US"/>
        </w:rPr>
        <w:t>Renumber the existing 6.1.4.3.6 and 6.1.4.3.7 as 6.1.4.3.7 and 6.1.4.3.8.</w:t>
      </w:r>
    </w:p>
    <w:p w:rsidR="005B6F18" w:rsidRPr="004631AC" w:rsidRDefault="005B6F18" w:rsidP="00874C04">
      <w:pPr>
        <w:pStyle w:val="SingleTxtG"/>
        <w:spacing w:after="0"/>
        <w:rPr>
          <w:bCs/>
          <w:i/>
          <w:iCs/>
          <w:lang w:val="en-US"/>
        </w:rPr>
      </w:pPr>
      <w:r w:rsidRPr="007F764E">
        <w:rPr>
          <w:i/>
          <w:iCs/>
        </w:rPr>
        <w:t xml:space="preserve">(Reference document: </w:t>
      </w:r>
      <w:r w:rsidR="009B79E8" w:rsidRPr="00020245">
        <w:rPr>
          <w:i/>
          <w:iCs/>
        </w:rPr>
        <w:t>ST/SG/AC.10/C.3/</w:t>
      </w:r>
      <w:r w:rsidR="009B79E8">
        <w:rPr>
          <w:i/>
          <w:iCs/>
        </w:rPr>
        <w:t>106/Add.1</w:t>
      </w:r>
      <w:r>
        <w:rPr>
          <w:bCs/>
          <w:i/>
          <w:iCs/>
          <w:lang w:val="en-US"/>
        </w:rPr>
        <w:t>)</w:t>
      </w:r>
    </w:p>
    <w:p w:rsidR="0089110F" w:rsidRPr="000E4463" w:rsidRDefault="0089110F" w:rsidP="0089110F">
      <w:pPr>
        <w:pStyle w:val="H1G"/>
      </w:pPr>
      <w:r w:rsidRPr="000E4463">
        <w:tab/>
      </w:r>
      <w:r w:rsidRPr="000E4463">
        <w:tab/>
        <w:t>Chapter 6.2</w:t>
      </w:r>
    </w:p>
    <w:p w:rsidR="005B6F18" w:rsidRDefault="005B6F18" w:rsidP="005B6F18">
      <w:pPr>
        <w:pStyle w:val="SingleTxtG"/>
      </w:pPr>
      <w:r>
        <w:rPr>
          <w:lang w:val="en-US"/>
        </w:rPr>
        <w:t>[6.2.2.1.1</w:t>
      </w:r>
      <w:r>
        <w:rPr>
          <w:lang w:val="en-US"/>
        </w:rPr>
        <w:tab/>
      </w:r>
      <w:r>
        <w:t xml:space="preserve">In the table, in the rows for “ISO 11119-3:2002” and “ISO 11119-3:2013” add the following new Note in the second column: </w:t>
      </w:r>
    </w:p>
    <w:p w:rsidR="005B6F18" w:rsidRDefault="005B6F18" w:rsidP="005B6F18">
      <w:pPr>
        <w:pStyle w:val="SingleTxtG"/>
      </w:pPr>
      <w:r w:rsidRPr="00C712F6">
        <w:lastRenderedPageBreak/>
        <w:t>"</w:t>
      </w:r>
      <w:r w:rsidRPr="006C2279">
        <w:rPr>
          <w:b/>
          <w:bCs/>
          <w:i/>
          <w:iCs/>
        </w:rPr>
        <w:t>NOTE:</w:t>
      </w:r>
      <w:r w:rsidRPr="00C712F6">
        <w:tab/>
        <w:t xml:space="preserve">This standard shall not be used for </w:t>
      </w:r>
      <w:r>
        <w:t xml:space="preserve">linerless </w:t>
      </w:r>
      <w:r w:rsidRPr="00C712F6">
        <w:t>cylinders manufactured from two parts joined together".</w:t>
      </w:r>
      <w:r>
        <w:t>]</w:t>
      </w:r>
    </w:p>
    <w:p w:rsidR="005B6F18" w:rsidRPr="00696275" w:rsidRDefault="005B6F18" w:rsidP="005B6F18">
      <w:pPr>
        <w:pStyle w:val="SingleTxtG"/>
        <w:rPr>
          <w:i/>
          <w:iCs/>
          <w:lang w:val="en-US"/>
        </w:rPr>
      </w:pPr>
      <w:r w:rsidRPr="00696275">
        <w:rPr>
          <w:i/>
          <w:iCs/>
          <w:lang w:val="en-US"/>
        </w:rPr>
        <w:t xml:space="preserve">(Reference document: </w:t>
      </w:r>
      <w:r w:rsidR="009B79E8" w:rsidRPr="00020245">
        <w:rPr>
          <w:i/>
          <w:iCs/>
        </w:rPr>
        <w:t>ST/SG/AC.10/C.3/</w:t>
      </w:r>
      <w:r w:rsidR="009B79E8">
        <w:rPr>
          <w:i/>
          <w:iCs/>
        </w:rPr>
        <w:t>106/Add.1</w:t>
      </w:r>
      <w:r w:rsidRPr="00696275">
        <w:rPr>
          <w:i/>
          <w:iCs/>
          <w:lang w:val="en-US"/>
        </w:rPr>
        <w:t>)</w:t>
      </w:r>
    </w:p>
    <w:p w:rsidR="005B6F18" w:rsidRDefault="005B6F18" w:rsidP="005B6F18">
      <w:pPr>
        <w:spacing w:before="120" w:after="120"/>
        <w:ind w:left="1134" w:right="1134"/>
        <w:jc w:val="both"/>
      </w:pPr>
      <w:r>
        <w:t xml:space="preserve">6.2.2.1.1 </w:t>
      </w:r>
      <w:r>
        <w:tab/>
        <w:t>In the table, after “ISO 11119-3:2013”, add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1275"/>
      </w:tblGrid>
      <w:tr w:rsidR="005B6F18" w:rsidRPr="00AA6F5C" w:rsidTr="005B6F18">
        <w:tc>
          <w:tcPr>
            <w:tcW w:w="1384" w:type="dxa"/>
            <w:shd w:val="clear" w:color="auto" w:fill="auto"/>
          </w:tcPr>
          <w:p w:rsidR="005B6F18" w:rsidRPr="00AA6F5C" w:rsidRDefault="005B6F18" w:rsidP="005B6F18">
            <w:pPr>
              <w:spacing w:before="120" w:after="120"/>
            </w:pPr>
            <w:r>
              <w:t>ISO </w:t>
            </w:r>
            <w:r w:rsidRPr="00AA6F5C">
              <w:t>11119-4:</w:t>
            </w:r>
            <w:r>
              <w:t xml:space="preserve"> </w:t>
            </w:r>
            <w:r w:rsidRPr="00AA6F5C">
              <w:t xml:space="preserve">2016 </w:t>
            </w:r>
          </w:p>
        </w:tc>
        <w:tc>
          <w:tcPr>
            <w:tcW w:w="4820" w:type="dxa"/>
            <w:shd w:val="clear" w:color="auto" w:fill="auto"/>
          </w:tcPr>
          <w:p w:rsidR="005B6F18" w:rsidRPr="00AA6F5C" w:rsidRDefault="005B6F18" w:rsidP="005B6F18">
            <w:pPr>
              <w:spacing w:before="120" w:after="120"/>
            </w:pPr>
            <w:r w:rsidRPr="00AA6F5C">
              <w:t>Gas cylinders – Refillable composite gas cylinders – Design, construction and testing – Part 4: Fully wrapped fibre reinforced composite gas cylinders up to 150 l with load-sharing welded metallic liners</w:t>
            </w:r>
          </w:p>
        </w:tc>
        <w:tc>
          <w:tcPr>
            <w:tcW w:w="1275" w:type="dxa"/>
            <w:shd w:val="clear" w:color="auto" w:fill="auto"/>
          </w:tcPr>
          <w:p w:rsidR="005B6F18" w:rsidRPr="00AA6F5C" w:rsidRDefault="005B6F18" w:rsidP="005B6F18">
            <w:pPr>
              <w:spacing w:before="120" w:after="120"/>
            </w:pPr>
            <w:r w:rsidRPr="00AA6F5C">
              <w:t>Until further notice</w:t>
            </w:r>
          </w:p>
        </w:tc>
      </w:tr>
    </w:tbl>
    <w:p w:rsidR="005B6F18" w:rsidRDefault="005B6F18" w:rsidP="005B6F18">
      <w:pPr>
        <w:pStyle w:val="SingleTxtG"/>
        <w:spacing w:before="120"/>
        <w:ind w:left="1138" w:right="1138"/>
        <w:rPr>
          <w:i/>
          <w:iCs/>
        </w:rPr>
      </w:pPr>
      <w:r w:rsidRPr="00CC56EE">
        <w:rPr>
          <w:i/>
          <w:iCs/>
        </w:rPr>
        <w:t>(Reference document</w:t>
      </w:r>
      <w:r w:rsidR="009B79E8">
        <w:rPr>
          <w:i/>
          <w:iCs/>
        </w:rPr>
        <w:t xml:space="preserve">: </w:t>
      </w:r>
      <w:r w:rsidR="009B79E8" w:rsidRPr="00020245">
        <w:rPr>
          <w:i/>
          <w:iCs/>
        </w:rPr>
        <w:t>ST/SG/AC.10/C.3/</w:t>
      </w:r>
      <w:r w:rsidR="009B79E8">
        <w:rPr>
          <w:i/>
          <w:iCs/>
        </w:rPr>
        <w:t>106/Add.1</w:t>
      </w:r>
      <w:r w:rsidRPr="00CC56EE">
        <w:rPr>
          <w:i/>
          <w:iCs/>
        </w:rPr>
        <w:t>)</w:t>
      </w:r>
    </w:p>
    <w:p w:rsidR="005B6F18" w:rsidRDefault="005B6F18" w:rsidP="005B6F18">
      <w:pPr>
        <w:pStyle w:val="SingleTxtG"/>
      </w:pPr>
      <w:r>
        <w:t>[6.2.2.1.2</w:t>
      </w:r>
      <w:r w:rsidRPr="00E87F50">
        <w:tab/>
      </w:r>
      <w:r>
        <w:t>In the table, in the row containing “ISO 11119-3:2013”, add the following new Note in the central column:</w:t>
      </w:r>
    </w:p>
    <w:p w:rsidR="005B6F18" w:rsidRPr="00C712F6" w:rsidRDefault="005B6F18" w:rsidP="005B6F18">
      <w:pPr>
        <w:pStyle w:val="SingleTxtG"/>
      </w:pPr>
      <w:r w:rsidRPr="00C712F6">
        <w:t>"</w:t>
      </w:r>
      <w:r w:rsidRPr="006C2279">
        <w:rPr>
          <w:b/>
          <w:bCs/>
          <w:i/>
          <w:iCs/>
        </w:rPr>
        <w:t>NOTE:</w:t>
      </w:r>
      <w:r w:rsidRPr="00C712F6">
        <w:tab/>
        <w:t xml:space="preserve">This standard shall not be used for </w:t>
      </w:r>
      <w:r>
        <w:t>linerless tubes manufactured from two parts joined together</w:t>
      </w:r>
      <w:r w:rsidRPr="00C712F6">
        <w:t>".</w:t>
      </w:r>
      <w:r>
        <w:t>]</w:t>
      </w:r>
    </w:p>
    <w:p w:rsidR="005B6F18" w:rsidRPr="00696275" w:rsidRDefault="005B6F18" w:rsidP="005B6F18">
      <w:pPr>
        <w:pStyle w:val="SingleTxtG"/>
        <w:rPr>
          <w:i/>
          <w:iCs/>
          <w:lang w:val="en-US"/>
        </w:rPr>
      </w:pPr>
      <w:r w:rsidRPr="00696275">
        <w:rPr>
          <w:i/>
          <w:iCs/>
          <w:lang w:val="en-US"/>
        </w:rPr>
        <w:t xml:space="preserve">(Reference document: </w:t>
      </w:r>
      <w:r w:rsidR="009B79E8" w:rsidRPr="00020245">
        <w:rPr>
          <w:i/>
          <w:iCs/>
        </w:rPr>
        <w:t>ST/SG/AC.10/C.3/</w:t>
      </w:r>
      <w:r w:rsidR="009B79E8">
        <w:rPr>
          <w:i/>
          <w:iCs/>
        </w:rPr>
        <w:t>106/Add.1</w:t>
      </w:r>
      <w:r w:rsidRPr="00696275">
        <w:rPr>
          <w:i/>
          <w:iCs/>
          <w:lang w:val="en-US"/>
        </w:rPr>
        <w:t>)</w:t>
      </w:r>
    </w:p>
    <w:p w:rsidR="00A314F3" w:rsidRDefault="00A314F3" w:rsidP="00A314F3">
      <w:pPr>
        <w:pStyle w:val="SingleTxtG"/>
        <w:spacing w:before="120"/>
        <w:ind w:left="1138" w:right="1138"/>
      </w:pPr>
      <w:r>
        <w:t>6.2.2.1.3</w:t>
      </w:r>
      <w:r>
        <w:tab/>
        <w:t xml:space="preserve">In the table, under “For the cylinder shell” add the following two new rows at the end: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4084"/>
        <w:gridCol w:w="1659"/>
      </w:tblGrid>
      <w:tr w:rsidR="00A314F3" w:rsidRPr="00A03CB5" w:rsidTr="00450213">
        <w:trPr>
          <w:trHeight w:val="262"/>
          <w:jc w:val="center"/>
        </w:trPr>
        <w:tc>
          <w:tcPr>
            <w:tcW w:w="1864" w:type="dxa"/>
            <w:tcMar>
              <w:top w:w="0" w:type="dxa"/>
              <w:left w:w="108" w:type="dxa"/>
              <w:bottom w:w="0" w:type="dxa"/>
              <w:right w:w="108" w:type="dxa"/>
            </w:tcMar>
            <w:hideMark/>
          </w:tcPr>
          <w:p w:rsidR="00A314F3" w:rsidRPr="00A03CB5" w:rsidRDefault="00A314F3" w:rsidP="00450213">
            <w:pPr>
              <w:rPr>
                <w:iCs/>
              </w:rPr>
            </w:pPr>
            <w:r w:rsidRPr="00A03CB5">
              <w:rPr>
                <w:iCs/>
              </w:rPr>
              <w:t>ISO 4706:2008</w:t>
            </w:r>
          </w:p>
        </w:tc>
        <w:tc>
          <w:tcPr>
            <w:tcW w:w="4084" w:type="dxa"/>
            <w:tcMar>
              <w:top w:w="0" w:type="dxa"/>
              <w:left w:w="108" w:type="dxa"/>
              <w:bottom w:w="0" w:type="dxa"/>
              <w:right w:w="108" w:type="dxa"/>
            </w:tcMar>
            <w:hideMark/>
          </w:tcPr>
          <w:p w:rsidR="00A314F3" w:rsidRPr="00A03CB5" w:rsidRDefault="00A314F3" w:rsidP="00450213">
            <w:pPr>
              <w:pStyle w:val="NoSpacing"/>
              <w:rPr>
                <w:sz w:val="20"/>
                <w:szCs w:val="20"/>
              </w:rPr>
            </w:pPr>
            <w:r w:rsidRPr="00A03CB5">
              <w:rPr>
                <w:sz w:val="20"/>
                <w:szCs w:val="20"/>
              </w:rPr>
              <w:t>Gas cylinders – Refillable welded steel cylinders – Test pressure 60 bar and below</w:t>
            </w:r>
          </w:p>
        </w:tc>
        <w:tc>
          <w:tcPr>
            <w:tcW w:w="1659" w:type="dxa"/>
            <w:tcMar>
              <w:top w:w="0" w:type="dxa"/>
              <w:left w:w="108" w:type="dxa"/>
              <w:bottom w:w="0" w:type="dxa"/>
              <w:right w:w="108" w:type="dxa"/>
            </w:tcMar>
            <w:hideMark/>
          </w:tcPr>
          <w:p w:rsidR="00A314F3" w:rsidRPr="00A03CB5" w:rsidRDefault="00A314F3" w:rsidP="00450213">
            <w:pPr>
              <w:rPr>
                <w:iCs/>
              </w:rPr>
            </w:pPr>
            <w:r w:rsidRPr="00A03CB5">
              <w:rPr>
                <w:iCs/>
              </w:rPr>
              <w:t>Until further notice</w:t>
            </w:r>
          </w:p>
        </w:tc>
      </w:tr>
      <w:tr w:rsidR="00A314F3" w:rsidRPr="00A03CB5" w:rsidTr="00450213">
        <w:trPr>
          <w:trHeight w:val="262"/>
          <w:jc w:val="center"/>
        </w:trPr>
        <w:tc>
          <w:tcPr>
            <w:tcW w:w="1864" w:type="dxa"/>
            <w:tcMar>
              <w:top w:w="0" w:type="dxa"/>
              <w:left w:w="108" w:type="dxa"/>
              <w:bottom w:w="0" w:type="dxa"/>
              <w:right w:w="108" w:type="dxa"/>
            </w:tcMar>
          </w:tcPr>
          <w:p w:rsidR="00A314F3" w:rsidRPr="00A03CB5" w:rsidRDefault="00A314F3" w:rsidP="00450213">
            <w:pPr>
              <w:rPr>
                <w:iCs/>
              </w:rPr>
            </w:pPr>
            <w:r w:rsidRPr="00A03CB5">
              <w:rPr>
                <w:iCs/>
              </w:rPr>
              <w:t>ISO 7866:2012 + Cor 1:2014</w:t>
            </w:r>
          </w:p>
        </w:tc>
        <w:tc>
          <w:tcPr>
            <w:tcW w:w="4084" w:type="dxa"/>
            <w:tcMar>
              <w:top w:w="0" w:type="dxa"/>
              <w:left w:w="108" w:type="dxa"/>
              <w:bottom w:w="0" w:type="dxa"/>
              <w:right w:w="108" w:type="dxa"/>
            </w:tcMar>
          </w:tcPr>
          <w:p w:rsidR="00A314F3" w:rsidRPr="00A03CB5" w:rsidRDefault="00A314F3" w:rsidP="00450213">
            <w:pPr>
              <w:pStyle w:val="NoSpacing"/>
              <w:rPr>
                <w:sz w:val="20"/>
                <w:szCs w:val="20"/>
              </w:rPr>
            </w:pPr>
            <w:r w:rsidRPr="00A03CB5">
              <w:rPr>
                <w:sz w:val="20"/>
                <w:szCs w:val="20"/>
              </w:rPr>
              <w:t>Gas cylinders – Refillable seamless aluminum alloy gas cylinders – Design, construction and testing</w:t>
            </w:r>
          </w:p>
          <w:p w:rsidR="00A314F3" w:rsidRPr="00A03CB5" w:rsidRDefault="00A314F3" w:rsidP="00450213">
            <w:pPr>
              <w:pStyle w:val="NoSpacing"/>
              <w:rPr>
                <w:i/>
                <w:sz w:val="20"/>
                <w:szCs w:val="20"/>
              </w:rPr>
            </w:pPr>
            <w:r w:rsidRPr="00A03CB5">
              <w:rPr>
                <w:b/>
                <w:i/>
                <w:sz w:val="20"/>
                <w:szCs w:val="20"/>
              </w:rPr>
              <w:t>NOTE:</w:t>
            </w:r>
            <w:r w:rsidRPr="00A03CB5">
              <w:rPr>
                <w:i/>
                <w:sz w:val="20"/>
                <w:szCs w:val="20"/>
              </w:rPr>
              <w:t xml:space="preserve"> Aluminum alloy 6351A or equivalent shall not be used</w:t>
            </w:r>
          </w:p>
        </w:tc>
        <w:tc>
          <w:tcPr>
            <w:tcW w:w="1659" w:type="dxa"/>
            <w:tcMar>
              <w:top w:w="0" w:type="dxa"/>
              <w:left w:w="108" w:type="dxa"/>
              <w:bottom w:w="0" w:type="dxa"/>
              <w:right w:w="108" w:type="dxa"/>
            </w:tcMar>
          </w:tcPr>
          <w:p w:rsidR="00A314F3" w:rsidRPr="00A03CB5" w:rsidRDefault="00A314F3" w:rsidP="00450213">
            <w:pPr>
              <w:rPr>
                <w:iCs/>
              </w:rPr>
            </w:pPr>
            <w:r w:rsidRPr="00A03CB5">
              <w:rPr>
                <w:iCs/>
              </w:rPr>
              <w:t>Until further notice</w:t>
            </w:r>
          </w:p>
        </w:tc>
      </w:tr>
    </w:tbl>
    <w:p w:rsidR="00A314F3" w:rsidRDefault="00A314F3" w:rsidP="00A314F3">
      <w:pPr>
        <w:pStyle w:val="SingleTxtG"/>
        <w:spacing w:before="120"/>
        <w:ind w:left="1138" w:right="1138"/>
        <w:rPr>
          <w:i/>
          <w:iCs/>
          <w:lang w:val="fr-CH"/>
        </w:rPr>
      </w:pPr>
      <w:r w:rsidRPr="00996742">
        <w:rPr>
          <w:i/>
          <w:iCs/>
          <w:lang w:val="fr-CH"/>
        </w:rPr>
        <w:t xml:space="preserve">(Reference document: </w:t>
      </w:r>
      <w:r w:rsidR="009B79E8" w:rsidRPr="00020245">
        <w:rPr>
          <w:i/>
          <w:iCs/>
        </w:rPr>
        <w:t>ST/SG/AC.10/C.3/</w:t>
      </w:r>
      <w:r w:rsidR="009B79E8">
        <w:rPr>
          <w:i/>
          <w:iCs/>
        </w:rPr>
        <w:t>106/Add.1</w:t>
      </w:r>
      <w:r w:rsidRPr="00996742">
        <w:rPr>
          <w:i/>
          <w:iCs/>
          <w:lang w:val="fr-CH"/>
        </w:rPr>
        <w:t>)</w:t>
      </w:r>
    </w:p>
    <w:p w:rsidR="00A314F3" w:rsidRDefault="00A314F3" w:rsidP="00A314F3">
      <w:pPr>
        <w:pStyle w:val="SingleTxtG"/>
      </w:pPr>
      <w:r>
        <w:t>6.2.2.1.3</w:t>
      </w:r>
      <w:r>
        <w:tab/>
        <w:t>Amend the headline of the second table to read as follows:</w:t>
      </w:r>
    </w:p>
    <w:p w:rsidR="00A314F3" w:rsidRDefault="00A314F3" w:rsidP="00A314F3">
      <w:pPr>
        <w:pStyle w:val="SingleTxtG"/>
      </w:pPr>
      <w:r>
        <w:t>“For the acetylene cylinder including the porous material”.</w:t>
      </w:r>
    </w:p>
    <w:p w:rsidR="005B6F18" w:rsidRPr="004631AC" w:rsidRDefault="00A314F3" w:rsidP="004631AC">
      <w:pPr>
        <w:pStyle w:val="SingleTxtG"/>
        <w:rPr>
          <w:i/>
          <w:iCs/>
          <w:lang w:val="en-US"/>
        </w:rPr>
      </w:pPr>
      <w:r w:rsidRPr="001B36C9">
        <w:rPr>
          <w:i/>
          <w:iCs/>
          <w:lang w:val="en-US"/>
        </w:rPr>
        <w:t xml:space="preserve">(Reference document: </w:t>
      </w:r>
      <w:r w:rsidR="009B79E8" w:rsidRPr="00020245">
        <w:rPr>
          <w:i/>
          <w:iCs/>
        </w:rPr>
        <w:t>ST/SG/AC.10/C.3/</w:t>
      </w:r>
      <w:r w:rsidR="009B79E8">
        <w:rPr>
          <w:i/>
          <w:iCs/>
        </w:rPr>
        <w:t>106/Add.1</w:t>
      </w:r>
      <w:r w:rsidRPr="001B36C9">
        <w:rPr>
          <w:i/>
          <w:iCs/>
          <w:lang w:val="en-US"/>
        </w:rPr>
        <w:t>)</w:t>
      </w:r>
    </w:p>
    <w:p w:rsidR="0089110F" w:rsidRPr="000E4463" w:rsidRDefault="0089110F" w:rsidP="0089110F">
      <w:pPr>
        <w:pStyle w:val="SingleTxtG"/>
        <w:tabs>
          <w:tab w:val="left" w:pos="2268"/>
        </w:tabs>
        <w:rPr>
          <w:bCs/>
        </w:rPr>
      </w:pPr>
      <w:r w:rsidRPr="000E4463">
        <w:rPr>
          <w:bCs/>
        </w:rPr>
        <w:t>6.2.2.2</w:t>
      </w:r>
      <w:r w:rsidRPr="000E4463">
        <w:rPr>
          <w:bCs/>
        </w:rPr>
        <w:tab/>
        <w:t>Replace “ISO 11114-1:2012” by “ISO 11114-1:2012 + Amd 1:2017”.</w:t>
      </w:r>
    </w:p>
    <w:p w:rsidR="0089110F" w:rsidRPr="000E4463" w:rsidRDefault="0089110F" w:rsidP="0089110F">
      <w:pPr>
        <w:pStyle w:val="SingleTxtG"/>
        <w:rPr>
          <w:i/>
        </w:rPr>
      </w:pPr>
      <w:r w:rsidRPr="000E4463">
        <w:rPr>
          <w:bCs/>
          <w:i/>
        </w:rPr>
        <w:t>(Reference document:</w:t>
      </w:r>
      <w:r w:rsidRPr="000E4463">
        <w:rPr>
          <w:i/>
        </w:rPr>
        <w:t xml:space="preserve"> </w:t>
      </w:r>
      <w:r w:rsidR="009B79E8" w:rsidRPr="00020245">
        <w:rPr>
          <w:i/>
          <w:iCs/>
        </w:rPr>
        <w:t>ST/SG/AC.10/C.3/</w:t>
      </w:r>
      <w:r w:rsidR="009B79E8">
        <w:rPr>
          <w:i/>
          <w:iCs/>
        </w:rPr>
        <w:t>102/Add.1</w:t>
      </w:r>
      <w:r w:rsidRPr="000E4463">
        <w:rPr>
          <w:i/>
        </w:rPr>
        <w:t>)</w:t>
      </w:r>
    </w:p>
    <w:p w:rsidR="0089110F" w:rsidRPr="000E4463" w:rsidRDefault="0089110F" w:rsidP="0089110F">
      <w:pPr>
        <w:pStyle w:val="SingleTxtG"/>
      </w:pPr>
      <w:r w:rsidRPr="000E4463">
        <w:t>6.2.2.3</w:t>
      </w:r>
      <w:r w:rsidRPr="000E4463">
        <w:tab/>
      </w:r>
      <w:r w:rsidRPr="000E4463">
        <w:tab/>
        <w:t>In the first table, for ISO 10297:2014, in the column “Applicable for manufacture”, replace “Until further notice” by “Until 31 December 2022”. After the row for ISO 10297:2014 insert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598"/>
      </w:tblGrid>
      <w:tr w:rsidR="0089110F" w:rsidRPr="000E4463" w:rsidTr="003370F1">
        <w:tc>
          <w:tcPr>
            <w:tcW w:w="1741" w:type="dxa"/>
            <w:shd w:val="clear" w:color="auto" w:fill="auto"/>
          </w:tcPr>
          <w:p w:rsidR="0089110F" w:rsidRPr="000E4463" w:rsidRDefault="0089110F" w:rsidP="005B6F18">
            <w:r w:rsidRPr="000E4463">
              <w:t>ISO 10297:2014 + Amd 1:2017</w:t>
            </w:r>
          </w:p>
        </w:tc>
        <w:tc>
          <w:tcPr>
            <w:tcW w:w="4140" w:type="dxa"/>
            <w:shd w:val="clear" w:color="auto" w:fill="auto"/>
          </w:tcPr>
          <w:p w:rsidR="0089110F" w:rsidRPr="000E4463" w:rsidRDefault="0089110F" w:rsidP="005B6F18">
            <w:pPr>
              <w:jc w:val="both"/>
            </w:pPr>
            <w:r w:rsidRPr="000E4463">
              <w:t>Gas cylinders – Cylinder valves – Specification and type testing;</w:t>
            </w:r>
          </w:p>
        </w:tc>
        <w:tc>
          <w:tcPr>
            <w:tcW w:w="1598" w:type="dxa"/>
            <w:shd w:val="clear" w:color="auto" w:fill="auto"/>
          </w:tcPr>
          <w:p w:rsidR="0089110F" w:rsidRPr="000E4463" w:rsidRDefault="0089110F" w:rsidP="005B6F18">
            <w:r w:rsidRPr="000E4463">
              <w:t>Until further notice</w:t>
            </w:r>
          </w:p>
        </w:tc>
      </w:tr>
    </w:tbl>
    <w:p w:rsidR="0089110F" w:rsidRDefault="0089110F" w:rsidP="0089110F">
      <w:pPr>
        <w:pStyle w:val="SingleTxtG"/>
        <w:spacing w:before="120"/>
        <w:rPr>
          <w:i/>
        </w:rPr>
      </w:pPr>
      <w:r w:rsidRPr="000E4463">
        <w:rPr>
          <w:bCs/>
          <w:i/>
        </w:rPr>
        <w:t>(Reference document:</w:t>
      </w:r>
      <w:r w:rsidRPr="000E4463">
        <w:rPr>
          <w:i/>
        </w:rPr>
        <w:t xml:space="preserve"> </w:t>
      </w:r>
      <w:r w:rsidR="009B79E8" w:rsidRPr="00020245">
        <w:rPr>
          <w:i/>
          <w:iCs/>
        </w:rPr>
        <w:t>ST/SG/AC.10/C.3/</w:t>
      </w:r>
      <w:r w:rsidR="009B79E8">
        <w:rPr>
          <w:i/>
          <w:iCs/>
        </w:rPr>
        <w:t>102/Add.1</w:t>
      </w:r>
      <w:r w:rsidRPr="000E4463">
        <w:rPr>
          <w:i/>
        </w:rPr>
        <w:t>)</w:t>
      </w:r>
    </w:p>
    <w:p w:rsidR="00A314F3" w:rsidRDefault="00A314F3" w:rsidP="00A314F3">
      <w:pPr>
        <w:pStyle w:val="SingleTxtG"/>
        <w:spacing w:before="120"/>
        <w:ind w:left="1138" w:right="1138"/>
      </w:pPr>
      <w:r>
        <w:t xml:space="preserve">6.2.2.3 </w:t>
      </w:r>
      <w:r>
        <w:tab/>
        <w:t xml:space="preserve">In the row for ISO 14246:2014 replace “Until further notice” with “Until 31 December 2024”. Insert the following new row after ISO 14246:2014: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620"/>
      </w:tblGrid>
      <w:tr w:rsidR="00A314F3" w:rsidRPr="00AA6F5C" w:rsidTr="003370F1">
        <w:tc>
          <w:tcPr>
            <w:tcW w:w="1741" w:type="dxa"/>
            <w:shd w:val="clear" w:color="auto" w:fill="auto"/>
          </w:tcPr>
          <w:p w:rsidR="00A314F3" w:rsidRPr="00AA6F5C" w:rsidRDefault="00A314F3" w:rsidP="00450213">
            <w:pPr>
              <w:spacing w:before="120" w:after="120"/>
            </w:pPr>
            <w:r>
              <w:t>ISO 14246</w:t>
            </w:r>
            <w:r w:rsidRPr="00AA6F5C">
              <w:t>:201</w:t>
            </w:r>
            <w:r>
              <w:t>4 + Amd 1:2017</w:t>
            </w:r>
            <w:r w:rsidRPr="00AA6F5C">
              <w:t xml:space="preserve"> </w:t>
            </w:r>
          </w:p>
        </w:tc>
        <w:tc>
          <w:tcPr>
            <w:tcW w:w="4140" w:type="dxa"/>
            <w:shd w:val="clear" w:color="auto" w:fill="auto"/>
          </w:tcPr>
          <w:p w:rsidR="00A314F3" w:rsidRPr="00AA6F5C" w:rsidRDefault="00A314F3" w:rsidP="00450213">
            <w:pPr>
              <w:spacing w:before="120" w:after="120"/>
            </w:pPr>
            <w:r w:rsidRPr="00AA6F5C">
              <w:t xml:space="preserve">Gas cylinders – </w:t>
            </w:r>
            <w:r>
              <w:rPr>
                <w:lang w:val="en-US"/>
              </w:rPr>
              <w:t>Cylinder valves –</w:t>
            </w:r>
            <w:r w:rsidRPr="001A3501">
              <w:rPr>
                <w:lang w:val="en-US"/>
              </w:rPr>
              <w:t xml:space="preserve"> Manufacturing tests and examinations</w:t>
            </w:r>
          </w:p>
        </w:tc>
        <w:tc>
          <w:tcPr>
            <w:tcW w:w="1620" w:type="dxa"/>
            <w:shd w:val="clear" w:color="auto" w:fill="auto"/>
          </w:tcPr>
          <w:p w:rsidR="00A314F3" w:rsidRPr="00AA6F5C" w:rsidRDefault="00A314F3" w:rsidP="00450213">
            <w:pPr>
              <w:spacing w:before="120" w:after="120"/>
            </w:pPr>
            <w:r w:rsidRPr="00AA6F5C">
              <w:t>Until further notice</w:t>
            </w:r>
          </w:p>
        </w:tc>
      </w:tr>
    </w:tbl>
    <w:p w:rsidR="00A314F3" w:rsidRDefault="00A314F3" w:rsidP="004631AC">
      <w:pPr>
        <w:pStyle w:val="SingleTxtG"/>
        <w:spacing w:before="120"/>
        <w:ind w:left="1138" w:right="1138"/>
        <w:rPr>
          <w:i/>
          <w:iCs/>
        </w:rPr>
      </w:pPr>
      <w:r w:rsidRPr="00CC56EE">
        <w:rPr>
          <w:i/>
          <w:iCs/>
        </w:rPr>
        <w:t>(Reference document</w:t>
      </w:r>
      <w:r w:rsidR="009B79E8">
        <w:rPr>
          <w:i/>
          <w:iCs/>
        </w:rPr>
        <w:t>:</w:t>
      </w:r>
      <w:r w:rsidRPr="00CC56EE">
        <w:rPr>
          <w:i/>
          <w:iCs/>
        </w:rPr>
        <w:t xml:space="preserve"> </w:t>
      </w:r>
      <w:r w:rsidR="009B79E8" w:rsidRPr="00020245">
        <w:rPr>
          <w:i/>
          <w:iCs/>
        </w:rPr>
        <w:t>ST/SG/AC.10/C.3/</w:t>
      </w:r>
      <w:r w:rsidR="009B79E8">
        <w:rPr>
          <w:i/>
          <w:iCs/>
        </w:rPr>
        <w:t>106/Add.1</w:t>
      </w:r>
      <w:r w:rsidRPr="00CC56EE">
        <w:rPr>
          <w:i/>
          <w:iCs/>
        </w:rPr>
        <w:t>)</w:t>
      </w:r>
    </w:p>
    <w:p w:rsidR="00A314F3" w:rsidRDefault="00A314F3" w:rsidP="00A314F3">
      <w:pPr>
        <w:pStyle w:val="SingleTxtG"/>
      </w:pPr>
      <w:r>
        <w:lastRenderedPageBreak/>
        <w:t xml:space="preserve">6.2.2.4 </w:t>
      </w:r>
      <w:r>
        <w:tab/>
        <w:t>Delete the row for ISO 10462:2005.</w:t>
      </w:r>
    </w:p>
    <w:p w:rsidR="00A314F3" w:rsidRDefault="00A314F3" w:rsidP="00A314F3">
      <w:pPr>
        <w:pStyle w:val="SingleTxtG"/>
        <w:spacing w:before="120"/>
        <w:ind w:left="1138" w:right="1138"/>
        <w:rPr>
          <w:i/>
          <w:iCs/>
        </w:rPr>
      </w:pPr>
      <w:r w:rsidRPr="00CC56EE">
        <w:rPr>
          <w:i/>
          <w:iCs/>
        </w:rPr>
        <w:t>(Reference document</w:t>
      </w:r>
      <w:r w:rsidR="009B79E8">
        <w:rPr>
          <w:i/>
          <w:iCs/>
        </w:rPr>
        <w:t>:</w:t>
      </w:r>
      <w:r w:rsidRPr="00CC56EE">
        <w:rPr>
          <w:i/>
          <w:iCs/>
        </w:rPr>
        <w:t xml:space="preserve"> </w:t>
      </w:r>
      <w:r w:rsidR="009B79E8" w:rsidRPr="00020245">
        <w:rPr>
          <w:i/>
          <w:iCs/>
        </w:rPr>
        <w:t>ST/SG/AC.10/C.3/</w:t>
      </w:r>
      <w:r w:rsidR="009B79E8">
        <w:rPr>
          <w:i/>
          <w:iCs/>
        </w:rPr>
        <w:t>106/Add.1</w:t>
      </w:r>
      <w:r w:rsidRPr="00CC56EE">
        <w:rPr>
          <w:i/>
          <w:iCs/>
        </w:rPr>
        <w:t>)</w:t>
      </w:r>
    </w:p>
    <w:p w:rsidR="002A12F8" w:rsidRDefault="002A12F8" w:rsidP="002A12F8">
      <w:pPr>
        <w:spacing w:after="120"/>
        <w:ind w:left="1134" w:right="1134"/>
        <w:jc w:val="both"/>
      </w:pPr>
      <w:r w:rsidRPr="00E06187">
        <w:t xml:space="preserve">6.2.2.4 </w:t>
      </w:r>
      <w:r>
        <w:tab/>
        <w:t>A</w:t>
      </w:r>
      <w:r w:rsidRPr="00E06187">
        <w:t>dd a new row at the end of the first table im</w:t>
      </w:r>
      <w:r>
        <w:t>mediately after the row for</w:t>
      </w:r>
      <w:r w:rsidRPr="00E06187">
        <w:t xml:space="preserve"> ISO 22434:2006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2A12F8" w:rsidRPr="00AA6F5C" w:rsidTr="00EB5083">
        <w:tc>
          <w:tcPr>
            <w:tcW w:w="1544" w:type="dxa"/>
            <w:shd w:val="clear" w:color="auto" w:fill="auto"/>
          </w:tcPr>
          <w:p w:rsidR="002A12F8" w:rsidRPr="00AA6F5C" w:rsidRDefault="002A12F8" w:rsidP="00EB5083">
            <w:r>
              <w:t>ISO 20475</w:t>
            </w:r>
            <w:r w:rsidRPr="00AA6F5C">
              <w:t>:201</w:t>
            </w:r>
            <w:r>
              <w:t>8</w:t>
            </w:r>
          </w:p>
        </w:tc>
        <w:tc>
          <w:tcPr>
            <w:tcW w:w="4820" w:type="dxa"/>
            <w:shd w:val="clear" w:color="auto" w:fill="auto"/>
          </w:tcPr>
          <w:p w:rsidR="002A12F8" w:rsidRPr="00AA6F5C" w:rsidRDefault="002A12F8" w:rsidP="00EB5083">
            <w:r w:rsidRPr="00F009F4">
              <w:rPr>
                <w:lang w:val="en-US"/>
              </w:rPr>
              <w:t>G</w:t>
            </w:r>
            <w:r>
              <w:rPr>
                <w:lang w:val="en-US"/>
              </w:rPr>
              <w:t>as cylinders – Cylinder bundles –</w:t>
            </w:r>
            <w:r w:rsidRPr="00F009F4">
              <w:rPr>
                <w:lang w:val="en-US"/>
              </w:rPr>
              <w:t xml:space="preserve"> Periodic inspection and testing</w:t>
            </w:r>
          </w:p>
        </w:tc>
        <w:tc>
          <w:tcPr>
            <w:tcW w:w="1275" w:type="dxa"/>
            <w:shd w:val="clear" w:color="auto" w:fill="auto"/>
          </w:tcPr>
          <w:p w:rsidR="002A12F8" w:rsidRPr="00AA6F5C" w:rsidRDefault="002A12F8" w:rsidP="00EB5083">
            <w:r w:rsidRPr="00AA6F5C">
              <w:t>Until further notice</w:t>
            </w:r>
          </w:p>
        </w:tc>
      </w:tr>
    </w:tbl>
    <w:p w:rsidR="002A12F8" w:rsidRDefault="002A12F8" w:rsidP="002A12F8">
      <w:pPr>
        <w:pStyle w:val="SingleTxtG"/>
        <w:spacing w:before="120"/>
        <w:ind w:left="1138" w:right="1138"/>
        <w:rPr>
          <w:i/>
          <w:iCs/>
        </w:rPr>
      </w:pPr>
      <w:r w:rsidRPr="00CC56EE">
        <w:rPr>
          <w:i/>
          <w:iCs/>
        </w:rPr>
        <w:t>(Reference document</w:t>
      </w:r>
      <w:r w:rsidR="009B79E8">
        <w:rPr>
          <w:i/>
          <w:iCs/>
        </w:rPr>
        <w:t>:</w:t>
      </w:r>
      <w:r w:rsidRPr="00CC56EE">
        <w:rPr>
          <w:i/>
          <w:iCs/>
        </w:rPr>
        <w:t xml:space="preserve"> </w:t>
      </w:r>
      <w:r w:rsidR="009B79E8" w:rsidRPr="00020245">
        <w:rPr>
          <w:i/>
          <w:iCs/>
        </w:rPr>
        <w:t>ST/SG/AC.10/C.3/</w:t>
      </w:r>
      <w:r w:rsidR="009B79E8">
        <w:rPr>
          <w:i/>
          <w:iCs/>
        </w:rPr>
        <w:t>106/Add.1</w:t>
      </w:r>
      <w:r w:rsidRPr="00CC56EE">
        <w:rPr>
          <w:i/>
          <w:iCs/>
        </w:rPr>
        <w:t>)</w:t>
      </w:r>
    </w:p>
    <w:p w:rsidR="00A314F3" w:rsidRDefault="00A314F3" w:rsidP="00A314F3">
      <w:pPr>
        <w:pStyle w:val="SingleTxtG"/>
      </w:pPr>
      <w:r>
        <w:t>6.2.2.7.2 (c)</w:t>
      </w:r>
      <w:r>
        <w:tab/>
        <w:t xml:space="preserve">Add the following new </w:t>
      </w:r>
      <w:r w:rsidR="009B79E8">
        <w:t>n</w:t>
      </w:r>
      <w:r>
        <w:t>ote:</w:t>
      </w:r>
    </w:p>
    <w:p w:rsidR="00A314F3" w:rsidRDefault="00A314F3" w:rsidP="00A314F3">
      <w:pPr>
        <w:pStyle w:val="SingleTxtG"/>
      </w:pPr>
      <w:r w:rsidRPr="00A51879">
        <w:t>“</w:t>
      </w:r>
      <w:r w:rsidRPr="006C2279">
        <w:rPr>
          <w:b/>
          <w:bCs/>
          <w:i/>
          <w:iCs/>
        </w:rPr>
        <w:t>NOTE:</w:t>
      </w:r>
      <w:r w:rsidRPr="00A51879">
        <w:t xml:space="preserve"> </w:t>
      </w:r>
      <w:r>
        <w:tab/>
      </w:r>
      <w:r w:rsidRPr="00A51879">
        <w:t xml:space="preserve">For the purpose of this mark the country of approval </w:t>
      </w:r>
      <w:r>
        <w:t>means</w:t>
      </w:r>
      <w:r w:rsidRPr="00A51879">
        <w:t xml:space="preserve"> the country of the competent authority that authorized the initial inspection and test of the individual receptacle at the time of manufacture.”.</w:t>
      </w:r>
    </w:p>
    <w:p w:rsidR="00A314F3" w:rsidRPr="001B36C9" w:rsidRDefault="00A314F3" w:rsidP="00A314F3">
      <w:pPr>
        <w:pStyle w:val="SingleTxtG"/>
        <w:rPr>
          <w:i/>
          <w:iCs/>
          <w:lang w:val="en-US"/>
        </w:rPr>
      </w:pPr>
      <w:r w:rsidRPr="001B36C9">
        <w:rPr>
          <w:i/>
          <w:iCs/>
          <w:lang w:val="en-US"/>
        </w:rPr>
        <w:t xml:space="preserve">(Reference document: </w:t>
      </w:r>
      <w:r w:rsidR="009B79E8" w:rsidRPr="00020245">
        <w:rPr>
          <w:i/>
          <w:iCs/>
        </w:rPr>
        <w:t>ST/SG/AC.10/C.3/</w:t>
      </w:r>
      <w:r w:rsidR="009B79E8">
        <w:rPr>
          <w:i/>
          <w:iCs/>
        </w:rPr>
        <w:t>106/Add.1</w:t>
      </w:r>
      <w:r w:rsidRPr="001B36C9">
        <w:rPr>
          <w:i/>
          <w:iCs/>
          <w:lang w:val="en-US"/>
        </w:rPr>
        <w:t>)</w:t>
      </w:r>
    </w:p>
    <w:p w:rsidR="00A314F3" w:rsidRDefault="00A314F3" w:rsidP="00A314F3">
      <w:pPr>
        <w:pStyle w:val="SingleTxtG"/>
      </w:pPr>
      <w:r>
        <w:t>6.2.2.9.2 (c)</w:t>
      </w:r>
      <w:r>
        <w:tab/>
        <w:t>Add the following new Note:</w:t>
      </w:r>
    </w:p>
    <w:p w:rsidR="00A314F3" w:rsidRDefault="00A314F3" w:rsidP="00A314F3">
      <w:pPr>
        <w:pStyle w:val="SingleTxtG"/>
      </w:pPr>
      <w:r w:rsidRPr="00A51879">
        <w:t>“</w:t>
      </w:r>
      <w:r w:rsidRPr="006C2279">
        <w:rPr>
          <w:b/>
          <w:bCs/>
          <w:i/>
          <w:iCs/>
        </w:rPr>
        <w:t>NOTE:</w:t>
      </w:r>
      <w:r w:rsidRPr="00A51879">
        <w:t xml:space="preserve"> </w:t>
      </w:r>
      <w:r>
        <w:tab/>
      </w:r>
      <w:r w:rsidRPr="00A51879">
        <w:t>For the purpose of this mark the country of approval</w:t>
      </w:r>
      <w:r>
        <w:t xml:space="preserve"> means</w:t>
      </w:r>
      <w:r w:rsidRPr="00A51879">
        <w:t xml:space="preserve"> the country of the competent authority that authorized the initial inspection and test of the individual </w:t>
      </w:r>
      <w:r>
        <w:t>system</w:t>
      </w:r>
      <w:r w:rsidRPr="00A51879">
        <w:t xml:space="preserve"> at the time of manufacture.”.</w:t>
      </w:r>
    </w:p>
    <w:p w:rsidR="00A314F3" w:rsidRPr="004631AC" w:rsidRDefault="00A314F3" w:rsidP="004631AC">
      <w:pPr>
        <w:pStyle w:val="SingleTxtG"/>
        <w:rPr>
          <w:i/>
          <w:iCs/>
          <w:lang w:val="en-US"/>
        </w:rPr>
      </w:pPr>
      <w:r w:rsidRPr="00E96385">
        <w:rPr>
          <w:i/>
          <w:iCs/>
          <w:lang w:val="en-US"/>
        </w:rPr>
        <w:t xml:space="preserve">(Reference document: </w:t>
      </w:r>
      <w:r w:rsidR="008B78EE" w:rsidRPr="00020245">
        <w:rPr>
          <w:i/>
          <w:iCs/>
        </w:rPr>
        <w:t>ST/SG/AC.10/C.3/</w:t>
      </w:r>
      <w:r w:rsidR="008B78EE">
        <w:rPr>
          <w:i/>
          <w:iCs/>
        </w:rPr>
        <w:t>106/Add.1</w:t>
      </w:r>
      <w:r w:rsidRPr="00E96385">
        <w:rPr>
          <w:i/>
          <w:iCs/>
          <w:lang w:val="en-US"/>
        </w:rPr>
        <w:t>)</w:t>
      </w:r>
    </w:p>
    <w:p w:rsidR="0089110F" w:rsidRPr="000E4463" w:rsidRDefault="0089110F" w:rsidP="0089110F">
      <w:pPr>
        <w:pStyle w:val="H1G"/>
      </w:pPr>
      <w:r w:rsidRPr="000E4463">
        <w:tab/>
      </w:r>
      <w:r w:rsidRPr="000E4463">
        <w:tab/>
        <w:t>Chapter 6.3</w:t>
      </w:r>
    </w:p>
    <w:p w:rsidR="0089110F" w:rsidRPr="000E4463" w:rsidRDefault="0089110F" w:rsidP="0089110F">
      <w:pPr>
        <w:pStyle w:val="SingleTxtG"/>
      </w:pPr>
      <w:r w:rsidRPr="000E4463">
        <w:t>[In the title of Chapter 6.3, at the end, add “(UN 2814 and UN 2900)”].</w:t>
      </w:r>
    </w:p>
    <w:p w:rsidR="0089110F" w:rsidRPr="000E4463" w:rsidRDefault="0089110F" w:rsidP="0089110F">
      <w:pPr>
        <w:pStyle w:val="SingleTxtG"/>
        <w:rPr>
          <w:i/>
        </w:rPr>
      </w:pPr>
      <w:r w:rsidRPr="000E4463">
        <w:rPr>
          <w:i/>
        </w:rPr>
        <w:t xml:space="preserve">(Reference document: </w:t>
      </w:r>
      <w:r w:rsidR="00902DEE" w:rsidRPr="00020245">
        <w:rPr>
          <w:i/>
          <w:iCs/>
        </w:rPr>
        <w:t>ST/SG/AC.10/C.3/</w:t>
      </w:r>
      <w:r w:rsidR="00902DEE">
        <w:rPr>
          <w:i/>
          <w:iCs/>
        </w:rPr>
        <w:t>102/Add.1</w:t>
      </w:r>
      <w:r w:rsidRPr="000E4463">
        <w:rPr>
          <w:i/>
        </w:rPr>
        <w:t>)</w:t>
      </w:r>
    </w:p>
    <w:p w:rsidR="0089110F" w:rsidRPr="000E4463" w:rsidRDefault="0089110F" w:rsidP="0089110F">
      <w:pPr>
        <w:pStyle w:val="SingleTxtG"/>
      </w:pPr>
      <w:r w:rsidRPr="000E4463">
        <w:t>[6.3.1.1</w:t>
      </w:r>
      <w:r w:rsidRPr="000E4463">
        <w:tab/>
        <w:t>At the end, add “, UN 2814 and UN 2900”.]</w:t>
      </w:r>
    </w:p>
    <w:p w:rsidR="0089110F" w:rsidRDefault="0089110F" w:rsidP="0089110F">
      <w:pPr>
        <w:pStyle w:val="SingleTxtG"/>
        <w:rPr>
          <w:i/>
        </w:rPr>
      </w:pPr>
      <w:r w:rsidRPr="000E4463">
        <w:rPr>
          <w:i/>
        </w:rPr>
        <w:t xml:space="preserve">(Reference document: </w:t>
      </w:r>
      <w:r w:rsidR="00902DEE" w:rsidRPr="00020245">
        <w:rPr>
          <w:i/>
          <w:iCs/>
        </w:rPr>
        <w:t>ST/SG/AC.10/C.3/</w:t>
      </w:r>
      <w:r w:rsidR="00902DEE">
        <w:rPr>
          <w:i/>
          <w:iCs/>
        </w:rPr>
        <w:t>102/Add.1</w:t>
      </w:r>
      <w:r w:rsidRPr="000E4463">
        <w:rPr>
          <w:i/>
        </w:rPr>
        <w:t>)</w:t>
      </w:r>
    </w:p>
    <w:p w:rsidR="00B87B3F" w:rsidRPr="006D6188" w:rsidRDefault="00B87B3F" w:rsidP="00B87B3F">
      <w:pPr>
        <w:pStyle w:val="SingleTxtG"/>
        <w:rPr>
          <w:lang w:val="en-US"/>
        </w:rPr>
      </w:pPr>
      <w:r w:rsidRPr="006D6188">
        <w:rPr>
          <w:lang w:val="en-US"/>
        </w:rPr>
        <w:t>6.3.5.2.2</w:t>
      </w:r>
      <w:r w:rsidRPr="006D6188">
        <w:rPr>
          <w:lang w:val="en-US"/>
        </w:rPr>
        <w:tab/>
        <w:t xml:space="preserve">In </w:t>
      </w:r>
      <w:r>
        <w:rPr>
          <w:lang w:val="en-US"/>
        </w:rPr>
        <w:t>“</w:t>
      </w:r>
      <w:r w:rsidRPr="006D6188">
        <w:rPr>
          <w:i/>
          <w:iCs/>
          <w:lang w:val="en-US"/>
        </w:rPr>
        <w:t>Explanation for use of the table</w:t>
      </w:r>
      <w:r>
        <w:rPr>
          <w:i/>
          <w:iCs/>
          <w:lang w:val="en-US"/>
        </w:rPr>
        <w:t>”</w:t>
      </w:r>
      <w:r w:rsidRPr="006D6188">
        <w:rPr>
          <w:lang w:val="en-US"/>
        </w:rPr>
        <w:t>,</w:t>
      </w:r>
      <w:r>
        <w:rPr>
          <w:lang w:val="en-US"/>
        </w:rPr>
        <w:t xml:space="preserve"> at the end of the first paragraph, delete “five times after conditioning”.</w:t>
      </w:r>
      <w:r w:rsidRPr="006D6188">
        <w:rPr>
          <w:lang w:val="en-US"/>
        </w:rPr>
        <w:t xml:space="preserve"> </w:t>
      </w:r>
    </w:p>
    <w:p w:rsidR="00B87B3F" w:rsidRPr="001B36C9" w:rsidRDefault="00B87B3F" w:rsidP="00B87B3F">
      <w:pPr>
        <w:pStyle w:val="SingleTxtG"/>
        <w:rPr>
          <w:i/>
          <w:iCs/>
          <w:lang w:val="en-US"/>
        </w:rPr>
      </w:pPr>
      <w:r>
        <w:rPr>
          <w:i/>
          <w:iCs/>
          <w:lang w:val="en-US"/>
        </w:rPr>
        <w:t>(Reference document</w:t>
      </w:r>
      <w:r w:rsidRPr="001B36C9">
        <w:rPr>
          <w:i/>
          <w:iCs/>
          <w:lang w:val="en-US"/>
        </w:rPr>
        <w:t>:</w:t>
      </w:r>
      <w:r w:rsidRPr="006E13CD">
        <w:rPr>
          <w:i/>
          <w:iCs/>
        </w:rPr>
        <w:t xml:space="preserve"> </w:t>
      </w:r>
      <w:r w:rsidR="00902DEE" w:rsidRPr="00020245">
        <w:rPr>
          <w:i/>
          <w:iCs/>
        </w:rPr>
        <w:t>ST/SG/AC.10/C.3/</w:t>
      </w:r>
      <w:r w:rsidR="00902DEE">
        <w:rPr>
          <w:i/>
          <w:iCs/>
        </w:rPr>
        <w:t>106/Add.1</w:t>
      </w:r>
      <w:r w:rsidRPr="001B36C9">
        <w:rPr>
          <w:i/>
          <w:iCs/>
          <w:lang w:val="en-US"/>
        </w:rPr>
        <w:t>)</w:t>
      </w:r>
    </w:p>
    <w:p w:rsidR="00B87B3F" w:rsidRPr="006D6188" w:rsidRDefault="00B87B3F" w:rsidP="00B87B3F">
      <w:pPr>
        <w:pStyle w:val="SingleTxtG"/>
        <w:rPr>
          <w:lang w:val="en-US"/>
        </w:rPr>
      </w:pPr>
      <w:r w:rsidRPr="006D6188">
        <w:rPr>
          <w:lang w:val="en-US"/>
        </w:rPr>
        <w:t>6.3.5.3.1</w:t>
      </w:r>
      <w:r w:rsidRPr="006D6188">
        <w:rPr>
          <w:lang w:val="en-US"/>
        </w:rPr>
        <w:tab/>
        <w:t>Add the follow</w:t>
      </w:r>
      <w:r>
        <w:rPr>
          <w:lang w:val="en-US"/>
        </w:rPr>
        <w:t>ing new title to this paragraph</w:t>
      </w:r>
      <w:r w:rsidRPr="006D6188">
        <w:rPr>
          <w:lang w:val="en-US"/>
        </w:rPr>
        <w:t xml:space="preserve">: </w:t>
      </w:r>
      <w:r>
        <w:rPr>
          <w:lang w:val="en-US"/>
        </w:rPr>
        <w:t>“Drop height and target”.</w:t>
      </w:r>
    </w:p>
    <w:p w:rsidR="00B87B3F" w:rsidRPr="001B36C9" w:rsidRDefault="00B87B3F" w:rsidP="00B87B3F">
      <w:pPr>
        <w:pStyle w:val="SingleTxtG"/>
        <w:rPr>
          <w:i/>
          <w:iCs/>
          <w:lang w:val="en-US"/>
        </w:rPr>
      </w:pPr>
      <w:r>
        <w:rPr>
          <w:i/>
          <w:iCs/>
          <w:lang w:val="en-US"/>
        </w:rPr>
        <w:t>(Reference document</w:t>
      </w:r>
      <w:r w:rsidRPr="001B36C9">
        <w:rPr>
          <w:i/>
          <w:iCs/>
          <w:lang w:val="en-US"/>
        </w:rPr>
        <w:t>:</w:t>
      </w:r>
      <w:r w:rsidRPr="00250E34">
        <w:rPr>
          <w:i/>
          <w:iCs/>
        </w:rPr>
        <w:t xml:space="preserve"> </w:t>
      </w:r>
      <w:r w:rsidR="00902DEE" w:rsidRPr="00020245">
        <w:rPr>
          <w:i/>
          <w:iCs/>
        </w:rPr>
        <w:t>ST/SG/AC.10/C.3/</w:t>
      </w:r>
      <w:r w:rsidR="00902DEE">
        <w:rPr>
          <w:i/>
          <w:iCs/>
        </w:rPr>
        <w:t>106/Add.1</w:t>
      </w:r>
      <w:r w:rsidRPr="001B36C9">
        <w:rPr>
          <w:i/>
          <w:iCs/>
          <w:lang w:val="en-US"/>
        </w:rPr>
        <w:t>)</w:t>
      </w:r>
    </w:p>
    <w:p w:rsidR="00B87B3F" w:rsidRPr="006D6188" w:rsidRDefault="00B87B3F" w:rsidP="00B87B3F">
      <w:pPr>
        <w:pStyle w:val="SingleTxtG"/>
        <w:rPr>
          <w:lang w:val="en-US"/>
        </w:rPr>
      </w:pPr>
      <w:r w:rsidRPr="006D6188">
        <w:rPr>
          <w:lang w:val="en-US"/>
        </w:rPr>
        <w:t>6.3.5.3.2</w:t>
      </w:r>
      <w:r w:rsidRPr="006D6188">
        <w:rPr>
          <w:lang w:val="en-US"/>
        </w:rPr>
        <w:tab/>
        <w:t>Add the follow</w:t>
      </w:r>
      <w:r>
        <w:rPr>
          <w:lang w:val="en-US"/>
        </w:rPr>
        <w:t>ing new title to this paragraph</w:t>
      </w:r>
      <w:r w:rsidRPr="006D6188">
        <w:rPr>
          <w:lang w:val="en-US"/>
        </w:rPr>
        <w:t xml:space="preserve">: </w:t>
      </w:r>
      <w:r>
        <w:rPr>
          <w:lang w:val="en-US"/>
        </w:rPr>
        <w:t>“</w:t>
      </w:r>
      <w:r w:rsidRPr="006D6188">
        <w:rPr>
          <w:lang w:val="en-US"/>
        </w:rPr>
        <w:t>Number of test samples and drop orientation</w:t>
      </w:r>
      <w:r>
        <w:rPr>
          <w:lang w:val="en-US"/>
        </w:rPr>
        <w:t>”. Renumber the text under this paragraph as “6.3.5.3.2.1”.</w:t>
      </w:r>
    </w:p>
    <w:p w:rsidR="00B87B3F" w:rsidRPr="006F6681" w:rsidRDefault="00B87B3F" w:rsidP="00B87B3F">
      <w:pPr>
        <w:pStyle w:val="SingleTxtG"/>
        <w:rPr>
          <w:i/>
          <w:iCs/>
          <w:lang w:val="en-US"/>
        </w:rPr>
      </w:pPr>
      <w:r>
        <w:rPr>
          <w:i/>
          <w:iCs/>
          <w:lang w:val="en-US"/>
        </w:rPr>
        <w:t>(Reference document</w:t>
      </w:r>
      <w:r w:rsidRPr="006F6681">
        <w:rPr>
          <w:i/>
          <w:iCs/>
          <w:lang w:val="en-US"/>
        </w:rPr>
        <w:t xml:space="preserve">: </w:t>
      </w:r>
      <w:r w:rsidR="00902DEE" w:rsidRPr="00020245">
        <w:rPr>
          <w:i/>
          <w:iCs/>
        </w:rPr>
        <w:t>ST/SG/AC.10/C.3/</w:t>
      </w:r>
      <w:r w:rsidR="00902DEE">
        <w:rPr>
          <w:i/>
          <w:iCs/>
        </w:rPr>
        <w:t>106/Add.1</w:t>
      </w:r>
      <w:r w:rsidRPr="006F6681">
        <w:rPr>
          <w:i/>
          <w:iCs/>
          <w:lang w:val="en-US"/>
        </w:rPr>
        <w:t>)</w:t>
      </w:r>
    </w:p>
    <w:p w:rsidR="00B87B3F" w:rsidRPr="00C87103" w:rsidRDefault="00B87B3F" w:rsidP="00B87B3F">
      <w:pPr>
        <w:pStyle w:val="SingleTxtG"/>
        <w:rPr>
          <w:lang w:val="en-US"/>
        </w:rPr>
      </w:pPr>
      <w:r w:rsidRPr="00C87103">
        <w:rPr>
          <w:lang w:val="en-US"/>
        </w:rPr>
        <w:t>6.3.5.3.3</w:t>
      </w:r>
      <w:r w:rsidRPr="00C87103">
        <w:rPr>
          <w:lang w:val="en-US"/>
        </w:rPr>
        <w:tab/>
        <w:t>Renumber as 6.3.5.3.2.2.</w:t>
      </w:r>
    </w:p>
    <w:p w:rsidR="00B87B3F" w:rsidRPr="00195F87" w:rsidRDefault="00B87B3F" w:rsidP="00B87B3F">
      <w:pPr>
        <w:pStyle w:val="SingleTxtG"/>
        <w:rPr>
          <w:i/>
          <w:iCs/>
          <w:lang w:val="en-US"/>
        </w:rPr>
      </w:pPr>
      <w:r>
        <w:rPr>
          <w:i/>
          <w:iCs/>
          <w:lang w:val="en-US"/>
        </w:rPr>
        <w:t>(Reference document</w:t>
      </w:r>
      <w:r w:rsidRPr="00195F87">
        <w:rPr>
          <w:i/>
          <w:iCs/>
          <w:lang w:val="en-US"/>
        </w:rPr>
        <w:t>:</w:t>
      </w:r>
      <w:r w:rsidRPr="00250E34">
        <w:rPr>
          <w:i/>
          <w:iCs/>
        </w:rPr>
        <w:t xml:space="preserve"> </w:t>
      </w:r>
      <w:r w:rsidR="00902DEE" w:rsidRPr="00020245">
        <w:rPr>
          <w:i/>
          <w:iCs/>
        </w:rPr>
        <w:t>ST/SG/AC.10/C.3/</w:t>
      </w:r>
      <w:r w:rsidR="00902DEE">
        <w:rPr>
          <w:i/>
          <w:iCs/>
        </w:rPr>
        <w:t>106/Add.1</w:t>
      </w:r>
      <w:r w:rsidRPr="00195F87">
        <w:rPr>
          <w:i/>
          <w:iCs/>
          <w:lang w:val="en-US"/>
        </w:rPr>
        <w:t>)</w:t>
      </w:r>
    </w:p>
    <w:p w:rsidR="00B87B3F" w:rsidRPr="00C87103" w:rsidRDefault="00B87B3F" w:rsidP="00B87B3F">
      <w:pPr>
        <w:spacing w:before="120" w:after="120" w:line="240" w:lineRule="auto"/>
        <w:ind w:left="1134" w:right="1134"/>
        <w:jc w:val="both"/>
        <w:rPr>
          <w:lang w:val="en-US"/>
        </w:rPr>
      </w:pPr>
      <w:r w:rsidRPr="004F116A">
        <w:rPr>
          <w:lang w:val="en-US"/>
        </w:rPr>
        <w:t>Renumber paragraphs 6.3.5.3.4, 6.3.5.3.5, 6.3.5.3.6, 6.3.5.3.6.1, 6.3.5.3.6.2 and 6.3.5.3.6.3 as 6.3.5.3.3, 6.3.5.3.4, 6.3.5.3.5, 6.3.5.3.5.1, 6.3.5.3.5.2 an</w:t>
      </w:r>
      <w:r>
        <w:rPr>
          <w:lang w:val="en-US"/>
        </w:rPr>
        <w:t>d</w:t>
      </w:r>
      <w:r w:rsidRPr="004F116A">
        <w:rPr>
          <w:lang w:val="en-US"/>
        </w:rPr>
        <w:t xml:space="preserve"> 6.3.5.3.5.3, </w:t>
      </w:r>
      <w:r>
        <w:rPr>
          <w:lang w:val="en-US"/>
        </w:rPr>
        <w:t>respectively</w:t>
      </w:r>
      <w:r w:rsidRPr="004F116A">
        <w:rPr>
          <w:lang w:val="en-US"/>
        </w:rPr>
        <w:t xml:space="preserve">. </w:t>
      </w:r>
      <w:r w:rsidRPr="00C87103">
        <w:rPr>
          <w:lang w:val="en-US"/>
        </w:rPr>
        <w:t xml:space="preserve">Adapt the cross references accordingly as follows: </w:t>
      </w:r>
    </w:p>
    <w:p w:rsidR="00B87B3F" w:rsidRPr="006D6188" w:rsidRDefault="00B87B3F" w:rsidP="00B87B3F">
      <w:pPr>
        <w:spacing w:before="120" w:after="120" w:line="240" w:lineRule="auto"/>
        <w:ind w:left="1134" w:right="1134"/>
        <w:jc w:val="both"/>
        <w:rPr>
          <w:lang w:val="en-US"/>
        </w:rPr>
      </w:pPr>
      <w:r w:rsidRPr="006D6188">
        <w:rPr>
          <w:lang w:val="en-US"/>
        </w:rPr>
        <w:t>In 6.3.5.2.2, in the table, under</w:t>
      </w:r>
      <w:r>
        <w:rPr>
          <w:lang w:val="en-US"/>
        </w:rPr>
        <w:t xml:space="preserve"> “Explanation for the use of the table”</w:t>
      </w:r>
      <w:r w:rsidRPr="006D6188">
        <w:rPr>
          <w:iCs/>
          <w:w w:val="105"/>
          <w:lang w:val="en-US"/>
        </w:rPr>
        <w:t>, replace</w:t>
      </w:r>
      <w:r>
        <w:rPr>
          <w:iCs/>
          <w:w w:val="105"/>
          <w:lang w:val="en-US"/>
        </w:rPr>
        <w:t xml:space="preserve"> “</w:t>
      </w:r>
      <w:r w:rsidRPr="006D6188">
        <w:rPr>
          <w:lang w:val="en-US"/>
        </w:rPr>
        <w:t>6.3.5.3.6.1</w:t>
      </w:r>
      <w:r>
        <w:rPr>
          <w:lang w:val="en-US"/>
        </w:rPr>
        <w:t>”</w:t>
      </w:r>
      <w:r w:rsidRPr="006D6188">
        <w:rPr>
          <w:lang w:val="en-US"/>
        </w:rPr>
        <w:t xml:space="preserve">, </w:t>
      </w:r>
      <w:r>
        <w:rPr>
          <w:lang w:val="en-US"/>
        </w:rPr>
        <w:t>“</w:t>
      </w:r>
      <w:r w:rsidRPr="006D6188">
        <w:rPr>
          <w:lang w:val="en-US"/>
        </w:rPr>
        <w:t>6.3.5.3.6.2</w:t>
      </w:r>
      <w:r>
        <w:rPr>
          <w:lang w:val="en-US"/>
        </w:rPr>
        <w:t>”</w:t>
      </w:r>
      <w:r w:rsidRPr="006D6188">
        <w:rPr>
          <w:lang w:val="en-US"/>
        </w:rPr>
        <w:t xml:space="preserve"> and </w:t>
      </w:r>
      <w:r>
        <w:rPr>
          <w:lang w:val="en-US"/>
        </w:rPr>
        <w:t>“</w:t>
      </w:r>
      <w:r w:rsidRPr="006D6188">
        <w:rPr>
          <w:lang w:val="en-US"/>
        </w:rPr>
        <w:t>6.3.5.3.6.3</w:t>
      </w:r>
      <w:r>
        <w:rPr>
          <w:lang w:val="en-US"/>
        </w:rPr>
        <w:t>”</w:t>
      </w:r>
      <w:r w:rsidRPr="006D6188">
        <w:rPr>
          <w:lang w:val="en-US"/>
        </w:rPr>
        <w:t xml:space="preserve"> by </w:t>
      </w:r>
      <w:r>
        <w:rPr>
          <w:iCs/>
          <w:w w:val="105"/>
          <w:lang w:val="en-US"/>
        </w:rPr>
        <w:t>“</w:t>
      </w:r>
      <w:r w:rsidRPr="006D6188">
        <w:rPr>
          <w:lang w:val="en-US"/>
        </w:rPr>
        <w:t>6.3.5.3.5.1</w:t>
      </w:r>
      <w:r>
        <w:rPr>
          <w:lang w:val="en-US"/>
        </w:rPr>
        <w:t>”, “</w:t>
      </w:r>
      <w:r w:rsidRPr="006D6188">
        <w:rPr>
          <w:lang w:val="en-US"/>
        </w:rPr>
        <w:t>6.3.5.3.5.2</w:t>
      </w:r>
      <w:r>
        <w:rPr>
          <w:lang w:val="en-US"/>
        </w:rPr>
        <w:t>”</w:t>
      </w:r>
      <w:r w:rsidRPr="006D6188">
        <w:rPr>
          <w:lang w:val="en-US"/>
        </w:rPr>
        <w:t xml:space="preserve"> and </w:t>
      </w:r>
      <w:r>
        <w:rPr>
          <w:lang w:val="en-US"/>
        </w:rPr>
        <w:t>“</w:t>
      </w:r>
      <w:r w:rsidRPr="006D6188">
        <w:rPr>
          <w:lang w:val="en-US"/>
        </w:rPr>
        <w:t>6.3.5.3.5.3</w:t>
      </w:r>
      <w:r>
        <w:rPr>
          <w:lang w:val="en-US"/>
        </w:rPr>
        <w:t>”</w:t>
      </w:r>
      <w:r w:rsidRPr="006D6188">
        <w:rPr>
          <w:lang w:val="en-US"/>
        </w:rPr>
        <w:t>, respectively.</w:t>
      </w:r>
    </w:p>
    <w:p w:rsidR="00B87B3F" w:rsidRPr="004F116A" w:rsidRDefault="00B87B3F" w:rsidP="00B87B3F">
      <w:pPr>
        <w:spacing w:before="120" w:after="120" w:line="240" w:lineRule="auto"/>
        <w:ind w:left="1134" w:right="1134"/>
        <w:jc w:val="both"/>
        <w:rPr>
          <w:lang w:val="en-US"/>
        </w:rPr>
      </w:pPr>
      <w:r w:rsidRPr="004F116A">
        <w:rPr>
          <w:lang w:val="en-US"/>
        </w:rPr>
        <w:lastRenderedPageBreak/>
        <w:t xml:space="preserve">In 6.3.5.3.6.3, renumber 6.3.5.3.5.3, replace </w:t>
      </w:r>
      <w:r>
        <w:rPr>
          <w:lang w:val="en-US"/>
        </w:rPr>
        <w:t>“</w:t>
      </w:r>
      <w:r w:rsidRPr="004F116A">
        <w:rPr>
          <w:lang w:val="en-US"/>
        </w:rPr>
        <w:t>6.3.5.3.6.1</w:t>
      </w:r>
      <w:r>
        <w:rPr>
          <w:lang w:val="en-US"/>
        </w:rPr>
        <w:t>”</w:t>
      </w:r>
      <w:r w:rsidRPr="004F116A">
        <w:rPr>
          <w:lang w:val="en-US"/>
        </w:rPr>
        <w:t xml:space="preserve"> and</w:t>
      </w:r>
      <w:r>
        <w:rPr>
          <w:lang w:val="en-US"/>
        </w:rPr>
        <w:t xml:space="preserve"> “</w:t>
      </w:r>
      <w:r w:rsidRPr="004F116A">
        <w:rPr>
          <w:lang w:val="en-US"/>
        </w:rPr>
        <w:t>6.3.5.3.6.2</w:t>
      </w:r>
      <w:r>
        <w:rPr>
          <w:lang w:val="en-US"/>
        </w:rPr>
        <w:t>”</w:t>
      </w:r>
      <w:r w:rsidRPr="004F116A">
        <w:rPr>
          <w:lang w:val="en-US"/>
        </w:rPr>
        <w:t xml:space="preserve"> by</w:t>
      </w:r>
      <w:r>
        <w:rPr>
          <w:lang w:val="en-US"/>
        </w:rPr>
        <w:t xml:space="preserve"> “</w:t>
      </w:r>
      <w:r w:rsidRPr="004F116A">
        <w:rPr>
          <w:lang w:val="en-US"/>
        </w:rPr>
        <w:t>6.3.5.3.5.1</w:t>
      </w:r>
      <w:r>
        <w:rPr>
          <w:lang w:val="en-US"/>
        </w:rPr>
        <w:t>”</w:t>
      </w:r>
      <w:r w:rsidRPr="004F116A">
        <w:rPr>
          <w:lang w:val="en-US"/>
        </w:rPr>
        <w:t xml:space="preserve"> </w:t>
      </w:r>
      <w:r>
        <w:rPr>
          <w:lang w:val="en-US"/>
        </w:rPr>
        <w:t>and “</w:t>
      </w:r>
      <w:r w:rsidRPr="004F116A">
        <w:rPr>
          <w:lang w:val="en-US"/>
        </w:rPr>
        <w:t>6.3.5.3.5.2</w:t>
      </w:r>
      <w:r>
        <w:rPr>
          <w:lang w:val="en-US"/>
        </w:rPr>
        <w:t>”</w:t>
      </w:r>
      <w:r w:rsidRPr="004F116A">
        <w:rPr>
          <w:lang w:val="en-US"/>
        </w:rPr>
        <w:t xml:space="preserve">, </w:t>
      </w:r>
      <w:r>
        <w:rPr>
          <w:lang w:val="en-US"/>
        </w:rPr>
        <w:t>respectively.</w:t>
      </w:r>
      <w:r w:rsidRPr="004F116A">
        <w:rPr>
          <w:lang w:val="en-US"/>
        </w:rPr>
        <w:t xml:space="preserve"> At the end, replace </w:t>
      </w:r>
      <w:r>
        <w:rPr>
          <w:lang w:val="en-US"/>
        </w:rPr>
        <w:t>“</w:t>
      </w:r>
      <w:r w:rsidRPr="004F116A">
        <w:rPr>
          <w:lang w:val="en-US"/>
        </w:rPr>
        <w:t>in 6.3.5.3.2</w:t>
      </w:r>
      <w:r>
        <w:rPr>
          <w:lang w:val="en-US"/>
        </w:rPr>
        <w:t>”</w:t>
      </w:r>
      <w:r w:rsidRPr="004F116A">
        <w:rPr>
          <w:lang w:val="en-US"/>
        </w:rPr>
        <w:t xml:space="preserve"> by </w:t>
      </w:r>
      <w:r>
        <w:rPr>
          <w:lang w:val="en-US"/>
        </w:rPr>
        <w:t>“</w:t>
      </w:r>
      <w:r w:rsidRPr="004F116A">
        <w:rPr>
          <w:lang w:val="en-US"/>
        </w:rPr>
        <w:t xml:space="preserve">in 6.3.5.3.2.1 </w:t>
      </w:r>
      <w:r>
        <w:rPr>
          <w:lang w:val="en-US"/>
        </w:rPr>
        <w:t>or in</w:t>
      </w:r>
      <w:r w:rsidRPr="004F116A">
        <w:rPr>
          <w:lang w:val="en-US"/>
        </w:rPr>
        <w:t xml:space="preserve"> 6.3.5.3.2.2, </w:t>
      </w:r>
      <w:r>
        <w:rPr>
          <w:lang w:val="en-US"/>
        </w:rPr>
        <w:t>as appropriate;”</w:t>
      </w:r>
      <w:r w:rsidRPr="004F116A">
        <w:rPr>
          <w:lang w:val="en-US"/>
        </w:rPr>
        <w:t>.</w:t>
      </w:r>
    </w:p>
    <w:p w:rsidR="00B87B3F" w:rsidRDefault="00B87B3F" w:rsidP="00B87B3F">
      <w:pPr>
        <w:spacing w:before="120" w:after="120" w:line="240" w:lineRule="auto"/>
        <w:ind w:left="1134" w:right="1134"/>
        <w:jc w:val="both"/>
        <w:rPr>
          <w:i/>
          <w:iCs/>
          <w:lang w:val="en-US"/>
        </w:rPr>
      </w:pPr>
      <w:r>
        <w:rPr>
          <w:i/>
          <w:iCs/>
          <w:lang w:val="en-US"/>
        </w:rPr>
        <w:t>(Reference document</w:t>
      </w:r>
      <w:r w:rsidRPr="001E6DE2">
        <w:rPr>
          <w:i/>
          <w:iCs/>
          <w:lang w:val="en-US"/>
        </w:rPr>
        <w:t xml:space="preserve">: </w:t>
      </w:r>
      <w:r w:rsidR="00902DEE" w:rsidRPr="00020245">
        <w:rPr>
          <w:i/>
          <w:iCs/>
        </w:rPr>
        <w:t>ST/SG/AC.10/C.3/</w:t>
      </w:r>
      <w:r w:rsidR="00902DEE">
        <w:rPr>
          <w:i/>
          <w:iCs/>
        </w:rPr>
        <w:t>106/Add.1</w:t>
      </w:r>
      <w:r w:rsidRPr="001E6DE2">
        <w:rPr>
          <w:i/>
          <w:iCs/>
          <w:lang w:val="en-US"/>
        </w:rPr>
        <w:t>)</w:t>
      </w:r>
    </w:p>
    <w:p w:rsidR="00B562D6" w:rsidRPr="007D36A1" w:rsidRDefault="00B562D6" w:rsidP="002A575D">
      <w:pPr>
        <w:pStyle w:val="H1G"/>
      </w:pPr>
      <w:r>
        <w:tab/>
      </w:r>
      <w:r>
        <w:tab/>
      </w:r>
      <w:r w:rsidRPr="007D36A1">
        <w:t>Chapter 6.4</w:t>
      </w:r>
    </w:p>
    <w:p w:rsidR="00B562D6" w:rsidRPr="007D36A1" w:rsidRDefault="00B562D6" w:rsidP="00B562D6">
      <w:pPr>
        <w:pStyle w:val="SingleTxtG"/>
        <w:tabs>
          <w:tab w:val="left" w:pos="2268"/>
        </w:tabs>
      </w:pPr>
      <w:r w:rsidRPr="007D36A1">
        <w:t>6.4.2.4</w:t>
      </w:r>
      <w:r w:rsidRPr="007D36A1">
        <w:tab/>
      </w:r>
      <w:r w:rsidRPr="007D36A1">
        <w:tab/>
        <w:t>Delete “and finished”.</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t>6.4.2.8</w:t>
      </w:r>
      <w:r>
        <w:tab/>
      </w:r>
      <w:r w:rsidRPr="007D36A1">
        <w:t xml:space="preserve">Insert a </w:t>
      </w:r>
      <w:r>
        <w:t xml:space="preserve">the following </w:t>
      </w:r>
      <w:r w:rsidRPr="007D36A1">
        <w:t xml:space="preserve">new </w:t>
      </w:r>
      <w:r>
        <w:t>paragraph</w:t>
      </w:r>
      <w:r w:rsidRPr="007D36A1">
        <w:t xml:space="preserve"> to read as follows:</w:t>
      </w:r>
    </w:p>
    <w:p w:rsidR="00B562D6" w:rsidRPr="007D36A1" w:rsidRDefault="00B562D6" w:rsidP="00B562D6">
      <w:pPr>
        <w:pStyle w:val="SingleTxtG"/>
        <w:tabs>
          <w:tab w:val="left" w:pos="2268"/>
        </w:tabs>
      </w:pPr>
      <w:r w:rsidRPr="007D36A1">
        <w:t>“6.4.2.8</w:t>
      </w:r>
      <w:r w:rsidRPr="007D36A1">
        <w:tab/>
        <w:t>The design of the package shall take into account ageing mechanisms.”.</w:t>
      </w:r>
    </w:p>
    <w:p w:rsidR="00B562D6" w:rsidRPr="007D36A1" w:rsidRDefault="00B562D6" w:rsidP="00B562D6">
      <w:pPr>
        <w:pStyle w:val="SingleTxtG"/>
        <w:tabs>
          <w:tab w:val="left" w:pos="2268"/>
        </w:tabs>
      </w:pPr>
      <w:r w:rsidRPr="007D36A1">
        <w:t>In 6.4.2, renumber subsequent paragraphs accordingly.</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6.4.4</w:t>
      </w:r>
      <w:r w:rsidRPr="007D36A1">
        <w:tab/>
      </w:r>
      <w:r w:rsidRPr="007D36A1">
        <w:tab/>
        <w:t>Amend to read as follows:</w:t>
      </w:r>
    </w:p>
    <w:p w:rsidR="00B562D6" w:rsidRPr="007D36A1" w:rsidRDefault="00B562D6" w:rsidP="00B562D6">
      <w:pPr>
        <w:pStyle w:val="SingleTxtG"/>
        <w:tabs>
          <w:tab w:val="left" w:pos="2268"/>
        </w:tabs>
      </w:pPr>
      <w:r w:rsidRPr="007D36A1">
        <w:t>“An excepted package shall be designed to meet the requirements specified in 6.4.2.1-6.4.2.12 and, in addition, the requirements of 6.4.7.2 if it contains fissile material allowed by one of the provisions of sub-paragraphs (a)–(f) of 2.7.2.3.5, and the requirements of 6.4.3 if carried by air.”.</w:t>
      </w:r>
    </w:p>
    <w:p w:rsidR="00091ABA"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6.4.5.4.3</w:t>
      </w:r>
      <w:r w:rsidRPr="007D36A1">
        <w:tab/>
        <w:t>Delete “liquids and gases” in first sentence.   Replace “Table 4.1.9.2.4” by “Table 4.1.9.2.5”.</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6.4.6.2</w:t>
      </w:r>
      <w:r w:rsidRPr="007D36A1">
        <w:tab/>
      </w:r>
      <w:r w:rsidRPr="007D36A1">
        <w:tab/>
        <w:t xml:space="preserve">Replace “it would meet” by “the package would meet” in the introductory sentence. </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6.4.7.9</w:t>
      </w:r>
      <w:r w:rsidRPr="007D36A1">
        <w:tab/>
        <w:t>Replace “it shall be capable” by “the containment system shall be capable”.</w:t>
      </w:r>
    </w:p>
    <w:p w:rsidR="00091ABA"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6.4.7.17</w:t>
      </w:r>
      <w:r w:rsidRPr="007D36A1">
        <w:tab/>
        <w:t>Amend to read as follows:</w:t>
      </w:r>
    </w:p>
    <w:p w:rsidR="00B562D6" w:rsidRPr="007D36A1" w:rsidRDefault="00B562D6" w:rsidP="00B562D6">
      <w:pPr>
        <w:pStyle w:val="SingleTxtG"/>
        <w:tabs>
          <w:tab w:val="left" w:pos="2268"/>
        </w:tabs>
      </w:pPr>
      <w:r w:rsidRPr="007D36A1">
        <w:t xml:space="preserve">“A Type A package designed for gases shall prevent loss or dispersal of the radioactive contents if the package were subjected to the tests specified in 6.4.16, except for a Type A package designed for tritium gas or for noble gases.” </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6.4.8.2</w:t>
      </w:r>
      <w:r w:rsidRPr="007D36A1">
        <w:tab/>
      </w:r>
      <w:r w:rsidRPr="007D36A1">
        <w:tab/>
        <w:t xml:space="preserve">Replace “Lessen the efficiency” by “Lessening of the efficiency”. </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6.4.8.8</w:t>
      </w:r>
      <w:r w:rsidRPr="007D36A1">
        <w:tab/>
      </w:r>
      <w:r w:rsidRPr="007D36A1">
        <w:tab/>
        <w:t>In the first indent after the sub-paragraphs, replace “radiation level” by “dose rate”. Add “none-fixed” before “contamination limits” in the last sentence.</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t>6.4.9.1</w:t>
      </w:r>
      <w:r>
        <w:tab/>
        <w:t>Delete “</w:t>
      </w:r>
      <w:r w:rsidRPr="007D36A1">
        <w:t>Notwithstanding,” at the beginning of the second sentence.</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6.4.11.2</w:t>
      </w:r>
      <w:r w:rsidRPr="007D36A1">
        <w:tab/>
        <w:t>Replace “maximum mass” with “total mass” in sub-paragraph (c) (iv).</w:t>
      </w:r>
    </w:p>
    <w:p w:rsidR="00B562D6" w:rsidRPr="007D36A1" w:rsidRDefault="00B562D6" w:rsidP="00B562D6">
      <w:pPr>
        <w:pStyle w:val="SingleTxtG"/>
        <w:tabs>
          <w:tab w:val="left" w:pos="2268"/>
        </w:tabs>
      </w:pPr>
      <w:r w:rsidRPr="007D36A1">
        <w:lastRenderedPageBreak/>
        <w:t>In sub-paragraph (d) replace “their total concentration” by “the total concentration of these materials”.</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6.4.11.8</w:t>
      </w:r>
      <w:r w:rsidRPr="007D36A1">
        <w:tab/>
        <w:t>In sub-paragraph (b) (i), after “between the valve” add “or the plug” and, at the end, after “the valves” add “and the plug”.</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6.4.11.11</w:t>
      </w:r>
      <w:r w:rsidRPr="007D36A1">
        <w:tab/>
        <w:t>Amend sub-paragraph (b) as follows:</w:t>
      </w:r>
    </w:p>
    <w:p w:rsidR="00B562D6" w:rsidRPr="007D36A1" w:rsidRDefault="00B562D6" w:rsidP="00B562D6">
      <w:pPr>
        <w:pStyle w:val="SingleTxtG"/>
        <w:tabs>
          <w:tab w:val="left" w:pos="2268"/>
        </w:tabs>
      </w:pPr>
      <w:r w:rsidRPr="007D36A1">
        <w:t xml:space="preserve">“(b) In the assessment of 6.4.11.10, use of special features as specified in 6.4.11.8 is allowed provided that leakage of water into or out of the void spaces is prevented when the package is submitted to the Type C package tests specified in 6.4.20.1 followed by the water leakage test specified in 6.4.19.3.” </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6.4.12.1</w:t>
      </w:r>
      <w:r w:rsidRPr="007D36A1">
        <w:tab/>
        <w:t>Delete “LSA-III material, or” at the beginning of sub-paragraph (a).</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6.4.13</w:t>
      </w:r>
      <w:r w:rsidRPr="007D36A1">
        <w:tab/>
      </w:r>
      <w:r w:rsidRPr="007D36A1">
        <w:tab/>
        <w:t>Amend the introductory sentence to read as follows:</w:t>
      </w:r>
    </w:p>
    <w:p w:rsidR="00B562D6" w:rsidRPr="007D36A1" w:rsidRDefault="00B562D6" w:rsidP="00B562D6">
      <w:pPr>
        <w:pStyle w:val="SingleTxtG"/>
        <w:tabs>
          <w:tab w:val="left" w:pos="2268"/>
        </w:tabs>
      </w:pPr>
      <w:r w:rsidRPr="007D36A1">
        <w:t xml:space="preserve">“After each test or group of tests or sequence of the applicable tests, as appropriate, specified in 6.4.15 to 6.4.21:” </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6.4.15.4</w:t>
      </w:r>
      <w:r w:rsidRPr="007D36A1">
        <w:tab/>
        <w:t>In sub-paragraph (a), at the beginning, replace “of drop” by “of the drop,” and add a comma after “of the target”.</w:t>
      </w:r>
    </w:p>
    <w:p w:rsidR="00091ABA"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6.4.15.6</w:t>
      </w:r>
      <w:r w:rsidRPr="007D36A1">
        <w:tab/>
        <w:t xml:space="preserve">In sub-paragraph (b) replace “of drop” by “of the drop” and add commas before “measured” and after “of the specimen”. </w:t>
      </w:r>
    </w:p>
    <w:p w:rsidR="00B562D6" w:rsidRPr="007D36A1"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6.4.17.2</w:t>
      </w:r>
      <w:r w:rsidRPr="007D36A1">
        <w:tab/>
        <w:t>In sub-paragraph (b), in the third sentence, replace “section” by “cross-section”.</w:t>
      </w:r>
    </w:p>
    <w:p w:rsidR="00091ABA"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6.4.17.3</w:t>
      </w:r>
      <w:r w:rsidRPr="007D36A1">
        <w:tab/>
        <w:t>In sub-paragraph (b), replace “are everywhere decreasing” by “are decreasing in all parts of the specimen”.</w:t>
      </w:r>
    </w:p>
    <w:p w:rsidR="00091ABA"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After 6.4.23.2</w:t>
      </w:r>
      <w:r w:rsidRPr="007D36A1">
        <w:tab/>
      </w:r>
      <w:r w:rsidR="00AD4A11">
        <w:tab/>
      </w:r>
      <w:r w:rsidR="00AD4A11">
        <w:tab/>
      </w:r>
      <w:r w:rsidRPr="007D36A1">
        <w:t>Add new paragraph 6.4.23.2.1 to read as follows:</w:t>
      </w:r>
    </w:p>
    <w:p w:rsidR="00B562D6" w:rsidRPr="007D36A1" w:rsidRDefault="00B562D6" w:rsidP="00B562D6">
      <w:pPr>
        <w:pStyle w:val="SingleTxtG"/>
        <w:tabs>
          <w:tab w:val="left" w:pos="2268"/>
        </w:tabs>
      </w:pPr>
      <w:r w:rsidRPr="007D36A1">
        <w:t>“6.4.23.2.1</w:t>
      </w:r>
      <w:r w:rsidRPr="007D36A1">
        <w:tab/>
        <w:t>An application for approval of SCO-III shipments shall include:</w:t>
      </w:r>
    </w:p>
    <w:p w:rsidR="00B562D6" w:rsidRPr="007D36A1" w:rsidRDefault="00B562D6" w:rsidP="00B562D6">
      <w:pPr>
        <w:pStyle w:val="SingleTxtG"/>
        <w:tabs>
          <w:tab w:val="left" w:pos="2268"/>
        </w:tabs>
      </w:pPr>
      <w:r w:rsidRPr="007D36A1">
        <w:t>(a)</w:t>
      </w:r>
      <w:r w:rsidRPr="007D36A1">
        <w:tab/>
        <w:t>A statement of the respects in which, and of the reasons why, the consignment is considered SCO-III;</w:t>
      </w:r>
    </w:p>
    <w:p w:rsidR="00B562D6" w:rsidRPr="007D36A1" w:rsidRDefault="00B562D6" w:rsidP="00B562D6">
      <w:pPr>
        <w:pStyle w:val="SingleTxtG"/>
        <w:tabs>
          <w:tab w:val="left" w:pos="2268"/>
        </w:tabs>
      </w:pPr>
      <w:r w:rsidRPr="007D36A1">
        <w:t>(b)</w:t>
      </w:r>
      <w:r w:rsidRPr="007D36A1">
        <w:tab/>
        <w:t>Justification for choosing SCO-III by demonstrating that:</w:t>
      </w:r>
    </w:p>
    <w:p w:rsidR="00B562D6" w:rsidRPr="007D36A1" w:rsidRDefault="00B562D6" w:rsidP="00B562D6">
      <w:pPr>
        <w:pStyle w:val="SingleTxtG"/>
        <w:tabs>
          <w:tab w:val="left" w:pos="2268"/>
        </w:tabs>
        <w:ind w:left="2268"/>
      </w:pPr>
      <w:r w:rsidRPr="007D36A1">
        <w:t>(i)</w:t>
      </w:r>
      <w:r w:rsidRPr="007D36A1">
        <w:tab/>
        <w:t>No suitable packaging currently exists;</w:t>
      </w:r>
    </w:p>
    <w:p w:rsidR="00B562D6" w:rsidRPr="007D36A1" w:rsidRDefault="00B562D6" w:rsidP="00B562D6">
      <w:pPr>
        <w:pStyle w:val="SingleTxtG"/>
        <w:tabs>
          <w:tab w:val="left" w:pos="2268"/>
        </w:tabs>
        <w:ind w:left="2268"/>
      </w:pPr>
      <w:r w:rsidRPr="007D36A1">
        <w:t>(ii)</w:t>
      </w:r>
      <w:r w:rsidRPr="007D36A1">
        <w:tab/>
        <w:t>Designing and/or constructing a packaging or segmenting the object is not practically, technically or economically feasible;</w:t>
      </w:r>
    </w:p>
    <w:p w:rsidR="00B562D6" w:rsidRPr="007D36A1" w:rsidRDefault="00B562D6" w:rsidP="00B562D6">
      <w:pPr>
        <w:pStyle w:val="SingleTxtG"/>
        <w:tabs>
          <w:tab w:val="left" w:pos="2268"/>
        </w:tabs>
        <w:ind w:left="2268"/>
      </w:pPr>
      <w:r w:rsidRPr="007D36A1">
        <w:t>(iii)</w:t>
      </w:r>
      <w:r w:rsidRPr="007D36A1">
        <w:tab/>
        <w:t>No other viable alternative exists;</w:t>
      </w:r>
    </w:p>
    <w:p w:rsidR="00B562D6" w:rsidRPr="007D36A1" w:rsidRDefault="00B562D6" w:rsidP="00B562D6">
      <w:pPr>
        <w:pStyle w:val="SingleTxtG"/>
        <w:tabs>
          <w:tab w:val="left" w:pos="2268"/>
        </w:tabs>
      </w:pPr>
      <w:r w:rsidRPr="007D36A1">
        <w:lastRenderedPageBreak/>
        <w:t>(c)</w:t>
      </w:r>
      <w:r w:rsidRPr="007D36A1">
        <w:tab/>
        <w:t>A detailed description of the proposed radioactive contents with reference to their physical and chemical states and the nature of the radiation emitted;</w:t>
      </w:r>
    </w:p>
    <w:p w:rsidR="00B562D6" w:rsidRPr="007D36A1" w:rsidRDefault="00B562D6" w:rsidP="00B562D6">
      <w:pPr>
        <w:pStyle w:val="SingleTxtG"/>
        <w:tabs>
          <w:tab w:val="left" w:pos="2268"/>
        </w:tabs>
      </w:pPr>
      <w:r w:rsidRPr="007D36A1">
        <w:t xml:space="preserve">(d) </w:t>
      </w:r>
      <w:r w:rsidRPr="007D36A1">
        <w:tab/>
        <w:t>A detailed statement of the design of the SCO-III, including complete engineering drawings and schedules of materials and methods of manufacture;</w:t>
      </w:r>
    </w:p>
    <w:p w:rsidR="00B562D6" w:rsidRPr="007D36A1" w:rsidRDefault="00B562D6" w:rsidP="00B562D6">
      <w:pPr>
        <w:pStyle w:val="SingleTxtG"/>
        <w:tabs>
          <w:tab w:val="left" w:pos="2268"/>
        </w:tabs>
      </w:pPr>
      <w:r w:rsidRPr="007D36A1">
        <w:t>(e)</w:t>
      </w:r>
      <w:r w:rsidRPr="007D36A1">
        <w:tab/>
        <w:t>All information necessary to satisfy the competent authority that the requirements of 4.1.9.2.4 (e) and the requirements of 7.1.8.2, if applicable, are satisfied;</w:t>
      </w:r>
    </w:p>
    <w:p w:rsidR="00B562D6" w:rsidRPr="007D36A1" w:rsidRDefault="00B562D6" w:rsidP="00B562D6">
      <w:pPr>
        <w:pStyle w:val="SingleTxtG"/>
        <w:tabs>
          <w:tab w:val="left" w:pos="2268"/>
        </w:tabs>
      </w:pPr>
      <w:r w:rsidRPr="007D36A1">
        <w:t xml:space="preserve">(f) </w:t>
      </w:r>
      <w:r w:rsidRPr="007D36A1">
        <w:tab/>
        <w:t>A transport plan;</w:t>
      </w:r>
    </w:p>
    <w:p w:rsidR="00B562D6" w:rsidRPr="007D36A1" w:rsidRDefault="00B562D6" w:rsidP="00B562D6">
      <w:pPr>
        <w:pStyle w:val="SingleTxtG"/>
        <w:tabs>
          <w:tab w:val="left" w:pos="2268"/>
        </w:tabs>
      </w:pPr>
      <w:r w:rsidRPr="007D36A1">
        <w:t xml:space="preserve">(g) </w:t>
      </w:r>
      <w:r w:rsidRPr="007D36A1">
        <w:tab/>
        <w:t>A specification of the applicable management system as required in 1.5.3.1.”.</w:t>
      </w:r>
    </w:p>
    <w:p w:rsidR="00B562D6" w:rsidRPr="007D36A1" w:rsidRDefault="00B562D6" w:rsidP="00B562D6">
      <w:pPr>
        <w:pStyle w:val="SingleTxtG"/>
        <w:tabs>
          <w:tab w:val="left" w:pos="2268"/>
        </w:tabs>
        <w:rPr>
          <w:i/>
        </w:rPr>
      </w:pPr>
      <w:r>
        <w:rPr>
          <w:i/>
        </w:rPr>
        <w:t>(Reference document: ST/SG/AC.10/C.3/2018/54, as amended)</w:t>
      </w:r>
    </w:p>
    <w:p w:rsidR="00B562D6" w:rsidRPr="007D36A1" w:rsidRDefault="00B562D6" w:rsidP="00B562D6">
      <w:pPr>
        <w:pStyle w:val="SingleTxtG"/>
        <w:tabs>
          <w:tab w:val="left" w:pos="2268"/>
        </w:tabs>
      </w:pPr>
      <w:r w:rsidRPr="007D36A1">
        <w:t>6.4.23.4</w:t>
      </w:r>
      <w:r w:rsidRPr="007D36A1">
        <w:tab/>
        <w:t>Insert an additional sub-paragraph (f) to read as follows:</w:t>
      </w:r>
    </w:p>
    <w:p w:rsidR="00B562D6" w:rsidRPr="007D36A1" w:rsidRDefault="00B562D6" w:rsidP="00B562D6">
      <w:pPr>
        <w:pStyle w:val="SingleTxtG"/>
        <w:tabs>
          <w:tab w:val="left" w:pos="2268"/>
        </w:tabs>
      </w:pPr>
      <w:r w:rsidRPr="007D36A1">
        <w:t xml:space="preserve">“(f) </w:t>
      </w:r>
      <w:r>
        <w:tab/>
      </w:r>
      <w:r w:rsidRPr="007D36A1">
        <w:t>If the package is to be used for shipment after storage, a justification of considerations to ageing mechanisms in the safety analysis and within the proposed operating and maintenance instructions;”.</w:t>
      </w:r>
    </w:p>
    <w:p w:rsidR="00B562D6" w:rsidRPr="007D36A1" w:rsidRDefault="00B562D6" w:rsidP="00B562D6">
      <w:pPr>
        <w:pStyle w:val="SingleTxtG"/>
        <w:tabs>
          <w:tab w:val="left" w:pos="2268"/>
        </w:tabs>
      </w:pPr>
      <w:r w:rsidRPr="007D36A1">
        <w:t>Renumber subsequent sub-paragraphs accordingly.</w:t>
      </w:r>
    </w:p>
    <w:p w:rsidR="00B562D6" w:rsidRPr="007D36A1" w:rsidRDefault="00B562D6" w:rsidP="00B562D6">
      <w:pPr>
        <w:pStyle w:val="SingleTxtG"/>
        <w:tabs>
          <w:tab w:val="left" w:pos="2268"/>
        </w:tabs>
      </w:pPr>
      <w:r w:rsidRPr="007D36A1">
        <w:t>Add additional sub-paragraph (k) to read as follows:</w:t>
      </w:r>
    </w:p>
    <w:p w:rsidR="00B562D6" w:rsidRPr="007D36A1" w:rsidRDefault="00B562D6" w:rsidP="00B562D6">
      <w:pPr>
        <w:pStyle w:val="SingleTxtG"/>
        <w:tabs>
          <w:tab w:val="left" w:pos="2268"/>
        </w:tabs>
      </w:pPr>
      <w:r w:rsidRPr="007D36A1">
        <w:t xml:space="preserve">“(k) </w:t>
      </w:r>
      <w:r>
        <w:tab/>
      </w:r>
      <w:r w:rsidRPr="007D36A1">
        <w:t>For packages which are to be used for shipment after storage, a gap analysis programme describing a systematic procedure for a periodic evaluation of changes of Regulations, changes in technical knowledge and changes of the state of the package design during storage.”</w:t>
      </w:r>
    </w:p>
    <w:p w:rsidR="00091ABA" w:rsidRDefault="00B562D6" w:rsidP="00B562D6">
      <w:pPr>
        <w:pStyle w:val="SingleTxtG"/>
        <w:tabs>
          <w:tab w:val="left" w:pos="2268"/>
        </w:tabs>
        <w:rPr>
          <w:i/>
        </w:rPr>
      </w:pPr>
      <w:r>
        <w:rPr>
          <w:i/>
        </w:rPr>
        <w:t>(Reference document: ST/SG/AC.10/C.3/2018/54)</w:t>
      </w:r>
    </w:p>
    <w:p w:rsidR="00B562D6" w:rsidRDefault="00B562D6" w:rsidP="00B562D6">
      <w:pPr>
        <w:pStyle w:val="SingleTxtG"/>
        <w:tabs>
          <w:tab w:val="left" w:pos="2268"/>
        </w:tabs>
      </w:pPr>
      <w:r w:rsidRPr="007D36A1">
        <w:t>6.4.23.8 (c)</w:t>
      </w:r>
      <w:r w:rsidRPr="007D36A1">
        <w:tab/>
      </w:r>
      <w:r>
        <w:t xml:space="preserve">Replace “calculative methods” by “calculations”. </w:t>
      </w:r>
    </w:p>
    <w:p w:rsidR="00091ABA"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6.4.23.10</w:t>
      </w:r>
      <w:r w:rsidRPr="007D36A1">
        <w:tab/>
        <w:t>Replace “International Basic Safety Standards for Protection against Ionizing Radiation and for the Safety of Radiation Sources, Safety Series No.115, IAEA, Vienna (1996)” by “Radiation Protection and Safety of Radiation Sources: International Basic Safety Standards, IAEA Safety Standards Series No. GSR Part 3, IAEA, Vienna (2014)” in sub-paragraph (h).</w:t>
      </w:r>
    </w:p>
    <w:p w:rsidR="00091ABA" w:rsidRDefault="00B562D6" w:rsidP="00B562D6">
      <w:pPr>
        <w:pStyle w:val="SingleTxtG"/>
        <w:tabs>
          <w:tab w:val="left" w:pos="2268"/>
        </w:tabs>
        <w:rPr>
          <w:i/>
        </w:rPr>
      </w:pPr>
      <w:r>
        <w:rPr>
          <w:i/>
        </w:rPr>
        <w:t>(Reference document: ST/SG/AC.10/C.3/2018/54)</w:t>
      </w:r>
    </w:p>
    <w:p w:rsidR="00B562D6" w:rsidRPr="00041ECE" w:rsidRDefault="00B562D6" w:rsidP="00B562D6">
      <w:pPr>
        <w:pStyle w:val="SingleTxtG"/>
        <w:tabs>
          <w:tab w:val="left" w:pos="2268"/>
        </w:tabs>
        <w:rPr>
          <w:lang w:val="es-ES"/>
        </w:rPr>
      </w:pPr>
      <w:r w:rsidRPr="00041ECE">
        <w:rPr>
          <w:lang w:val="es-ES"/>
        </w:rPr>
        <w:t>6.4.23.11</w:t>
      </w:r>
      <w:r w:rsidRPr="00041ECE">
        <w:rPr>
          <w:lang w:val="es-ES"/>
        </w:rPr>
        <w:tab/>
        <w:t>Delete sub-paragraph (d).</w:t>
      </w:r>
    </w:p>
    <w:p w:rsidR="00091ABA" w:rsidRDefault="00B562D6" w:rsidP="00B562D6">
      <w:pPr>
        <w:pStyle w:val="SingleTxtG"/>
        <w:tabs>
          <w:tab w:val="left" w:pos="2268"/>
        </w:tabs>
        <w:rPr>
          <w:i/>
        </w:rPr>
      </w:pPr>
      <w:r>
        <w:rPr>
          <w:i/>
        </w:rPr>
        <w:t>(Reference document: ST/SG/AC.10/C.3/2018/54, as amended)</w:t>
      </w:r>
    </w:p>
    <w:p w:rsidR="00B562D6" w:rsidRPr="007D36A1" w:rsidRDefault="00B562D6" w:rsidP="00B562D6">
      <w:pPr>
        <w:pStyle w:val="SingleTxtG"/>
        <w:tabs>
          <w:tab w:val="left" w:pos="2268"/>
        </w:tabs>
      </w:pPr>
      <w:r w:rsidRPr="007D36A1">
        <w:t>6.4.23.12</w:t>
      </w:r>
      <w:r w:rsidRPr="007D36A1">
        <w:tab/>
        <w:t>In (a), replace “6.4.23.11 (a), (b), (c) and (d)” by “6.4.23.11 (a), (b) and (c)” and delete “including, if applicable, the symbol “-96””. At the end of the first sentence of (a), replace “identification marks” by “identification mark”.</w:t>
      </w:r>
    </w:p>
    <w:p w:rsidR="00091ABA"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6.4.23.15</w:t>
      </w:r>
      <w:r w:rsidRPr="007D36A1">
        <w:tab/>
        <w:t xml:space="preserve">Replace “contents” with “package” in sub-paragraph (k) (iii). </w:t>
      </w:r>
    </w:p>
    <w:p w:rsidR="00091ABA" w:rsidRDefault="00B562D6" w:rsidP="00B562D6">
      <w:pPr>
        <w:pStyle w:val="SingleTxtG"/>
        <w:tabs>
          <w:tab w:val="left" w:pos="2268"/>
        </w:tabs>
        <w:rPr>
          <w:i/>
        </w:rPr>
      </w:pPr>
      <w:r>
        <w:rPr>
          <w:i/>
        </w:rPr>
        <w:t>(Reference document: ST/SG/AC.10/C.3/2018/54)</w:t>
      </w:r>
    </w:p>
    <w:p w:rsidR="00B562D6" w:rsidRPr="007D36A1" w:rsidRDefault="00B562D6" w:rsidP="00B562D6">
      <w:pPr>
        <w:pStyle w:val="SingleTxtG"/>
        <w:tabs>
          <w:tab w:val="left" w:pos="2268"/>
        </w:tabs>
      </w:pPr>
      <w:r w:rsidRPr="007D36A1">
        <w:t>6.4</w:t>
      </w:r>
      <w:r w:rsidR="00874C04">
        <w:t>.23.17</w:t>
      </w:r>
      <w:r w:rsidR="00874C04">
        <w:tab/>
        <w:t>Replace “contents” with “</w:t>
      </w:r>
      <w:r w:rsidRPr="007D36A1">
        <w:t>package” in sub-paragraph (n) (iv).</w:t>
      </w:r>
    </w:p>
    <w:p w:rsidR="00B562D6" w:rsidRPr="007D36A1" w:rsidRDefault="00B562D6" w:rsidP="00B562D6">
      <w:pPr>
        <w:pStyle w:val="SingleTxtG"/>
        <w:tabs>
          <w:tab w:val="left" w:pos="2268"/>
        </w:tabs>
      </w:pPr>
      <w:r w:rsidRPr="007D36A1">
        <w:t>Insert a new sub-paragraph (p) after 5.4.23.17 (o) and renumber subsequent sub-paragraphs accordingly:</w:t>
      </w:r>
    </w:p>
    <w:p w:rsidR="00B562D6" w:rsidRPr="007D36A1" w:rsidRDefault="00B562D6" w:rsidP="00B562D6">
      <w:pPr>
        <w:pStyle w:val="SingleTxtG"/>
        <w:tabs>
          <w:tab w:val="left" w:pos="2268"/>
        </w:tabs>
      </w:pPr>
      <w:r w:rsidRPr="007D36A1">
        <w:t>“(p)</w:t>
      </w:r>
      <w:r w:rsidRPr="007D36A1">
        <w:tab/>
        <w:t>For package</w:t>
      </w:r>
      <w:r w:rsidRPr="007D36A1">
        <w:rPr>
          <w:i/>
        </w:rPr>
        <w:t xml:space="preserve"> </w:t>
      </w:r>
      <w:r w:rsidRPr="007D36A1">
        <w:t>designs subject to para. 6.4.24.2, a statement specifying those requirements of the current regulations with which the package does not conform;”.</w:t>
      </w:r>
    </w:p>
    <w:p w:rsidR="00091ABA" w:rsidRDefault="00B562D6" w:rsidP="00B562D6">
      <w:pPr>
        <w:pStyle w:val="SingleTxtG"/>
        <w:tabs>
          <w:tab w:val="left" w:pos="2268"/>
        </w:tabs>
        <w:rPr>
          <w:i/>
        </w:rPr>
      </w:pPr>
      <w:r>
        <w:rPr>
          <w:i/>
        </w:rPr>
        <w:lastRenderedPageBreak/>
        <w:t>(Reference document: ST/SG/AC.10/C.3/2018/54)</w:t>
      </w:r>
    </w:p>
    <w:p w:rsidR="00B562D6" w:rsidRPr="007D36A1" w:rsidRDefault="00B562D6" w:rsidP="00B562D6">
      <w:pPr>
        <w:pStyle w:val="SingleTxtG"/>
        <w:tabs>
          <w:tab w:val="left" w:pos="2268"/>
        </w:tabs>
      </w:pPr>
      <w:r w:rsidRPr="007D36A1">
        <w:t>6.4.24</w:t>
      </w:r>
      <w:r w:rsidRPr="007D36A1">
        <w:tab/>
      </w:r>
      <w:r w:rsidRPr="007D36A1">
        <w:tab/>
        <w:t>Amend the title over 6.4.24.1 to read</w:t>
      </w:r>
      <w:r>
        <w:t xml:space="preserve"> </w:t>
      </w:r>
      <w:r w:rsidRPr="007D36A1">
        <w:t xml:space="preserve">“Packages not requiring competent authority approval of design under the 1985, 1985 (As Amended 1990), 1996 Edition, 1996 Edition (Revised), 1996 (As Amended 2003), 2005, 2009 Editions of IAEA Safety Series No. 6 </w:t>
      </w:r>
      <w:r>
        <w:t xml:space="preserve">and 2012 </w:t>
      </w:r>
      <w:r w:rsidRPr="007D36A1">
        <w:t>Edition of IAEA Safety Standards Serie No. SSR-6</w:t>
      </w:r>
      <w:r>
        <w:t>”.</w:t>
      </w:r>
    </w:p>
    <w:p w:rsidR="00B562D6" w:rsidRPr="007D36A1" w:rsidRDefault="00B562D6" w:rsidP="00B562D6">
      <w:pPr>
        <w:pStyle w:val="SingleTxtG"/>
        <w:tabs>
          <w:tab w:val="left" w:pos="2268"/>
        </w:tabs>
      </w:pPr>
      <w:r w:rsidRPr="007D36A1">
        <w:t>6.4.24.1</w:t>
      </w:r>
      <w:r w:rsidRPr="007D36A1">
        <w:tab/>
        <w:t>Amend to read as follows:</w:t>
      </w:r>
    </w:p>
    <w:p w:rsidR="00B562D6" w:rsidRPr="007D36A1" w:rsidRDefault="00B562D6" w:rsidP="00B562D6">
      <w:pPr>
        <w:pStyle w:val="SingleTxtG"/>
        <w:tabs>
          <w:tab w:val="left" w:pos="2268"/>
        </w:tabs>
      </w:pPr>
      <w:r w:rsidRPr="007D36A1">
        <w:t>“</w:t>
      </w:r>
      <w:r w:rsidRPr="007D36A1">
        <w:rPr>
          <w:i/>
        </w:rPr>
        <w:t>Packages</w:t>
      </w:r>
      <w:r w:rsidRPr="007D36A1">
        <w:t xml:space="preserve"> not requiring </w:t>
      </w:r>
      <w:r w:rsidRPr="007D36A1">
        <w:rPr>
          <w:i/>
        </w:rPr>
        <w:t>competent authority</w:t>
      </w:r>
      <w:r w:rsidRPr="007D36A1">
        <w:t xml:space="preserve"> </w:t>
      </w:r>
      <w:r w:rsidRPr="007D36A1">
        <w:rPr>
          <w:i/>
        </w:rPr>
        <w:t>approval</w:t>
      </w:r>
      <w:r w:rsidRPr="007D36A1">
        <w:t xml:space="preserve"> of </w:t>
      </w:r>
      <w:r w:rsidRPr="007D36A1">
        <w:rPr>
          <w:i/>
        </w:rPr>
        <w:t>design</w:t>
      </w:r>
      <w:r w:rsidRPr="007D36A1">
        <w:t xml:space="preserve"> (</w:t>
      </w:r>
      <w:r w:rsidRPr="007D36A1">
        <w:rPr>
          <w:i/>
        </w:rPr>
        <w:t>excepted packages, Type IP-1, Type IP-2, Type IP-3</w:t>
      </w:r>
      <w:r w:rsidRPr="007D36A1">
        <w:t xml:space="preserve"> and </w:t>
      </w:r>
      <w:r w:rsidRPr="007D36A1">
        <w:rPr>
          <w:i/>
        </w:rPr>
        <w:t>Type A packages</w:t>
      </w:r>
      <w:r w:rsidRPr="007D36A1">
        <w:t>) shall meet this Edition of these Regulations in full, except that:</w:t>
      </w:r>
    </w:p>
    <w:p w:rsidR="00B562D6" w:rsidRPr="007D36A1" w:rsidRDefault="00B562D6" w:rsidP="00B562D6">
      <w:pPr>
        <w:pStyle w:val="SingleTxtG"/>
        <w:tabs>
          <w:tab w:val="left" w:pos="2268"/>
        </w:tabs>
      </w:pPr>
      <w:r w:rsidRPr="007D36A1">
        <w:t>(a)</w:t>
      </w:r>
      <w:r>
        <w:tab/>
      </w:r>
      <w:r w:rsidRPr="007D36A1">
        <w:rPr>
          <w:i/>
        </w:rPr>
        <w:t xml:space="preserve">Packages </w:t>
      </w:r>
      <w:r w:rsidRPr="007D36A1">
        <w:t>that meet the requirements of the 1985 or 1985 (As Amended 1990) Editions of IAEA Regulations:</w:t>
      </w:r>
    </w:p>
    <w:p w:rsidR="00B562D6" w:rsidRPr="007D36A1" w:rsidRDefault="00B562D6" w:rsidP="00B562D6">
      <w:pPr>
        <w:pStyle w:val="SingleTxtG"/>
        <w:tabs>
          <w:tab w:val="left" w:pos="2268"/>
        </w:tabs>
        <w:ind w:left="2268"/>
      </w:pPr>
      <w:r w:rsidRPr="007D36A1">
        <w:t>(i)</w:t>
      </w:r>
      <w:r>
        <w:tab/>
      </w:r>
      <w:r w:rsidRPr="007D36A1">
        <w:t>May continue in transport provided that they were prepared for transport prior to 31 December 2003 and are subject to the requirements of 6.4.24.4, if applicable; or</w:t>
      </w:r>
    </w:p>
    <w:p w:rsidR="00B562D6" w:rsidRPr="007D36A1" w:rsidRDefault="00B562D6" w:rsidP="00B562D6">
      <w:pPr>
        <w:pStyle w:val="SingleTxtG"/>
        <w:tabs>
          <w:tab w:val="left" w:pos="2268"/>
        </w:tabs>
        <w:ind w:left="2268"/>
      </w:pPr>
      <w:r w:rsidRPr="007D36A1">
        <w:t>(ii)</w:t>
      </w:r>
      <w:r>
        <w:tab/>
      </w:r>
      <w:r w:rsidRPr="007D36A1">
        <w:t>May continue to be used, provided that all the following conditions are met:</w:t>
      </w:r>
    </w:p>
    <w:p w:rsidR="00B562D6" w:rsidRPr="007D36A1" w:rsidRDefault="00B562D6" w:rsidP="00B562D6">
      <w:pPr>
        <w:pStyle w:val="SingleTxtG"/>
        <w:tabs>
          <w:tab w:val="left" w:pos="2268"/>
        </w:tabs>
        <w:ind w:left="2835"/>
      </w:pPr>
      <w:r w:rsidRPr="007D36A1">
        <w:t>-</w:t>
      </w:r>
      <w:r>
        <w:tab/>
      </w:r>
      <w:r w:rsidRPr="007D36A1">
        <w:t>They were not designed to contain uranium hexafluoride</w:t>
      </w:r>
      <w:r>
        <w:t>;</w:t>
      </w:r>
    </w:p>
    <w:p w:rsidR="00B562D6" w:rsidRPr="007D36A1" w:rsidRDefault="00B562D6" w:rsidP="003370F1">
      <w:pPr>
        <w:pStyle w:val="SingleTxtG"/>
        <w:tabs>
          <w:tab w:val="left" w:pos="2268"/>
        </w:tabs>
        <w:ind w:left="3402" w:hanging="567"/>
      </w:pPr>
      <w:r w:rsidRPr="007D36A1">
        <w:t>-</w:t>
      </w:r>
      <w:r>
        <w:tab/>
      </w:r>
      <w:r w:rsidRPr="007D36A1">
        <w:t>The applicable requirements of 1.5.3.1 of this Edition o</w:t>
      </w:r>
      <w:r>
        <w:t>f these Regulations are applied;</w:t>
      </w:r>
    </w:p>
    <w:p w:rsidR="00B562D6" w:rsidRPr="007D36A1" w:rsidRDefault="00B562D6" w:rsidP="003370F1">
      <w:pPr>
        <w:pStyle w:val="SingleTxtG"/>
        <w:tabs>
          <w:tab w:val="left" w:pos="2268"/>
        </w:tabs>
        <w:ind w:left="3402" w:hanging="567"/>
      </w:pPr>
      <w:r w:rsidRPr="007D36A1">
        <w:t>-</w:t>
      </w:r>
      <w:r>
        <w:tab/>
      </w:r>
      <w:r w:rsidRPr="007D36A1">
        <w:t>The activity limits and classification in Section IV of this Edition of these Regulations are applied</w:t>
      </w:r>
      <w:r>
        <w:t>;</w:t>
      </w:r>
    </w:p>
    <w:p w:rsidR="00B562D6" w:rsidRPr="007D36A1" w:rsidRDefault="00B562D6" w:rsidP="003370F1">
      <w:pPr>
        <w:pStyle w:val="SingleTxtG"/>
        <w:tabs>
          <w:tab w:val="left" w:pos="2268"/>
        </w:tabs>
        <w:ind w:left="3402" w:hanging="567"/>
      </w:pPr>
      <w:r w:rsidRPr="007D36A1">
        <w:t>-</w:t>
      </w:r>
      <w:r>
        <w:tab/>
      </w:r>
      <w:r w:rsidRPr="007D36A1">
        <w:t>The requirements and controls for transport in Section V of this Edition o</w:t>
      </w:r>
      <w:r>
        <w:t>f these Regulations are applied;</w:t>
      </w:r>
    </w:p>
    <w:p w:rsidR="00B562D6" w:rsidRPr="007D36A1" w:rsidRDefault="00B562D6" w:rsidP="003370F1">
      <w:pPr>
        <w:pStyle w:val="SingleTxtG"/>
        <w:tabs>
          <w:tab w:val="left" w:pos="2268"/>
        </w:tabs>
        <w:ind w:left="3402" w:hanging="567"/>
      </w:pPr>
      <w:r w:rsidRPr="007D36A1">
        <w:t>-</w:t>
      </w:r>
      <w:r>
        <w:tab/>
      </w:r>
      <w:r w:rsidRPr="007D36A1">
        <w:t xml:space="preserve">The </w:t>
      </w:r>
      <w:r w:rsidRPr="007D36A1">
        <w:rPr>
          <w:i/>
          <w:iCs/>
        </w:rPr>
        <w:t xml:space="preserve">packaging </w:t>
      </w:r>
      <w:r w:rsidRPr="007D36A1">
        <w:t xml:space="preserve">was not manufactured or </w:t>
      </w:r>
      <w:r>
        <w:t>modified after 31 December 2003;</w:t>
      </w:r>
    </w:p>
    <w:p w:rsidR="00B562D6" w:rsidRPr="007D36A1" w:rsidRDefault="00B562D6" w:rsidP="00B562D6">
      <w:pPr>
        <w:pStyle w:val="SingleTxtG"/>
        <w:tabs>
          <w:tab w:val="left" w:pos="2268"/>
        </w:tabs>
      </w:pPr>
      <w:r w:rsidRPr="007D36A1">
        <w:t>(b)</w:t>
      </w:r>
      <w:r>
        <w:tab/>
      </w:r>
      <w:r w:rsidRPr="007D36A1">
        <w:rPr>
          <w:i/>
        </w:rPr>
        <w:t>Packages</w:t>
      </w:r>
      <w:r w:rsidRPr="007D36A1">
        <w:t xml:space="preserve"> that meet the requirements of the 1996 Edition, 1996 Edition (Revised), 1996 (As Amended 2003), 2005, 2009 or 2012 Editions of these Regulations:</w:t>
      </w:r>
    </w:p>
    <w:p w:rsidR="00B562D6" w:rsidRPr="007D36A1" w:rsidRDefault="00B562D6" w:rsidP="00B562D6">
      <w:pPr>
        <w:pStyle w:val="SingleTxtG"/>
        <w:tabs>
          <w:tab w:val="left" w:pos="2268"/>
        </w:tabs>
        <w:ind w:left="2268"/>
      </w:pPr>
      <w:r w:rsidRPr="007D36A1">
        <w:t>(i)</w:t>
      </w:r>
      <w:r>
        <w:tab/>
      </w:r>
      <w:r w:rsidRPr="007D36A1">
        <w:t>May continue in transport provided that they were prepared for transport prior to 31 December 2025 and are subject to the requirements of 6.4.24.4, if applicable; or</w:t>
      </w:r>
    </w:p>
    <w:p w:rsidR="00B562D6" w:rsidRPr="007D36A1" w:rsidRDefault="00B562D6" w:rsidP="00B562D6">
      <w:pPr>
        <w:pStyle w:val="SingleTxtG"/>
        <w:tabs>
          <w:tab w:val="left" w:pos="2268"/>
        </w:tabs>
        <w:ind w:left="2268"/>
      </w:pPr>
      <w:r w:rsidRPr="007D36A1">
        <w:t>(ii)</w:t>
      </w:r>
      <w:r>
        <w:tab/>
      </w:r>
      <w:r w:rsidRPr="007D36A1">
        <w:t>May continue to be used, provided that all the following conditions are met:</w:t>
      </w:r>
    </w:p>
    <w:p w:rsidR="00B562D6" w:rsidRPr="007D36A1" w:rsidRDefault="00B562D6" w:rsidP="003370F1">
      <w:pPr>
        <w:pStyle w:val="SingleTxtG"/>
        <w:tabs>
          <w:tab w:val="left" w:pos="2268"/>
        </w:tabs>
        <w:ind w:left="3402" w:hanging="567"/>
      </w:pPr>
      <w:r w:rsidRPr="007D36A1">
        <w:t>-</w:t>
      </w:r>
      <w:r>
        <w:tab/>
      </w:r>
      <w:r w:rsidRPr="007D36A1">
        <w:t>The applicable requirements of 1.5.3.1 of this Edition of these Regulations are applied;</w:t>
      </w:r>
    </w:p>
    <w:p w:rsidR="00B562D6" w:rsidRPr="007D36A1" w:rsidRDefault="00B562D6" w:rsidP="003370F1">
      <w:pPr>
        <w:pStyle w:val="SingleTxtG"/>
        <w:tabs>
          <w:tab w:val="left" w:pos="2268"/>
        </w:tabs>
        <w:ind w:left="3402" w:hanging="567"/>
      </w:pPr>
      <w:r w:rsidRPr="007D36A1">
        <w:t>-</w:t>
      </w:r>
      <w:r>
        <w:tab/>
      </w:r>
      <w:r w:rsidRPr="007D36A1">
        <w:t>The activity limits and classification in Section IV of this Edition of these Regulations are applied;</w:t>
      </w:r>
    </w:p>
    <w:p w:rsidR="00B562D6" w:rsidRPr="007D36A1" w:rsidRDefault="00B562D6" w:rsidP="003370F1">
      <w:pPr>
        <w:pStyle w:val="SingleTxtG"/>
        <w:tabs>
          <w:tab w:val="left" w:pos="2268"/>
        </w:tabs>
        <w:ind w:left="3402" w:hanging="567"/>
      </w:pPr>
      <w:r w:rsidRPr="007D36A1">
        <w:t>-</w:t>
      </w:r>
      <w:r>
        <w:tab/>
      </w:r>
      <w:r w:rsidRPr="007D36A1">
        <w:t>The requirements and controls for transport in Section V of this Edition of these Regulations are applied; and</w:t>
      </w:r>
    </w:p>
    <w:p w:rsidR="00B562D6" w:rsidRPr="007D36A1" w:rsidRDefault="00B562D6" w:rsidP="003370F1">
      <w:pPr>
        <w:pStyle w:val="SingleTxtG"/>
        <w:tabs>
          <w:tab w:val="left" w:pos="2268"/>
        </w:tabs>
        <w:ind w:left="3402" w:hanging="567"/>
      </w:pPr>
      <w:r w:rsidRPr="007D36A1">
        <w:t>-</w:t>
      </w:r>
      <w:r>
        <w:tab/>
      </w:r>
      <w:r w:rsidRPr="007D36A1">
        <w:t xml:space="preserve">The </w:t>
      </w:r>
      <w:r w:rsidRPr="007D36A1">
        <w:rPr>
          <w:i/>
        </w:rPr>
        <w:t>packaging</w:t>
      </w:r>
      <w:r w:rsidRPr="007D36A1">
        <w:t xml:space="preserve"> was not manufactured or modified after 31 December 2</w:t>
      </w:r>
      <w:r>
        <w:t>025.”.</w:t>
      </w:r>
    </w:p>
    <w:p w:rsidR="00091ABA" w:rsidRDefault="00B562D6" w:rsidP="00B562D6">
      <w:pPr>
        <w:pStyle w:val="SingleTxtG"/>
        <w:tabs>
          <w:tab w:val="left" w:pos="2268"/>
        </w:tabs>
        <w:rPr>
          <w:i/>
        </w:rPr>
      </w:pPr>
      <w:r>
        <w:rPr>
          <w:i/>
        </w:rPr>
        <w:t>(Reference document: ST/SG/AC.10/C.3/2018/54)</w:t>
      </w:r>
    </w:p>
    <w:p w:rsidR="00B562D6" w:rsidRPr="00BC06D5" w:rsidRDefault="00B562D6" w:rsidP="00B562D6">
      <w:pPr>
        <w:pStyle w:val="SingleTxtG"/>
        <w:tabs>
          <w:tab w:val="left" w:pos="2268"/>
        </w:tabs>
      </w:pPr>
      <w:r w:rsidRPr="007D36A1">
        <w:t>Amend the title over 6.4.24.2 to read</w:t>
      </w:r>
      <w:r>
        <w:t xml:space="preserve">: </w:t>
      </w:r>
      <w:r w:rsidRPr="00BC06D5">
        <w:t>“Package designs approved under t</w:t>
      </w:r>
      <w:r>
        <w:t>he 1985, 1985 (As Amended 1990)</w:t>
      </w:r>
      <w:r w:rsidRPr="00BC06D5">
        <w:t xml:space="preserve">, 1996 Edition, 1996 Edition (Revised), 1996 (As Amended 2003), 2005, </w:t>
      </w:r>
      <w:r w:rsidRPr="00BC06D5">
        <w:lastRenderedPageBreak/>
        <w:t>2009 Editions of IAE</w:t>
      </w:r>
      <w:r>
        <w:t xml:space="preserve">A Safety Series No. 6 and 2012 </w:t>
      </w:r>
      <w:r w:rsidRPr="00BC06D5">
        <w:t>Edition of IAEA Safety Standards Serie No. SSR-6”.</w:t>
      </w:r>
    </w:p>
    <w:p w:rsidR="00B562D6" w:rsidRPr="007D36A1" w:rsidRDefault="00B562D6" w:rsidP="00B562D6">
      <w:pPr>
        <w:pStyle w:val="SingleTxtG"/>
        <w:tabs>
          <w:tab w:val="left" w:pos="2268"/>
        </w:tabs>
      </w:pPr>
      <w:r w:rsidRPr="007D36A1">
        <w:t>6.4.24.2</w:t>
      </w:r>
      <w:r w:rsidRPr="007D36A1">
        <w:tab/>
        <w:t>Amend to read as follows:</w:t>
      </w:r>
    </w:p>
    <w:p w:rsidR="00B562D6" w:rsidRPr="007D36A1" w:rsidRDefault="00B562D6" w:rsidP="00B562D6">
      <w:pPr>
        <w:pStyle w:val="SingleTxtG"/>
        <w:tabs>
          <w:tab w:val="left" w:pos="2268"/>
        </w:tabs>
      </w:pPr>
      <w:r w:rsidRPr="007D36A1">
        <w:t>“</w:t>
      </w:r>
      <w:r w:rsidRPr="007D36A1">
        <w:rPr>
          <w:iCs/>
        </w:rPr>
        <w:t xml:space="preserve">Packages </w:t>
      </w:r>
      <w:r w:rsidRPr="007D36A1">
        <w:t xml:space="preserve">requiring </w:t>
      </w:r>
      <w:r w:rsidRPr="007D36A1">
        <w:rPr>
          <w:iCs/>
        </w:rPr>
        <w:t xml:space="preserve">competent authority approval </w:t>
      </w:r>
      <w:r w:rsidRPr="007D36A1">
        <w:t xml:space="preserve">of the </w:t>
      </w:r>
      <w:r w:rsidRPr="007D36A1">
        <w:rPr>
          <w:iCs/>
        </w:rPr>
        <w:t xml:space="preserve">design </w:t>
      </w:r>
      <w:r w:rsidRPr="007D36A1">
        <w:t xml:space="preserve">shall meet this Edition of these Regulations in full except that: </w:t>
      </w:r>
    </w:p>
    <w:p w:rsidR="00B562D6" w:rsidRPr="007D36A1" w:rsidRDefault="00B562D6" w:rsidP="00B562D6">
      <w:pPr>
        <w:pStyle w:val="SingleTxtG"/>
        <w:tabs>
          <w:tab w:val="left" w:pos="2268"/>
        </w:tabs>
      </w:pPr>
      <w:r w:rsidRPr="007D36A1">
        <w:t>(a)</w:t>
      </w:r>
      <w:r>
        <w:tab/>
      </w:r>
      <w:r w:rsidRPr="007D36A1">
        <w:t>Packagings that were manufactured to a package design approved by the competent authority under the provisions of 1985 or 1985 (As Amended 1990) Editions of IAEA Regulations may continue to be used provided that all of the following conditions are met:</w:t>
      </w:r>
    </w:p>
    <w:p w:rsidR="00B562D6" w:rsidRPr="007D36A1" w:rsidRDefault="00B562D6" w:rsidP="00B562D6">
      <w:pPr>
        <w:pStyle w:val="SingleTxtG"/>
        <w:tabs>
          <w:tab w:val="left" w:pos="2268"/>
        </w:tabs>
        <w:ind w:left="2268"/>
      </w:pPr>
      <w:r w:rsidRPr="007D36A1">
        <w:t>(i)</w:t>
      </w:r>
      <w:r>
        <w:tab/>
      </w:r>
      <w:r w:rsidRPr="007D36A1">
        <w:t>The package design is subject to multilateral approval</w:t>
      </w:r>
      <w:r>
        <w:t>;</w:t>
      </w:r>
    </w:p>
    <w:p w:rsidR="00B562D6" w:rsidRPr="007D36A1" w:rsidRDefault="00B562D6" w:rsidP="003370F1">
      <w:pPr>
        <w:pStyle w:val="SingleTxtG"/>
        <w:tabs>
          <w:tab w:val="left" w:pos="2268"/>
        </w:tabs>
        <w:ind w:left="2835" w:hanging="567"/>
      </w:pPr>
      <w:r w:rsidRPr="007D36A1">
        <w:t>(ii)</w:t>
      </w:r>
      <w:r>
        <w:tab/>
      </w:r>
      <w:r w:rsidRPr="007D36A1">
        <w:t>The applicable requirements of 1.5.3.1 of this Edition of these Regulations are applied</w:t>
      </w:r>
      <w:r>
        <w:t>;</w:t>
      </w:r>
    </w:p>
    <w:p w:rsidR="00B562D6" w:rsidRPr="007D36A1" w:rsidRDefault="00B562D6" w:rsidP="003370F1">
      <w:pPr>
        <w:pStyle w:val="SingleTxtG"/>
        <w:tabs>
          <w:tab w:val="left" w:pos="2268"/>
        </w:tabs>
        <w:ind w:left="2835" w:hanging="567"/>
      </w:pPr>
      <w:r w:rsidRPr="007D36A1">
        <w:t>(iii)</w:t>
      </w:r>
      <w:r>
        <w:tab/>
      </w:r>
      <w:r w:rsidRPr="007D36A1">
        <w:t>The activity limits and classification in Section IV of this Edition o</w:t>
      </w:r>
      <w:r>
        <w:t>f these Regulations are applied;</w:t>
      </w:r>
    </w:p>
    <w:p w:rsidR="00B562D6" w:rsidRPr="007D36A1" w:rsidRDefault="00B562D6" w:rsidP="003370F1">
      <w:pPr>
        <w:pStyle w:val="SingleTxtG"/>
        <w:tabs>
          <w:tab w:val="left" w:pos="2268"/>
        </w:tabs>
        <w:ind w:left="2835" w:hanging="567"/>
      </w:pPr>
      <w:r w:rsidRPr="007D36A1">
        <w:t>(iv)</w:t>
      </w:r>
      <w:r>
        <w:tab/>
      </w:r>
      <w:r w:rsidRPr="007D36A1">
        <w:t>The requirements and controls for transport in Section V of this Edition o</w:t>
      </w:r>
      <w:r>
        <w:t>f these Regulations are applied;</w:t>
      </w:r>
    </w:p>
    <w:p w:rsidR="00B562D6" w:rsidRPr="007D36A1" w:rsidRDefault="00B562D6" w:rsidP="003370F1">
      <w:pPr>
        <w:pStyle w:val="SingleTxtG"/>
        <w:tabs>
          <w:tab w:val="left" w:pos="2268"/>
        </w:tabs>
        <w:ind w:left="2835" w:hanging="567"/>
      </w:pPr>
      <w:r w:rsidRPr="007D36A1">
        <w:t>(v)</w:t>
      </w:r>
      <w:r>
        <w:tab/>
      </w:r>
      <w:r w:rsidRPr="007D36A1">
        <w:t>For a package containing fissile material and transported by air, the requirement of 6.4.11.11</w:t>
      </w:r>
      <w:r>
        <w:t xml:space="preserve"> is met;</w:t>
      </w:r>
    </w:p>
    <w:p w:rsidR="00B562D6" w:rsidRPr="007D36A1" w:rsidRDefault="00B562D6" w:rsidP="00B562D6">
      <w:pPr>
        <w:pStyle w:val="SingleTxtG"/>
        <w:tabs>
          <w:tab w:val="left" w:pos="2268"/>
        </w:tabs>
      </w:pPr>
      <w:r w:rsidRPr="007D36A1">
        <w:t>(b)</w:t>
      </w:r>
      <w:r>
        <w:tab/>
      </w:r>
      <w:r w:rsidRPr="007D36A1">
        <w:t>Packagings that were manufactured to a package design approved by the competent authority under the provisions of the 1996 Edition, 1996 Edition (Revised), 1996 (As Amended 2003), 2005, 2009 and 2012 Editions of these Regulations may continue to be used provided that all of the following conditions are met:</w:t>
      </w:r>
    </w:p>
    <w:p w:rsidR="00B562D6" w:rsidRPr="007D36A1" w:rsidRDefault="00B562D6" w:rsidP="003370F1">
      <w:pPr>
        <w:pStyle w:val="SingleTxtG"/>
        <w:tabs>
          <w:tab w:val="left" w:pos="2268"/>
        </w:tabs>
        <w:ind w:left="2835" w:hanging="567"/>
      </w:pPr>
      <w:r w:rsidRPr="007D36A1">
        <w:t>(i)</w:t>
      </w:r>
      <w:r>
        <w:tab/>
      </w:r>
      <w:r w:rsidRPr="007D36A1">
        <w:t xml:space="preserve">The package design is subject to multilateral approval </w:t>
      </w:r>
      <w:r>
        <w:t>after 31 December 2025;</w:t>
      </w:r>
    </w:p>
    <w:p w:rsidR="00B562D6" w:rsidRPr="007D36A1" w:rsidRDefault="00B562D6" w:rsidP="003370F1">
      <w:pPr>
        <w:pStyle w:val="SingleTxtG"/>
        <w:tabs>
          <w:tab w:val="left" w:pos="2268"/>
        </w:tabs>
        <w:ind w:left="2835" w:hanging="567"/>
      </w:pPr>
      <w:r w:rsidRPr="007D36A1">
        <w:t>(ii)</w:t>
      </w:r>
      <w:r>
        <w:tab/>
      </w:r>
      <w:r w:rsidRPr="007D36A1">
        <w:t>The applicable requirements of 1.5.3.1 of this Edition</w:t>
      </w:r>
      <w:r>
        <w:t xml:space="preserve"> of the Regulations are applied;</w:t>
      </w:r>
    </w:p>
    <w:p w:rsidR="00B562D6" w:rsidRPr="007D36A1" w:rsidRDefault="00B562D6" w:rsidP="003370F1">
      <w:pPr>
        <w:pStyle w:val="SingleTxtG"/>
        <w:tabs>
          <w:tab w:val="left" w:pos="2268"/>
        </w:tabs>
        <w:ind w:left="2835" w:hanging="567"/>
      </w:pPr>
      <w:r w:rsidRPr="007D36A1">
        <w:t>(iii)</w:t>
      </w:r>
      <w:r>
        <w:tab/>
      </w:r>
      <w:r w:rsidRPr="007D36A1">
        <w:t>The activity limits and material restrictions of Section IV of this Edition o</w:t>
      </w:r>
      <w:r>
        <w:t>f these Regulations are applied;</w:t>
      </w:r>
    </w:p>
    <w:p w:rsidR="00B562D6" w:rsidRPr="007D36A1" w:rsidRDefault="00B562D6" w:rsidP="003370F1">
      <w:pPr>
        <w:pStyle w:val="SingleTxtG"/>
        <w:tabs>
          <w:tab w:val="left" w:pos="2268"/>
        </w:tabs>
        <w:ind w:left="2835" w:hanging="567"/>
      </w:pPr>
      <w:r w:rsidRPr="007D36A1">
        <w:t>(iv)</w:t>
      </w:r>
      <w:r>
        <w:tab/>
      </w:r>
      <w:r w:rsidRPr="007D36A1">
        <w:t>The requirements and controls for transport in Section V of this Edition of</w:t>
      </w:r>
      <w:r>
        <w:t xml:space="preserve"> these Regulations are applied.”.</w:t>
      </w:r>
    </w:p>
    <w:p w:rsidR="00091ABA" w:rsidRDefault="00B562D6" w:rsidP="00B562D6">
      <w:pPr>
        <w:pStyle w:val="SingleTxtG"/>
        <w:tabs>
          <w:tab w:val="left" w:pos="2268"/>
        </w:tabs>
        <w:rPr>
          <w:i/>
        </w:rPr>
      </w:pPr>
      <w:r>
        <w:rPr>
          <w:i/>
        </w:rPr>
        <w:t>(Reference document: ST/SG/AC.10/C.3/2018/54)</w:t>
      </w:r>
    </w:p>
    <w:p w:rsidR="00B562D6" w:rsidRPr="007D36A1" w:rsidRDefault="00C3339B" w:rsidP="00B562D6">
      <w:pPr>
        <w:pStyle w:val="SingleTxtG"/>
        <w:tabs>
          <w:tab w:val="left" w:pos="2268"/>
        </w:tabs>
      </w:pPr>
      <w:r>
        <w:t>6.4</w:t>
      </w:r>
      <w:r w:rsidR="00B562D6">
        <w:t>.24.4</w:t>
      </w:r>
      <w:r w:rsidR="00B562D6">
        <w:tab/>
        <w:t>Add the following new paragraph</w:t>
      </w:r>
      <w:r w:rsidR="00B562D6" w:rsidRPr="007D36A1">
        <w:t xml:space="preserve"> to read as follows:</w:t>
      </w:r>
    </w:p>
    <w:p w:rsidR="00B562D6" w:rsidRDefault="00B562D6" w:rsidP="00B562D6">
      <w:pPr>
        <w:pStyle w:val="SingleTxtG"/>
        <w:tabs>
          <w:tab w:val="left" w:pos="2268"/>
        </w:tabs>
      </w:pPr>
      <w:r w:rsidRPr="007D36A1">
        <w:t>“</w:t>
      </w:r>
      <w:r>
        <w:t>6.4.24.4</w:t>
      </w:r>
      <w:r>
        <w:tab/>
      </w:r>
      <w:r w:rsidRPr="007D36A1">
        <w:t xml:space="preserve">No new manufacture of </w:t>
      </w:r>
      <w:r w:rsidRPr="007D36A1">
        <w:rPr>
          <w:i/>
        </w:rPr>
        <w:t xml:space="preserve">packagings </w:t>
      </w:r>
      <w:r w:rsidRPr="007D36A1">
        <w:t xml:space="preserve">of a </w:t>
      </w:r>
      <w:r w:rsidRPr="007D36A1">
        <w:rPr>
          <w:i/>
        </w:rPr>
        <w:t xml:space="preserve">package design </w:t>
      </w:r>
      <w:r w:rsidRPr="007D36A1">
        <w:t>meeting the provisions of the 1996 Edition, 1996 Edition (Revised), 1996 (As Amended 2003), 2005, 2009 and 2012</w:t>
      </w:r>
      <w:r w:rsidRPr="007D36A1">
        <w:rPr>
          <w:b/>
        </w:rPr>
        <w:t xml:space="preserve"> </w:t>
      </w:r>
      <w:r w:rsidRPr="007D36A1">
        <w:t>Editions of these Regulations shall be permitted to commence after 31 December 2028</w:t>
      </w:r>
      <w:r w:rsidRPr="007D36A1">
        <w:rPr>
          <w:i/>
        </w:rPr>
        <w:t>.</w:t>
      </w:r>
      <w:r>
        <w:t>”.</w:t>
      </w:r>
    </w:p>
    <w:p w:rsidR="00B562D6" w:rsidRPr="007D36A1" w:rsidRDefault="00B562D6" w:rsidP="00B562D6">
      <w:pPr>
        <w:pStyle w:val="SingleTxtG"/>
        <w:tabs>
          <w:tab w:val="left" w:pos="2268"/>
        </w:tabs>
      </w:pPr>
      <w:r>
        <w:t>Renumber</w:t>
      </w:r>
      <w:r w:rsidR="00C3339B">
        <w:t xml:space="preserve"> current</w:t>
      </w:r>
      <w:r>
        <w:t xml:space="preserve"> 6.4.24.4 and 6.4.24.5 as 6.4.24.5 and 6.4.24.6.</w:t>
      </w:r>
    </w:p>
    <w:p w:rsidR="00091ABA" w:rsidRDefault="00B562D6" w:rsidP="00B562D6">
      <w:pPr>
        <w:pStyle w:val="SingleTxtG"/>
        <w:tabs>
          <w:tab w:val="left" w:pos="2268"/>
        </w:tabs>
        <w:rPr>
          <w:i/>
        </w:rPr>
      </w:pPr>
      <w:r>
        <w:rPr>
          <w:i/>
        </w:rPr>
        <w:t>(Reference document: ST/SG/AC.10/C.3/2018/54)</w:t>
      </w:r>
    </w:p>
    <w:p w:rsidR="00B562D6" w:rsidRDefault="00B562D6" w:rsidP="00B562D6">
      <w:pPr>
        <w:pStyle w:val="SingleTxtG"/>
        <w:tabs>
          <w:tab w:val="left" w:pos="2268"/>
        </w:tabs>
        <w:rPr>
          <w:bCs/>
        </w:rPr>
      </w:pPr>
      <w:r w:rsidRPr="007D36A1">
        <w:t>6.4.24.</w:t>
      </w:r>
      <w:r>
        <w:t>6</w:t>
      </w:r>
      <w:r w:rsidRPr="007D36A1">
        <w:t xml:space="preserve"> </w:t>
      </w:r>
      <w:r>
        <w:t xml:space="preserve">(previously 6.4.24.5) Amend the title to read as follows: </w:t>
      </w:r>
      <w:r w:rsidRPr="00BC06D5">
        <w:t>“</w:t>
      </w:r>
      <w:r w:rsidRPr="00BC06D5">
        <w:rPr>
          <w:bCs/>
        </w:rPr>
        <w:t>Special form radioact</w:t>
      </w:r>
      <w:r>
        <w:rPr>
          <w:bCs/>
        </w:rPr>
        <w:t>ive material approved under the</w:t>
      </w:r>
      <w:r w:rsidRPr="00BC06D5">
        <w:rPr>
          <w:bCs/>
        </w:rPr>
        <w:t xml:space="preserve"> 1985, 1985 (</w:t>
      </w:r>
      <w:r>
        <w:rPr>
          <w:bCs/>
        </w:rPr>
        <w:t>As Amended 1990)</w:t>
      </w:r>
      <w:r w:rsidRPr="00BC06D5">
        <w:rPr>
          <w:bCs/>
        </w:rPr>
        <w:t xml:space="preserve">, 1996 Edition, 1996 </w:t>
      </w:r>
      <w:r w:rsidRPr="00BC06D5">
        <w:t>Edition</w:t>
      </w:r>
      <w:r w:rsidRPr="00BC06D5">
        <w:rPr>
          <w:bCs/>
        </w:rPr>
        <w:t xml:space="preserve"> (Revised), 1996 (As Amended 2003), 2005, 2009 Editions of IAE</w:t>
      </w:r>
      <w:r>
        <w:rPr>
          <w:bCs/>
        </w:rPr>
        <w:t xml:space="preserve">A Safety Series No. 6 and 2012 </w:t>
      </w:r>
      <w:r w:rsidRPr="00BC06D5">
        <w:rPr>
          <w:bCs/>
        </w:rPr>
        <w:t>Edition of IAEA Safety Standards Serie No. SSR-6”.</w:t>
      </w:r>
    </w:p>
    <w:p w:rsidR="00B562D6" w:rsidRPr="007D36A1" w:rsidRDefault="00B562D6" w:rsidP="00B562D6">
      <w:pPr>
        <w:pStyle w:val="SingleTxtG"/>
        <w:tabs>
          <w:tab w:val="left" w:pos="2268"/>
        </w:tabs>
        <w:rPr>
          <w:b/>
          <w:bCs/>
        </w:rPr>
      </w:pPr>
      <w:r>
        <w:rPr>
          <w:i/>
        </w:rPr>
        <w:t>(Reference document: ST/SG/AC.10/C.3/2018/54)</w:t>
      </w:r>
    </w:p>
    <w:p w:rsidR="00B562D6" w:rsidRPr="007D36A1" w:rsidRDefault="00B562D6" w:rsidP="00B562D6">
      <w:pPr>
        <w:pStyle w:val="SingleTxtG"/>
        <w:tabs>
          <w:tab w:val="left" w:pos="2268"/>
        </w:tabs>
      </w:pPr>
      <w:r w:rsidRPr="007D36A1">
        <w:t>6.4.24.</w:t>
      </w:r>
      <w:r>
        <w:t>6 (previously 6.4.24.5)</w:t>
      </w:r>
      <w:r w:rsidRPr="007D36A1">
        <w:tab/>
        <w:t>Amend to read as follows:</w:t>
      </w:r>
    </w:p>
    <w:p w:rsidR="00B562D6" w:rsidRPr="007D36A1" w:rsidRDefault="00B562D6" w:rsidP="00B562D6">
      <w:pPr>
        <w:pStyle w:val="SingleTxtG"/>
        <w:tabs>
          <w:tab w:val="left" w:pos="2268"/>
        </w:tabs>
      </w:pPr>
      <w:r w:rsidRPr="007D36A1">
        <w:lastRenderedPageBreak/>
        <w:t>“</w:t>
      </w:r>
      <w:r>
        <w:t>6.4.24.6</w:t>
      </w:r>
      <w:r>
        <w:tab/>
      </w:r>
      <w:r w:rsidRPr="007D36A1">
        <w:t>Special form radioactive material manufactured to a design that had received unilateral approval by the competent authority under the 1985, 1985 (As Amended 1990), 1996 Edition, 1996 Edition (Revised), 1996 (As Amended 2003), 2005, 2009 and 2012</w:t>
      </w:r>
      <w:r w:rsidRPr="007D36A1">
        <w:rPr>
          <w:b/>
        </w:rPr>
        <w:t xml:space="preserve"> </w:t>
      </w:r>
      <w:r w:rsidRPr="007D36A1">
        <w:t>Editions of IAEA Regulations may continue to be used when in compliance with the mandatory management system in accordance with the applicable requirements of 1.5.3.1 . There shall be no new manufacture of special form radioactive material to a design that had received unilateral approval by the competent authority under the 1985 or 1985 (As Amended 1990) Editions of these Regulations. No new manufacture of special form radioactive material to a design that had received unilateral approval by the competent authority under the 1996 Edition, 1996 Edition (Revised), 1996 (As Amended 2003), 2005, 2009 and 2012 Editions of these Regulations shall be permitted to c</w:t>
      </w:r>
      <w:r>
        <w:t>ommence after 31 December 2025.”.</w:t>
      </w:r>
    </w:p>
    <w:p w:rsidR="00B562D6" w:rsidRPr="001E6DE2" w:rsidRDefault="00B562D6" w:rsidP="00DA47FD">
      <w:pPr>
        <w:spacing w:before="120" w:line="240" w:lineRule="auto"/>
        <w:ind w:left="1134" w:right="1134"/>
        <w:jc w:val="both"/>
        <w:rPr>
          <w:i/>
          <w:iCs/>
          <w:lang w:val="en-US"/>
        </w:rPr>
      </w:pPr>
      <w:r>
        <w:rPr>
          <w:i/>
        </w:rPr>
        <w:t>(Reference document: ST/SG/AC.10/C.3/2018/54)</w:t>
      </w:r>
    </w:p>
    <w:p w:rsidR="0094601A" w:rsidRPr="0010563A" w:rsidRDefault="0094601A" w:rsidP="0094601A">
      <w:pPr>
        <w:pStyle w:val="H1G"/>
      </w:pPr>
      <w:r>
        <w:tab/>
      </w:r>
      <w:r>
        <w:tab/>
      </w:r>
      <w:r w:rsidRPr="0010563A">
        <w:t>Chapter 6.5</w:t>
      </w:r>
    </w:p>
    <w:p w:rsidR="003C54C7" w:rsidRDefault="003C54C7" w:rsidP="003C54C7">
      <w:pPr>
        <w:pStyle w:val="SingleTxtG"/>
      </w:pPr>
      <w:r>
        <w:t>Add the following new 6.5.2.1.3:</w:t>
      </w:r>
    </w:p>
    <w:p w:rsidR="003C54C7" w:rsidRDefault="003C54C7" w:rsidP="003C54C7">
      <w:pPr>
        <w:pStyle w:val="SingleTxtG"/>
      </w:pPr>
      <w:r>
        <w:t>“</w:t>
      </w:r>
      <w:r w:rsidRPr="00357579">
        <w:t>6.5.2.1.3</w:t>
      </w:r>
      <w:r w:rsidRPr="00357579">
        <w:tab/>
        <w:t>Where an IBC conforms to one or more than one tested IBC design type, including one or more than one tested packaging or large packaging design type, the IBC may bear more than one mark to indicate the relevant performance test requirements that have been met.</w:t>
      </w:r>
      <w:r w:rsidRPr="00C85EAD">
        <w:rPr>
          <w:iCs/>
          <w:lang w:val="en-US"/>
        </w:rPr>
        <w:t xml:space="preserve"> </w:t>
      </w:r>
      <w:r w:rsidRPr="00876370">
        <w:rPr>
          <w:iCs/>
          <w:lang w:val="en-US"/>
        </w:rPr>
        <w:t>Where more than one m</w:t>
      </w:r>
      <w:r>
        <w:rPr>
          <w:iCs/>
          <w:lang w:val="en-US"/>
        </w:rPr>
        <w:t>ark appears on a packaging,</w:t>
      </w:r>
      <w:r w:rsidRPr="00876370">
        <w:rPr>
          <w:iCs/>
          <w:lang w:val="en-US"/>
        </w:rPr>
        <w:t xml:space="preserve"> the marks must appear in close proximity to one another and each mark </w:t>
      </w:r>
      <w:r>
        <w:rPr>
          <w:iCs/>
          <w:lang w:val="en-US"/>
        </w:rPr>
        <w:t>shall</w:t>
      </w:r>
      <w:r w:rsidRPr="00876370">
        <w:rPr>
          <w:iCs/>
          <w:lang w:val="en-US"/>
        </w:rPr>
        <w:t xml:space="preserve"> appear in its entirety.</w:t>
      </w:r>
      <w:r w:rsidRPr="00357579">
        <w:t>”</w:t>
      </w:r>
      <w:r>
        <w:t>.</w:t>
      </w:r>
    </w:p>
    <w:p w:rsidR="003C54C7" w:rsidRPr="004631AC" w:rsidRDefault="003C54C7">
      <w:pPr>
        <w:pStyle w:val="SingleTxtG"/>
        <w:rPr>
          <w:bCs/>
          <w:i/>
          <w:iCs/>
          <w:lang w:val="en-US"/>
        </w:rPr>
      </w:pPr>
      <w:r w:rsidRPr="00977189">
        <w:rPr>
          <w:i/>
          <w:iCs/>
          <w:lang w:val="en-US"/>
        </w:rPr>
        <w:t xml:space="preserve">(Reference document: </w:t>
      </w:r>
      <w:bookmarkStart w:id="8" w:name="_Hlk524501926"/>
      <w:r w:rsidR="00C3339B" w:rsidRPr="00020245">
        <w:rPr>
          <w:i/>
          <w:iCs/>
        </w:rPr>
        <w:t>ST/SG/AC.10/C.3/</w:t>
      </w:r>
      <w:r w:rsidR="00C3339B">
        <w:rPr>
          <w:i/>
          <w:iCs/>
        </w:rPr>
        <w:t>106/Add.1</w:t>
      </w:r>
      <w:bookmarkEnd w:id="8"/>
      <w:r w:rsidRPr="00977189">
        <w:rPr>
          <w:bCs/>
          <w:i/>
          <w:iCs/>
          <w:lang w:val="en-US"/>
        </w:rPr>
        <w:t>, replaces the amendment in annex II of document ST</w:t>
      </w:r>
      <w:r>
        <w:rPr>
          <w:bCs/>
          <w:i/>
          <w:iCs/>
          <w:lang w:val="en-US"/>
        </w:rPr>
        <w:t>/SG/AC.10/C.3/104/Add.1</w:t>
      </w:r>
      <w:r w:rsidRPr="00977189">
        <w:rPr>
          <w:bCs/>
          <w:i/>
          <w:iCs/>
          <w:lang w:val="en-US"/>
        </w:rPr>
        <w:t>)</w:t>
      </w:r>
    </w:p>
    <w:p w:rsidR="0094601A" w:rsidRPr="00755589" w:rsidRDefault="0094601A" w:rsidP="0094601A">
      <w:pPr>
        <w:pStyle w:val="SingleTxtG"/>
      </w:pPr>
      <w:r w:rsidRPr="00755589">
        <w:t>6.5.2.2.1</w:t>
      </w:r>
      <w:r w:rsidRPr="00755589">
        <w:tab/>
        <w:t>Delete</w:t>
      </w:r>
      <w:r>
        <w:t xml:space="preserve"> </w:t>
      </w:r>
      <w:r w:rsidRPr="00755589">
        <w:t>the last row in the table</w:t>
      </w:r>
      <w:r>
        <w:t xml:space="preserve"> (</w:t>
      </w:r>
      <w:r w:rsidRPr="00755589">
        <w:t>Maximum permitted stacking load</w:t>
      </w:r>
      <w:r>
        <w:t>)</w:t>
      </w:r>
      <w:r w:rsidRPr="00755589">
        <w:t xml:space="preserve"> and the corresponding footnote b.</w:t>
      </w:r>
    </w:p>
    <w:p w:rsidR="0094601A" w:rsidRDefault="0094601A" w:rsidP="0094601A">
      <w:pPr>
        <w:pStyle w:val="SingleTxtG"/>
        <w:rPr>
          <w:i/>
          <w:iCs/>
          <w:lang w:val="fr-CH"/>
        </w:rPr>
      </w:pPr>
      <w:r w:rsidRPr="001A2079">
        <w:rPr>
          <w:i/>
          <w:iCs/>
          <w:lang w:val="fr-CH"/>
        </w:rPr>
        <w:t xml:space="preserve">(Reference document: </w:t>
      </w:r>
      <w:r w:rsidR="00C3339B" w:rsidRPr="00020245">
        <w:rPr>
          <w:i/>
          <w:iCs/>
        </w:rPr>
        <w:t>ST/SG/AC.10/C.3/</w:t>
      </w:r>
      <w:r w:rsidR="00C3339B">
        <w:rPr>
          <w:i/>
          <w:iCs/>
        </w:rPr>
        <w:t>10</w:t>
      </w:r>
      <w:r w:rsidR="008043EC">
        <w:rPr>
          <w:i/>
          <w:iCs/>
        </w:rPr>
        <w:t>4</w:t>
      </w:r>
      <w:r w:rsidR="00C3339B">
        <w:rPr>
          <w:i/>
          <w:iCs/>
        </w:rPr>
        <w:t>/Add.1</w:t>
      </w:r>
      <w:r w:rsidRPr="001A2079">
        <w:rPr>
          <w:i/>
          <w:iCs/>
          <w:lang w:val="fr-CH"/>
        </w:rPr>
        <w:t>)</w:t>
      </w:r>
    </w:p>
    <w:p w:rsidR="003C54C7" w:rsidRPr="00CE6BD2" w:rsidRDefault="003C54C7" w:rsidP="003C54C7">
      <w:pPr>
        <w:pStyle w:val="SingleTxtG"/>
        <w:rPr>
          <w:highlight w:val="yellow"/>
        </w:rPr>
      </w:pPr>
      <w:r w:rsidRPr="005F1207">
        <w:t>6.5.2.2.2</w:t>
      </w:r>
      <w:r w:rsidRPr="005F1207">
        <w:tab/>
        <w:t>In the first sentence, delete “when the IBC is in use”.</w:t>
      </w:r>
      <w:r w:rsidRPr="00CE6BD2">
        <w:rPr>
          <w:highlight w:val="yellow"/>
        </w:rPr>
        <w:t xml:space="preserve"> </w:t>
      </w:r>
    </w:p>
    <w:p w:rsidR="003C54C7" w:rsidRDefault="003C54C7" w:rsidP="003C54C7">
      <w:pPr>
        <w:pStyle w:val="SingleTxtG"/>
        <w:rPr>
          <w:i/>
          <w:iCs/>
          <w:lang w:val="en-US"/>
        </w:rPr>
      </w:pPr>
      <w:r w:rsidRPr="00065624">
        <w:rPr>
          <w:i/>
          <w:iCs/>
        </w:rPr>
        <w:t>(</w:t>
      </w:r>
      <w:r w:rsidRPr="00065624">
        <w:rPr>
          <w:i/>
          <w:iCs/>
          <w:lang w:val="en-US"/>
        </w:rPr>
        <w:t xml:space="preserve">Reference document: </w:t>
      </w:r>
      <w:r w:rsidR="00C3339B" w:rsidRPr="00020245">
        <w:rPr>
          <w:i/>
          <w:iCs/>
        </w:rPr>
        <w:t>ST/SG/AC.10/C.3/</w:t>
      </w:r>
      <w:r w:rsidR="00C3339B">
        <w:rPr>
          <w:i/>
          <w:iCs/>
        </w:rPr>
        <w:t>106/Add.1</w:t>
      </w:r>
      <w:r w:rsidRPr="00065624">
        <w:rPr>
          <w:i/>
          <w:iCs/>
          <w:lang w:val="en-US"/>
        </w:rPr>
        <w:t>)</w:t>
      </w:r>
    </w:p>
    <w:p w:rsidR="003C54C7" w:rsidRPr="008B4351" w:rsidRDefault="003C54C7" w:rsidP="003C54C7">
      <w:pPr>
        <w:pStyle w:val="SingleTxtG"/>
        <w:rPr>
          <w:lang w:val="en-US"/>
        </w:rPr>
      </w:pPr>
      <w:r w:rsidRPr="008B4351">
        <w:rPr>
          <w:lang w:val="en-US"/>
        </w:rPr>
        <w:t>6.5.2.2.4</w:t>
      </w:r>
      <w:r w:rsidRPr="008B4351">
        <w:rPr>
          <w:lang w:val="en-US"/>
        </w:rPr>
        <w:tab/>
        <w:t>In the second paragraph, amend the sec</w:t>
      </w:r>
      <w:r>
        <w:rPr>
          <w:lang w:val="en-US"/>
        </w:rPr>
        <w:t>ond sentence to read as follows</w:t>
      </w:r>
      <w:r w:rsidRPr="008B4351">
        <w:rPr>
          <w:lang w:val="en-US"/>
        </w:rPr>
        <w:t>:</w:t>
      </w:r>
    </w:p>
    <w:p w:rsidR="003C54C7" w:rsidRPr="008B4351" w:rsidRDefault="003C54C7" w:rsidP="003C54C7">
      <w:pPr>
        <w:pStyle w:val="SingleTxtG"/>
        <w:rPr>
          <w:lang w:val="en-US"/>
        </w:rPr>
      </w:pPr>
      <w:r>
        <w:rPr>
          <w:lang w:val="en-US"/>
        </w:rPr>
        <w:t>“</w:t>
      </w:r>
      <w:r w:rsidRPr="00F37D94">
        <w:t>In such a case</w:t>
      </w:r>
      <w:r>
        <w:t>,</w:t>
      </w:r>
      <w:r w:rsidRPr="00F37D94">
        <w:t xml:space="preserve"> </w:t>
      </w:r>
      <w:r w:rsidRPr="008B4351">
        <w:t>the date may be waived from the remainder of the marks.”.</w:t>
      </w:r>
    </w:p>
    <w:p w:rsidR="003C54C7" w:rsidRPr="004631AC" w:rsidRDefault="003C54C7">
      <w:pPr>
        <w:pStyle w:val="SingleTxtG"/>
        <w:rPr>
          <w:i/>
          <w:iCs/>
          <w:lang w:val="en-US"/>
        </w:rPr>
      </w:pPr>
      <w:r>
        <w:rPr>
          <w:i/>
          <w:iCs/>
          <w:lang w:val="en-US"/>
        </w:rPr>
        <w:t>(Reference document</w:t>
      </w:r>
      <w:r w:rsidRPr="001B36C9">
        <w:rPr>
          <w:i/>
          <w:iCs/>
          <w:lang w:val="en-US"/>
        </w:rPr>
        <w:t xml:space="preserve">: </w:t>
      </w:r>
      <w:r w:rsidR="00C3339B" w:rsidRPr="00020245">
        <w:rPr>
          <w:i/>
          <w:iCs/>
        </w:rPr>
        <w:t>ST/SG/AC.10/C.3/</w:t>
      </w:r>
      <w:r w:rsidR="00C3339B">
        <w:rPr>
          <w:i/>
          <w:iCs/>
        </w:rPr>
        <w:t>106/Add.1</w:t>
      </w:r>
      <w:r w:rsidRPr="001B36C9">
        <w:rPr>
          <w:i/>
          <w:iCs/>
          <w:lang w:val="en-US"/>
        </w:rPr>
        <w:t>)</w:t>
      </w:r>
    </w:p>
    <w:p w:rsidR="0094601A" w:rsidRPr="0010563A" w:rsidRDefault="0094601A" w:rsidP="0094601A">
      <w:pPr>
        <w:pStyle w:val="H1G"/>
      </w:pPr>
      <w:r w:rsidRPr="004739D6">
        <w:tab/>
      </w:r>
      <w:r w:rsidRPr="004739D6">
        <w:tab/>
      </w:r>
      <w:r w:rsidRPr="0010563A">
        <w:t>Chapter 6.6</w:t>
      </w:r>
    </w:p>
    <w:p w:rsidR="003C54C7" w:rsidRDefault="003C54C7" w:rsidP="003C54C7">
      <w:pPr>
        <w:pStyle w:val="SingleTxtG"/>
      </w:pPr>
      <w:r>
        <w:t>6.6.3.3</w:t>
      </w:r>
      <w:r>
        <w:tab/>
      </w:r>
      <w:r>
        <w:tab/>
        <w:t>In the first sentence, delete “when the large packaging is in use”.</w:t>
      </w:r>
    </w:p>
    <w:p w:rsidR="003C54C7" w:rsidRDefault="003C54C7" w:rsidP="003C54C7">
      <w:pPr>
        <w:pStyle w:val="SingleTxtG"/>
        <w:rPr>
          <w:i/>
          <w:iCs/>
          <w:lang w:val="en-US"/>
        </w:rPr>
      </w:pPr>
      <w:r w:rsidRPr="001539C6">
        <w:rPr>
          <w:i/>
          <w:iCs/>
        </w:rPr>
        <w:t>(</w:t>
      </w:r>
      <w:r>
        <w:rPr>
          <w:i/>
          <w:iCs/>
          <w:lang w:val="en-US"/>
        </w:rPr>
        <w:t>Reference document</w:t>
      </w:r>
      <w:r w:rsidRPr="00325855">
        <w:rPr>
          <w:i/>
          <w:iCs/>
          <w:lang w:val="en-US"/>
        </w:rPr>
        <w:t>:</w:t>
      </w:r>
      <w:r>
        <w:rPr>
          <w:i/>
          <w:iCs/>
          <w:lang w:val="en-US"/>
        </w:rPr>
        <w:t xml:space="preserve"> </w:t>
      </w:r>
      <w:r w:rsidR="007B6374" w:rsidRPr="00020245">
        <w:rPr>
          <w:i/>
          <w:iCs/>
        </w:rPr>
        <w:t>ST/SG/AC.10/C.3/</w:t>
      </w:r>
      <w:r w:rsidR="007B6374">
        <w:rPr>
          <w:i/>
          <w:iCs/>
        </w:rPr>
        <w:t>106/Add.1</w:t>
      </w:r>
      <w:r>
        <w:rPr>
          <w:i/>
          <w:iCs/>
          <w:lang w:val="en-US"/>
        </w:rPr>
        <w:t>)</w:t>
      </w:r>
    </w:p>
    <w:p w:rsidR="003C54C7" w:rsidRDefault="003C54C7" w:rsidP="003C54C7">
      <w:pPr>
        <w:pStyle w:val="SingleTxtG"/>
      </w:pPr>
      <w:r>
        <w:t>Add the following new 6.6.3.4:</w:t>
      </w:r>
    </w:p>
    <w:p w:rsidR="003C54C7" w:rsidRPr="00A71F50" w:rsidRDefault="003C54C7" w:rsidP="003C54C7">
      <w:pPr>
        <w:pStyle w:val="SingleTxtG"/>
        <w:rPr>
          <w:lang w:val="en-US"/>
        </w:rPr>
      </w:pPr>
      <w:r w:rsidRPr="00A71F50">
        <w:t>“</w:t>
      </w:r>
      <w:r w:rsidRPr="00A71F50">
        <w:rPr>
          <w:lang w:val="en-US"/>
        </w:rPr>
        <w:t>6.6.3.4</w:t>
      </w:r>
      <w:r w:rsidRPr="00A71F50">
        <w:rPr>
          <w:lang w:val="en-US"/>
        </w:rPr>
        <w:tab/>
      </w:r>
      <w:r w:rsidRPr="00A71F50">
        <w:rPr>
          <w:iCs/>
          <w:lang w:val="en-US"/>
        </w:rPr>
        <w:t>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w:t>
      </w:r>
      <w:r w:rsidRPr="00C85EAD">
        <w:rPr>
          <w:iCs/>
          <w:lang w:val="en-US"/>
        </w:rPr>
        <w:t xml:space="preserve"> </w:t>
      </w:r>
      <w:r w:rsidRPr="00876370">
        <w:rPr>
          <w:iCs/>
          <w:lang w:val="en-US"/>
        </w:rPr>
        <w:t>Where more than one m</w:t>
      </w:r>
      <w:r>
        <w:rPr>
          <w:iCs/>
          <w:lang w:val="en-US"/>
        </w:rPr>
        <w:t>ark appears on a packaging,</w:t>
      </w:r>
      <w:r w:rsidRPr="00876370">
        <w:rPr>
          <w:iCs/>
          <w:lang w:val="en-US"/>
        </w:rPr>
        <w:t xml:space="preserve"> the marks must appear in close proximity to one another and each mark must appear in its entirety.</w:t>
      </w:r>
      <w:r w:rsidRPr="00A71F50">
        <w:rPr>
          <w:iCs/>
          <w:lang w:val="en-US"/>
        </w:rPr>
        <w:t>”.</w:t>
      </w:r>
    </w:p>
    <w:p w:rsidR="003C54C7" w:rsidRPr="004631AC" w:rsidRDefault="003C54C7">
      <w:pPr>
        <w:pStyle w:val="SingleTxtG"/>
        <w:rPr>
          <w:bCs/>
          <w:i/>
          <w:iCs/>
          <w:lang w:val="en-US"/>
        </w:rPr>
      </w:pPr>
      <w:r w:rsidRPr="00A71F50">
        <w:rPr>
          <w:i/>
          <w:iCs/>
          <w:lang w:val="en-US"/>
        </w:rPr>
        <w:t xml:space="preserve">(Reference document: </w:t>
      </w:r>
      <w:r w:rsidR="007B6374" w:rsidRPr="00020245">
        <w:rPr>
          <w:i/>
          <w:iCs/>
        </w:rPr>
        <w:t>ST/SG/AC.10/C.3/</w:t>
      </w:r>
      <w:r w:rsidR="007B6374">
        <w:rPr>
          <w:i/>
          <w:iCs/>
        </w:rPr>
        <w:t>106/Add.1</w:t>
      </w:r>
      <w:r w:rsidRPr="00977189">
        <w:rPr>
          <w:bCs/>
          <w:i/>
          <w:iCs/>
          <w:lang w:val="en-US"/>
        </w:rPr>
        <w:t>, replaces the amendment in annex II of document ST</w:t>
      </w:r>
      <w:r>
        <w:rPr>
          <w:bCs/>
          <w:i/>
          <w:iCs/>
          <w:lang w:val="en-US"/>
        </w:rPr>
        <w:t>/SG/AC.10/C.3/104/Add.1</w:t>
      </w:r>
      <w:r w:rsidRPr="00977189">
        <w:rPr>
          <w:bCs/>
          <w:i/>
          <w:iCs/>
          <w:lang w:val="en-US"/>
        </w:rPr>
        <w:t>)</w:t>
      </w:r>
    </w:p>
    <w:p w:rsidR="0089110F" w:rsidRPr="000E4463" w:rsidRDefault="0089110F" w:rsidP="00E26FF8">
      <w:pPr>
        <w:pStyle w:val="H1G"/>
        <w:keepNext w:val="0"/>
        <w:keepLines w:val="0"/>
        <w:spacing w:before="0"/>
        <w:ind w:left="1138" w:right="1138" w:hanging="1138"/>
      </w:pPr>
      <w:r w:rsidRPr="000E4463">
        <w:lastRenderedPageBreak/>
        <w:tab/>
      </w:r>
      <w:r w:rsidRPr="000E4463">
        <w:tab/>
        <w:t>Chapter 6.7</w:t>
      </w:r>
    </w:p>
    <w:p w:rsidR="00E20018" w:rsidRDefault="00E20018" w:rsidP="00E20018">
      <w:pPr>
        <w:pStyle w:val="SingleTxtG"/>
      </w:pPr>
      <w:r w:rsidRPr="001260A8">
        <w:t xml:space="preserve">6.7.2.12.2.1 and 6.7.3.8.1.1 </w:t>
      </w:r>
      <w:r>
        <w:tab/>
        <w:t xml:space="preserve">Amend the definition of </w:t>
      </w:r>
      <w:r w:rsidRPr="001260A8">
        <w:t xml:space="preserve">factor </w:t>
      </w:r>
      <w:r>
        <w:t>“</w:t>
      </w:r>
      <w:r w:rsidRPr="001260A8">
        <w:t>U</w:t>
      </w:r>
      <w:r>
        <w:t>”</w:t>
      </w:r>
      <w:r w:rsidRPr="001260A8">
        <w:t xml:space="preserve"> to read:</w:t>
      </w:r>
      <w:r>
        <w:t xml:space="preserve"> </w:t>
      </w:r>
    </w:p>
    <w:p w:rsidR="00E20018" w:rsidRPr="001260A8" w:rsidRDefault="00E20018" w:rsidP="00E20018">
      <w:pPr>
        <w:pStyle w:val="SingleTxtG"/>
      </w:pPr>
      <w:r>
        <w:t>“</w:t>
      </w:r>
      <w:r w:rsidRPr="001260A8">
        <w:t>U = heat transfer coefficient of the insulation, in kW·m</w:t>
      </w:r>
      <w:r w:rsidRPr="00721499">
        <w:rPr>
          <w:vertAlign w:val="superscript"/>
        </w:rPr>
        <w:t>-</w:t>
      </w:r>
      <w:r w:rsidRPr="003A2DEF">
        <w:rPr>
          <w:vertAlign w:val="superscript"/>
        </w:rPr>
        <w:t>2</w:t>
      </w:r>
      <w:r w:rsidRPr="001260A8">
        <w:t>·K</w:t>
      </w:r>
      <w:r w:rsidRPr="00721499">
        <w:rPr>
          <w:vertAlign w:val="superscript"/>
        </w:rPr>
        <w:t>-</w:t>
      </w:r>
      <w:r w:rsidRPr="003A2DEF">
        <w:rPr>
          <w:vertAlign w:val="superscript"/>
        </w:rPr>
        <w:t>1</w:t>
      </w:r>
      <w:r w:rsidRPr="001260A8">
        <w:t>, at 38</w:t>
      </w:r>
      <w:r>
        <w:t xml:space="preserve"> </w:t>
      </w:r>
      <w:r w:rsidRPr="001260A8">
        <w:t>°</w:t>
      </w:r>
      <w:r>
        <w:t>C”.</w:t>
      </w:r>
    </w:p>
    <w:p w:rsidR="00E20018" w:rsidRPr="004631AC" w:rsidRDefault="00E20018">
      <w:pPr>
        <w:pStyle w:val="SingleTxtG"/>
        <w:rPr>
          <w:i/>
          <w:iCs/>
          <w:lang w:val="en-US"/>
        </w:rPr>
      </w:pPr>
      <w:r w:rsidRPr="004631AC">
        <w:rPr>
          <w:i/>
          <w:iCs/>
        </w:rPr>
        <w:t xml:space="preserve">(Reference document: </w:t>
      </w:r>
      <w:r w:rsidR="007B6374" w:rsidRPr="00020245">
        <w:rPr>
          <w:i/>
          <w:iCs/>
        </w:rPr>
        <w:t>ST/SG/AC.10/C.3/</w:t>
      </w:r>
      <w:r w:rsidR="007B6374">
        <w:rPr>
          <w:i/>
          <w:iCs/>
        </w:rPr>
        <w:t>106/Add.1</w:t>
      </w:r>
      <w:r w:rsidRPr="004631AC">
        <w:rPr>
          <w:i/>
          <w:iCs/>
          <w:lang w:val="en-US"/>
        </w:rPr>
        <w:t>)</w:t>
      </w:r>
    </w:p>
    <w:p w:rsidR="0089110F" w:rsidRPr="000E4463" w:rsidRDefault="0089110F" w:rsidP="0089110F">
      <w:pPr>
        <w:pStyle w:val="SingleTxtG"/>
      </w:pPr>
      <w:r w:rsidRPr="000E4463">
        <w:t>6.7.5.2.3</w:t>
      </w:r>
      <w:r w:rsidRPr="000E4463">
        <w:tab/>
        <w:t>In the first sentence, after “seamless steel” insert “or composite construction”.</w:t>
      </w:r>
    </w:p>
    <w:p w:rsidR="0089110F" w:rsidRPr="000E4463" w:rsidRDefault="0089110F" w:rsidP="0089110F">
      <w:pPr>
        <w:pStyle w:val="SingleTxtG"/>
        <w:rPr>
          <w:i/>
        </w:rPr>
      </w:pPr>
      <w:r w:rsidRPr="000E4463">
        <w:rPr>
          <w:i/>
        </w:rPr>
        <w:t xml:space="preserve">(Reference document: </w:t>
      </w:r>
      <w:r w:rsidR="007B6374" w:rsidRPr="00020245">
        <w:rPr>
          <w:i/>
          <w:iCs/>
        </w:rPr>
        <w:t>ST/SG/AC.10/C.3/</w:t>
      </w:r>
      <w:r w:rsidR="007B6374">
        <w:rPr>
          <w:i/>
          <w:iCs/>
        </w:rPr>
        <w:t>102/Add.1</w:t>
      </w:r>
      <w:r w:rsidRPr="000E4463">
        <w:rPr>
          <w:i/>
        </w:rPr>
        <w:t>)</w:t>
      </w:r>
    </w:p>
    <w:p w:rsidR="0089110F" w:rsidRPr="000E4463" w:rsidRDefault="0089110F" w:rsidP="0089110F">
      <w:pPr>
        <w:pStyle w:val="SingleTxtG"/>
        <w:tabs>
          <w:tab w:val="left" w:pos="2268"/>
        </w:tabs>
        <w:rPr>
          <w:bCs/>
        </w:rPr>
      </w:pPr>
      <w:r w:rsidRPr="000E4463">
        <w:t>6.7.5.2.4 (a)</w:t>
      </w:r>
      <w:r w:rsidRPr="000E4463">
        <w:tab/>
      </w:r>
      <w:r w:rsidRPr="000E4463">
        <w:rPr>
          <w:bCs/>
        </w:rPr>
        <w:t>Replace “ISO 11114-1:2012” by “ISO 11114-1:2012 + Amd 1:2017”.</w:t>
      </w:r>
    </w:p>
    <w:p w:rsidR="0089110F" w:rsidRDefault="0089110F" w:rsidP="0089110F">
      <w:pPr>
        <w:pStyle w:val="SingleTxtG"/>
        <w:tabs>
          <w:tab w:val="left" w:pos="2268"/>
        </w:tabs>
        <w:rPr>
          <w:i/>
        </w:rPr>
      </w:pPr>
      <w:r w:rsidRPr="000E4463">
        <w:rPr>
          <w:bCs/>
          <w:i/>
        </w:rPr>
        <w:t>(Reference document:</w:t>
      </w:r>
      <w:r w:rsidRPr="000E4463">
        <w:rPr>
          <w:i/>
        </w:rPr>
        <w:t xml:space="preserve"> </w:t>
      </w:r>
      <w:r w:rsidR="007B6374" w:rsidRPr="00020245">
        <w:rPr>
          <w:i/>
          <w:iCs/>
        </w:rPr>
        <w:t>ST/SG/AC.10/C.3/</w:t>
      </w:r>
      <w:r w:rsidR="007B6374">
        <w:rPr>
          <w:i/>
          <w:iCs/>
        </w:rPr>
        <w:t>102/Add.1</w:t>
      </w:r>
      <w:r w:rsidRPr="000E4463">
        <w:rPr>
          <w:i/>
        </w:rPr>
        <w:t>)</w:t>
      </w:r>
    </w:p>
    <w:p w:rsidR="00EB7D73" w:rsidRPr="00BF1321" w:rsidRDefault="00EB7D73" w:rsidP="008043EC">
      <w:pPr>
        <w:pStyle w:val="H1G"/>
        <w:spacing w:before="0"/>
        <w:rPr>
          <w:lang w:val="en-US"/>
        </w:rPr>
      </w:pPr>
      <w:r>
        <w:rPr>
          <w:lang w:val="en-US"/>
        </w:rPr>
        <w:tab/>
      </w:r>
      <w:r>
        <w:rPr>
          <w:lang w:val="en-US"/>
        </w:rPr>
        <w:tab/>
      </w:r>
      <w:r w:rsidRPr="00BF1321">
        <w:rPr>
          <w:lang w:val="en-US"/>
        </w:rPr>
        <w:t>Chapter 7.1</w:t>
      </w:r>
    </w:p>
    <w:p w:rsidR="00EB7D73" w:rsidRDefault="00EB7D73" w:rsidP="00EB7D73">
      <w:pPr>
        <w:pStyle w:val="SingleTxtG"/>
        <w:rPr>
          <w:lang w:val="en-US"/>
        </w:rPr>
      </w:pPr>
      <w:r>
        <w:rPr>
          <w:lang w:val="en-US"/>
        </w:rPr>
        <w:t>[7.1.5.4.5 (b)</w:t>
      </w:r>
      <w:r>
        <w:rPr>
          <w:lang w:val="en-US"/>
        </w:rPr>
        <w:tab/>
        <w:t>At the end, add “or a means of replenishment is assured;”.]</w:t>
      </w:r>
    </w:p>
    <w:p w:rsidR="00EB7D73" w:rsidRDefault="00EB7D73" w:rsidP="00EB7D73">
      <w:pPr>
        <w:pStyle w:val="SingleTxtG"/>
        <w:rPr>
          <w:i/>
          <w:iCs/>
          <w:lang w:val="en-US"/>
        </w:rPr>
      </w:pPr>
      <w:r w:rsidRPr="008B7426">
        <w:rPr>
          <w:i/>
          <w:iCs/>
          <w:lang w:val="en-US"/>
        </w:rPr>
        <w:t xml:space="preserve">(Reference document: </w:t>
      </w:r>
      <w:r w:rsidR="009763D5" w:rsidRPr="00020245">
        <w:rPr>
          <w:i/>
          <w:iCs/>
        </w:rPr>
        <w:t>ST/SG/AC.10/C.3/</w:t>
      </w:r>
      <w:r w:rsidR="009763D5">
        <w:rPr>
          <w:i/>
          <w:iCs/>
        </w:rPr>
        <w:t>106/Add.1</w:t>
      </w:r>
      <w:r w:rsidRPr="008B7426">
        <w:rPr>
          <w:i/>
          <w:iCs/>
          <w:lang w:val="en-US"/>
        </w:rPr>
        <w:t>)</w:t>
      </w:r>
    </w:p>
    <w:p w:rsidR="005E0022" w:rsidRDefault="005E0022" w:rsidP="005E0022">
      <w:pPr>
        <w:pStyle w:val="SingleTxtG"/>
        <w:rPr>
          <w:lang w:val="en-US"/>
        </w:rPr>
      </w:pPr>
      <w:r>
        <w:rPr>
          <w:lang w:val="en-US"/>
        </w:rPr>
        <w:t>[7.1.5.4.5 (c)</w:t>
      </w:r>
      <w:r>
        <w:rPr>
          <w:lang w:val="en-US"/>
        </w:rPr>
        <w:tab/>
        <w:t>In the beginning, add “Thermal insulation and”. At the end, after “flammable vapours”, add “from the substances;”.]</w:t>
      </w:r>
    </w:p>
    <w:p w:rsidR="005E0022" w:rsidRDefault="005E0022" w:rsidP="005E0022">
      <w:pPr>
        <w:pStyle w:val="SingleTxtG"/>
        <w:rPr>
          <w:i/>
          <w:iCs/>
          <w:lang w:val="en-US"/>
        </w:rPr>
      </w:pPr>
      <w:r w:rsidRPr="008B7426">
        <w:rPr>
          <w:i/>
          <w:iCs/>
          <w:lang w:val="en-US"/>
        </w:rPr>
        <w:t xml:space="preserve">(Reference document: </w:t>
      </w:r>
      <w:r w:rsidR="009763D5" w:rsidRPr="00020245">
        <w:rPr>
          <w:i/>
          <w:iCs/>
        </w:rPr>
        <w:t>ST/SG/AC.10/C.3/</w:t>
      </w:r>
      <w:r w:rsidR="009763D5">
        <w:rPr>
          <w:i/>
          <w:iCs/>
        </w:rPr>
        <w:t>106/Add.1</w:t>
      </w:r>
      <w:r w:rsidRPr="008B7426">
        <w:rPr>
          <w:i/>
          <w:iCs/>
          <w:lang w:val="en-US"/>
        </w:rPr>
        <w:t>)</w:t>
      </w:r>
    </w:p>
    <w:p w:rsidR="005E0022" w:rsidRPr="008B7426" w:rsidRDefault="005E0022" w:rsidP="005E0022">
      <w:pPr>
        <w:pStyle w:val="SingleTxtG"/>
      </w:pPr>
      <w:r>
        <w:t>[7.1.5.4.5 (d)</w:t>
      </w:r>
      <w:r>
        <w:tab/>
        <w:t>In the beginning, add “Thermal insulation and”.]</w:t>
      </w:r>
      <w:r>
        <w:tab/>
      </w:r>
    </w:p>
    <w:p w:rsidR="005E0022" w:rsidRDefault="005E0022" w:rsidP="005E0022">
      <w:pPr>
        <w:pStyle w:val="SingleTxtG"/>
        <w:rPr>
          <w:i/>
          <w:iCs/>
          <w:lang w:val="en-US"/>
        </w:rPr>
      </w:pPr>
      <w:r w:rsidRPr="008B7426">
        <w:rPr>
          <w:i/>
          <w:iCs/>
          <w:lang w:val="en-US"/>
        </w:rPr>
        <w:t xml:space="preserve">(Reference document: </w:t>
      </w:r>
      <w:r w:rsidR="009763D5" w:rsidRPr="00020245">
        <w:rPr>
          <w:i/>
          <w:iCs/>
        </w:rPr>
        <w:t>ST/SG/AC.10/C.3/</w:t>
      </w:r>
      <w:r w:rsidR="009763D5">
        <w:rPr>
          <w:i/>
          <w:iCs/>
        </w:rPr>
        <w:t>106/Add.1</w:t>
      </w:r>
      <w:r w:rsidRPr="008B7426">
        <w:rPr>
          <w:i/>
          <w:iCs/>
          <w:lang w:val="en-US"/>
        </w:rPr>
        <w:t>)</w:t>
      </w:r>
    </w:p>
    <w:p w:rsidR="005E0022" w:rsidRPr="008B7426" w:rsidRDefault="005E0022" w:rsidP="005E0022">
      <w:pPr>
        <w:pStyle w:val="SingleTxtG"/>
      </w:pPr>
      <w:r>
        <w:t>[7.1.5.4.5 (e)</w:t>
      </w:r>
      <w:r>
        <w:tab/>
        <w:t>In the beginning, add “Thermal insulation and”.</w:t>
      </w:r>
      <w:r>
        <w:tab/>
        <w:t>At the end of paragraph (iii), after “flammable vapours”, add “from the substances.”.]</w:t>
      </w:r>
    </w:p>
    <w:p w:rsidR="005E0022" w:rsidRDefault="005E0022" w:rsidP="005E0022">
      <w:pPr>
        <w:pStyle w:val="SingleTxtG"/>
        <w:rPr>
          <w:i/>
          <w:iCs/>
          <w:lang w:val="en-US"/>
        </w:rPr>
      </w:pPr>
      <w:r w:rsidRPr="008B7426">
        <w:rPr>
          <w:i/>
          <w:iCs/>
          <w:lang w:val="en-US"/>
        </w:rPr>
        <w:t xml:space="preserve">(Reference document: </w:t>
      </w:r>
      <w:r w:rsidR="009763D5" w:rsidRPr="00020245">
        <w:rPr>
          <w:i/>
          <w:iCs/>
        </w:rPr>
        <w:t>ST/SG/AC.10/C.3/</w:t>
      </w:r>
      <w:r w:rsidR="009763D5">
        <w:rPr>
          <w:i/>
          <w:iCs/>
        </w:rPr>
        <w:t>106/Add.1</w:t>
      </w:r>
      <w:r w:rsidRPr="008B7426">
        <w:rPr>
          <w:i/>
          <w:iCs/>
          <w:lang w:val="en-US"/>
        </w:rPr>
        <w:t>)</w:t>
      </w:r>
    </w:p>
    <w:p w:rsidR="007764BB" w:rsidRPr="007D36A1" w:rsidRDefault="007764BB" w:rsidP="007764BB">
      <w:pPr>
        <w:pStyle w:val="SingleTxtG"/>
        <w:tabs>
          <w:tab w:val="left" w:pos="2268"/>
        </w:tabs>
      </w:pPr>
      <w:r w:rsidRPr="007D36A1">
        <w:t>7.1.8.2</w:t>
      </w:r>
      <w:r w:rsidRPr="007D36A1">
        <w:tab/>
      </w:r>
      <w:r w:rsidRPr="007D36A1">
        <w:tab/>
        <w:t>Add the following new sentence after the first sentence:</w:t>
      </w:r>
    </w:p>
    <w:p w:rsidR="007764BB" w:rsidRPr="007D36A1" w:rsidRDefault="007764BB" w:rsidP="007764BB">
      <w:pPr>
        <w:pStyle w:val="SingleTxtG"/>
        <w:tabs>
          <w:tab w:val="left" w:pos="2268"/>
        </w:tabs>
      </w:pPr>
      <w:r w:rsidRPr="007D36A1">
        <w:t>“For SCO-III, the limits in Table 7.1.8.2 may be exceeded provided that the transport plan contains precautions which are to be employed during transport to obtain an overall level of safety at least equivalent to that which would be provided if the limits had been applied.”.</w:t>
      </w:r>
    </w:p>
    <w:p w:rsidR="007764BB" w:rsidRDefault="007764BB" w:rsidP="007764BB">
      <w:pPr>
        <w:pStyle w:val="SingleTxtG"/>
        <w:tabs>
          <w:tab w:val="left" w:pos="2268"/>
        </w:tabs>
        <w:rPr>
          <w:i/>
        </w:rPr>
      </w:pPr>
      <w:r>
        <w:rPr>
          <w:i/>
        </w:rPr>
        <w:t>(Reference document: ST/SG/AC.10/C.3/2018/54)</w:t>
      </w:r>
    </w:p>
    <w:p w:rsidR="007764BB" w:rsidRPr="007D36A1" w:rsidRDefault="007764BB" w:rsidP="007764BB">
      <w:pPr>
        <w:pStyle w:val="SingleTxtG"/>
        <w:tabs>
          <w:tab w:val="left" w:pos="2268"/>
        </w:tabs>
      </w:pPr>
      <w:r w:rsidRPr="007D36A1">
        <w:t>7.1.8.3.3</w:t>
      </w:r>
      <w:r w:rsidRPr="007D36A1">
        <w:tab/>
        <w:t>Amend sub-paragraph (b) to read as follows:</w:t>
      </w:r>
    </w:p>
    <w:p w:rsidR="007764BB" w:rsidRPr="007D36A1" w:rsidRDefault="007764BB" w:rsidP="007764BB">
      <w:pPr>
        <w:pStyle w:val="SingleTxtG"/>
        <w:tabs>
          <w:tab w:val="left" w:pos="2268"/>
        </w:tabs>
      </w:pPr>
      <w:r w:rsidRPr="007D36A1">
        <w:t xml:space="preserve">“(b) </w:t>
      </w:r>
      <w:r>
        <w:tab/>
        <w:t xml:space="preserve">The </w:t>
      </w:r>
      <w:r w:rsidRPr="007D36A1">
        <w:t xml:space="preserve">dose rate under routine conditions of transport shall not exceed 2 mSv/h at any point on the external surface of the vehicle or freight container, and 0.1 mSv/h at 2 m from the external surface of the vehicle or freight container, except for consignments transported under exclusive use by road or rail for which the radiation limits around the vehicle are set forth in 7.2.3.1.2(b) and (c).” </w:t>
      </w:r>
    </w:p>
    <w:p w:rsidR="007764BB" w:rsidRDefault="007764BB" w:rsidP="007764BB">
      <w:pPr>
        <w:pStyle w:val="SingleTxtG"/>
        <w:tabs>
          <w:tab w:val="left" w:pos="2268"/>
        </w:tabs>
        <w:rPr>
          <w:i/>
        </w:rPr>
      </w:pPr>
      <w:r>
        <w:rPr>
          <w:i/>
        </w:rPr>
        <w:t>(Reference document: ST/SG/AC.10/C.3/2018/54)</w:t>
      </w:r>
    </w:p>
    <w:p w:rsidR="007764BB" w:rsidRPr="007D36A1" w:rsidRDefault="007764BB" w:rsidP="007764BB">
      <w:pPr>
        <w:pStyle w:val="SingleTxtG"/>
        <w:tabs>
          <w:tab w:val="left" w:pos="2268"/>
        </w:tabs>
      </w:pPr>
      <w:r w:rsidRPr="007D36A1">
        <w:t>7.1.8.5.5</w:t>
      </w:r>
      <w:r w:rsidRPr="007D36A1">
        <w:tab/>
        <w:t xml:space="preserve">At the beginning, delete “, tank, intermediate bulk container”. </w:t>
      </w:r>
    </w:p>
    <w:p w:rsidR="007764BB" w:rsidRPr="004631AC" w:rsidRDefault="007764BB" w:rsidP="004631AC">
      <w:pPr>
        <w:pStyle w:val="SingleTxtG"/>
        <w:rPr>
          <w:i/>
          <w:iCs/>
        </w:rPr>
      </w:pPr>
      <w:r w:rsidRPr="004631AC">
        <w:rPr>
          <w:i/>
          <w:iCs/>
        </w:rPr>
        <w:t>(Reference document: ST/SG/AC.10/C.3/2018/54)</w:t>
      </w:r>
      <w:r w:rsidRPr="004631AC">
        <w:rPr>
          <w:i/>
          <w:iCs/>
        </w:rPr>
        <w:tab/>
      </w:r>
      <w:r w:rsidRPr="004631AC">
        <w:rPr>
          <w:i/>
          <w:iCs/>
        </w:rPr>
        <w:tab/>
      </w:r>
    </w:p>
    <w:p w:rsidR="007764BB" w:rsidRPr="007D36A1" w:rsidRDefault="007764BB" w:rsidP="007764BB">
      <w:pPr>
        <w:pStyle w:val="H1G"/>
      </w:pPr>
      <w:r>
        <w:tab/>
      </w:r>
      <w:r>
        <w:tab/>
      </w:r>
      <w:r w:rsidRPr="007D36A1">
        <w:t>Chapter 7.2</w:t>
      </w:r>
    </w:p>
    <w:p w:rsidR="007764BB" w:rsidRPr="007D36A1" w:rsidRDefault="007764BB" w:rsidP="007764BB">
      <w:pPr>
        <w:pStyle w:val="SingleTxtG"/>
        <w:tabs>
          <w:tab w:val="left" w:pos="2268"/>
        </w:tabs>
      </w:pPr>
      <w:r w:rsidRPr="007D36A1">
        <w:t>7.2.3.1.1</w:t>
      </w:r>
      <w:r w:rsidRPr="007D36A1">
        <w:tab/>
        <w:t>In the introductory sentence, replace “consignments under exclusive use” by “unpackaged LSA-I material, SCO-I or SCO-III”.</w:t>
      </w:r>
    </w:p>
    <w:p w:rsidR="007764BB" w:rsidRDefault="007764BB" w:rsidP="007764BB">
      <w:pPr>
        <w:pStyle w:val="SingleTxtG"/>
        <w:rPr>
          <w:i/>
          <w:iCs/>
          <w:lang w:val="en-US"/>
        </w:rPr>
      </w:pPr>
      <w:r>
        <w:rPr>
          <w:i/>
        </w:rPr>
        <w:t>(Reference document: ST/SG/AC.10/C.3/2018/54)</w:t>
      </w:r>
    </w:p>
    <w:p w:rsidR="0054034B" w:rsidRPr="0059088D" w:rsidRDefault="0054034B" w:rsidP="00115E2C">
      <w:pPr>
        <w:pStyle w:val="HChG"/>
      </w:pPr>
      <w:r w:rsidRPr="0059088D">
        <w:lastRenderedPageBreak/>
        <w:t xml:space="preserve">Part </w:t>
      </w:r>
      <w:r w:rsidR="0089110F">
        <w:t>I</w:t>
      </w:r>
      <w:r w:rsidRPr="0059088D">
        <w:t>I</w:t>
      </w:r>
      <w:r w:rsidR="00115E2C">
        <w:tab/>
      </w:r>
      <w:r w:rsidR="00115E2C">
        <w:tab/>
      </w:r>
      <w:r w:rsidRPr="0059088D">
        <w:tab/>
        <w:t>Draft amendments to the sixth revised edition of the Recommendations on the Transport of Dangerous Goods, Manual of Tests and Criteria (ST/SG/AC.10/11/Rev.6)</w:t>
      </w:r>
      <w:r>
        <w:t xml:space="preserve"> as amended </w:t>
      </w:r>
      <w:r w:rsidR="004C0DFE">
        <w:t>by</w:t>
      </w:r>
      <w:r>
        <w:t xml:space="preserve"> </w:t>
      </w:r>
      <w:r w:rsidRPr="0059088D">
        <w:t>ST/SG/AC.10/11/Rev.6</w:t>
      </w:r>
      <w:r>
        <w:t>/Amend.1</w:t>
      </w:r>
    </w:p>
    <w:p w:rsidR="00DE0726" w:rsidRDefault="00FD1466" w:rsidP="00DE0726">
      <w:pPr>
        <w:pStyle w:val="H1G"/>
      </w:pPr>
      <w:r>
        <w:tab/>
      </w:r>
      <w:r>
        <w:tab/>
      </w:r>
      <w:r w:rsidR="00DE0726">
        <w:t>General table of contents</w:t>
      </w:r>
    </w:p>
    <w:p w:rsidR="00DE0726" w:rsidRPr="00E312B0" w:rsidRDefault="00DE0726" w:rsidP="00DE0726">
      <w:pPr>
        <w:pStyle w:val="SingleTxtG"/>
        <w:tabs>
          <w:tab w:val="left" w:pos="2410"/>
          <w:tab w:val="left" w:pos="2694"/>
          <w:tab w:val="left" w:pos="2977"/>
        </w:tabs>
      </w:pPr>
      <w:r w:rsidRPr="00E312B0">
        <w:t xml:space="preserve">PART I: </w:t>
      </w:r>
      <w:r>
        <w:tab/>
      </w:r>
      <w:r>
        <w:tab/>
      </w:r>
      <w:r>
        <w:tab/>
        <w:t>D</w:t>
      </w:r>
      <w:r w:rsidRPr="00E312B0">
        <w:t>elete “OF CLASS 1” at the end</w:t>
      </w:r>
      <w:r>
        <w:t>.</w:t>
      </w:r>
    </w:p>
    <w:p w:rsidR="00DE0726" w:rsidRDefault="00DE0726" w:rsidP="00DE0726">
      <w:pPr>
        <w:pStyle w:val="SingleTxtG"/>
        <w:tabs>
          <w:tab w:val="left" w:pos="2977"/>
        </w:tabs>
        <w:ind w:left="2977" w:hanging="1843"/>
      </w:pPr>
      <w:r>
        <w:t xml:space="preserve">12. </w:t>
      </w:r>
      <w:r w:rsidRPr="00E312B0">
        <w:t xml:space="preserve">TEST SERIES 2: </w:t>
      </w:r>
      <w:r>
        <w:tab/>
        <w:t>R</w:t>
      </w:r>
      <w:r w:rsidRPr="00E312B0">
        <w:t>eplace “for inclusion in Class 1” with “for inclusion into the class of explosives”</w:t>
      </w:r>
      <w:r>
        <w:t>.</w:t>
      </w:r>
      <w:r w:rsidRPr="00E312B0" w:rsidDel="0066279A">
        <w:t xml:space="preserve"> </w:t>
      </w:r>
    </w:p>
    <w:p w:rsidR="00DE0726" w:rsidRDefault="00DE0726" w:rsidP="00DE0726">
      <w:pPr>
        <w:pStyle w:val="SingleTxtG"/>
        <w:tabs>
          <w:tab w:val="left" w:pos="2977"/>
        </w:tabs>
        <w:ind w:left="2977" w:hanging="1843"/>
      </w:pPr>
      <w:r>
        <w:t xml:space="preserve">13. </w:t>
      </w:r>
      <w:r w:rsidRPr="00E312B0">
        <w:t xml:space="preserve">TEST SERIES 3: </w:t>
      </w:r>
      <w:r>
        <w:tab/>
      </w:r>
      <w:r w:rsidRPr="00E312B0">
        <w:t xml:space="preserve">Amend the sentence between parentheses to read: “(To determine if a substance is an </w:t>
      </w:r>
      <w:r>
        <w:t xml:space="preserve">unstable </w:t>
      </w:r>
      <w:r w:rsidRPr="00E312B0">
        <w:t>explosive</w:t>
      </w:r>
      <w:r>
        <w:t xml:space="preserve"> in the form it was tested</w:t>
      </w:r>
      <w:r w:rsidRPr="00E312B0">
        <w:t>)”</w:t>
      </w:r>
      <w:r>
        <w:t>.</w:t>
      </w:r>
      <w:r w:rsidRPr="00E312B0">
        <w:t xml:space="preserve"> </w:t>
      </w:r>
    </w:p>
    <w:p w:rsidR="00DE0726" w:rsidRPr="00E312B0" w:rsidRDefault="00DE0726" w:rsidP="00DE0726">
      <w:pPr>
        <w:pStyle w:val="SingleTxtG"/>
        <w:ind w:left="2977" w:hanging="1843"/>
      </w:pPr>
      <w:r>
        <w:t xml:space="preserve">14. </w:t>
      </w:r>
      <w:r w:rsidRPr="00E312B0">
        <w:t xml:space="preserve">TEST SERIES 4: </w:t>
      </w:r>
      <w:r>
        <w:tab/>
        <w:t>At the end, after “too dangerous for transport” a</w:t>
      </w:r>
      <w:r w:rsidRPr="003A63DE">
        <w:t>dd “… and classified as a GHS unstable explosive”</w:t>
      </w:r>
      <w:r>
        <w:t>.</w:t>
      </w:r>
    </w:p>
    <w:p w:rsidR="00DE0726" w:rsidRPr="00E312B0" w:rsidRDefault="00DE0726" w:rsidP="00DE0726">
      <w:pPr>
        <w:pStyle w:val="SingleTxtG"/>
        <w:tabs>
          <w:tab w:val="left" w:pos="2977"/>
        </w:tabs>
      </w:pPr>
      <w:r>
        <w:t xml:space="preserve">16. </w:t>
      </w:r>
      <w:r w:rsidRPr="00E312B0">
        <w:t xml:space="preserve">TEST SERIES 6: </w:t>
      </w:r>
      <w:r>
        <w:tab/>
        <w:t>R</w:t>
      </w:r>
      <w:r w:rsidRPr="00E312B0">
        <w:t>eplace “Class 1” with “the class of explosives”</w:t>
      </w:r>
      <w:r>
        <w:t>.</w:t>
      </w:r>
    </w:p>
    <w:p w:rsidR="00DE0726" w:rsidRPr="00E312B0" w:rsidRDefault="00DE0726" w:rsidP="00DE0726">
      <w:pPr>
        <w:pStyle w:val="SingleTxtG"/>
        <w:ind w:left="2977" w:hanging="1843"/>
      </w:pPr>
      <w:r>
        <w:t xml:space="preserve">18. </w:t>
      </w:r>
      <w:r w:rsidRPr="00E312B0">
        <w:t xml:space="preserve">TEST SERIES 8: </w:t>
      </w:r>
      <w:r>
        <w:tab/>
        <w:t>Replace</w:t>
      </w:r>
      <w:r w:rsidRPr="00E312B0">
        <w:t xml:space="preserve"> </w:t>
      </w:r>
      <w:r w:rsidRPr="003A63DE">
        <w:t>“</w:t>
      </w:r>
      <w:r>
        <w:t xml:space="preserve">for </w:t>
      </w:r>
      <w:r w:rsidRPr="003A63DE">
        <w:t xml:space="preserve">inclusion in Division 5.1,” </w:t>
      </w:r>
      <w:r>
        <w:t>with</w:t>
      </w:r>
      <w:r w:rsidRPr="003A63DE">
        <w:t xml:space="preserve"> “</w:t>
      </w:r>
      <w:r>
        <w:t xml:space="preserve">for </w:t>
      </w:r>
      <w:r w:rsidRPr="003A63DE">
        <w:t>classification as an oxidizing substance”</w:t>
      </w:r>
      <w:r>
        <w:t xml:space="preserve"> </w:t>
      </w:r>
      <w:r w:rsidRPr="003A63DE">
        <w:t>and</w:t>
      </w:r>
      <w:r>
        <w:t xml:space="preserve"> </w:t>
      </w:r>
      <w:r w:rsidRPr="003A63DE">
        <w:t>“</w:t>
      </w:r>
      <w:r>
        <w:t xml:space="preserve">suitability for </w:t>
      </w:r>
      <w:r w:rsidRPr="003A63DE">
        <w:t xml:space="preserve">transport” </w:t>
      </w:r>
      <w:r>
        <w:t>with</w:t>
      </w:r>
      <w:r w:rsidRPr="003A63DE">
        <w:t xml:space="preserve"> “</w:t>
      </w:r>
      <w:r>
        <w:t xml:space="preserve">suitability for </w:t>
      </w:r>
      <w:r w:rsidRPr="003A63DE">
        <w:t>containment”</w:t>
      </w:r>
      <w:r>
        <w:t>.</w:t>
      </w:r>
    </w:p>
    <w:p w:rsidR="00DE0726" w:rsidRDefault="00DE0726" w:rsidP="00DE0726">
      <w:pPr>
        <w:pStyle w:val="SingleTxtG"/>
        <w:tabs>
          <w:tab w:val="left" w:pos="2410"/>
          <w:tab w:val="left" w:pos="2694"/>
          <w:tab w:val="left" w:pos="2977"/>
        </w:tabs>
        <w:ind w:left="2977" w:hanging="1843"/>
      </w:pPr>
      <w:r w:rsidRPr="00E312B0">
        <w:t xml:space="preserve">PART II: </w:t>
      </w:r>
      <w:r>
        <w:tab/>
      </w:r>
      <w:r>
        <w:tab/>
      </w:r>
      <w:r>
        <w:tab/>
        <w:t>Replace “SELF-REACTIVE SUBSTANCES OF DIVISIONS 4.1 ADN ORGANIC PEROXIDES OF DIVISION 5.2” with “SELF-REACTIVE SUBSTANCES, ORGANIC PEROXIDES AND POLYMERIZING SUBSTANCES”.</w:t>
      </w:r>
    </w:p>
    <w:p w:rsidR="00DE0726" w:rsidRDefault="00DE0726" w:rsidP="00DE0726">
      <w:pPr>
        <w:pStyle w:val="SingleTxtG"/>
        <w:tabs>
          <w:tab w:val="left" w:pos="2977"/>
        </w:tabs>
      </w:pPr>
      <w:r>
        <w:t>PART III:</w:t>
      </w:r>
      <w:r>
        <w:tab/>
        <w:t>Add a new section 39 at the end, to read as follows:</w:t>
      </w:r>
    </w:p>
    <w:p w:rsidR="00DE0726" w:rsidRPr="00E312B0" w:rsidRDefault="00DE0726" w:rsidP="00DE0726">
      <w:pPr>
        <w:pStyle w:val="SingleTxtG"/>
        <w:tabs>
          <w:tab w:val="left" w:pos="2977"/>
        </w:tabs>
        <w:ind w:left="2977" w:hanging="1843"/>
      </w:pPr>
      <w:r>
        <w:tab/>
        <w:t>“39. CLASSIFICATION PROCEDURE AND CRITERIA RELATING TO SOLID AMMONIUM NITRATE BASED FERTILIZERS”.</w:t>
      </w:r>
    </w:p>
    <w:p w:rsidR="00DE0726" w:rsidRDefault="00DE0726" w:rsidP="004631AC">
      <w:pPr>
        <w:pStyle w:val="SingleTxtG"/>
        <w:rPr>
          <w:i/>
          <w:iCs/>
        </w:rPr>
      </w:pPr>
      <w:r w:rsidRPr="004631AC">
        <w:rPr>
          <w:i/>
          <w:iCs/>
        </w:rPr>
        <w:t>(</w:t>
      </w:r>
      <w:r w:rsidR="00451C8E" w:rsidRPr="004631AC">
        <w:rPr>
          <w:i/>
          <w:iCs/>
        </w:rPr>
        <w:t xml:space="preserve">Reference document: </w:t>
      </w:r>
      <w:bookmarkStart w:id="9" w:name="_Hlk523904804"/>
      <w:r w:rsidRPr="004631AC">
        <w:rPr>
          <w:i/>
          <w:iCs/>
        </w:rPr>
        <w:t>ST/SG/AC.10/C.4/2018/1</w:t>
      </w:r>
      <w:bookmarkEnd w:id="9"/>
      <w:r w:rsidR="00451C8E" w:rsidRPr="004631AC">
        <w:rPr>
          <w:i/>
          <w:iCs/>
        </w:rPr>
        <w:t>)</w:t>
      </w:r>
    </w:p>
    <w:p w:rsidR="00AA3A82" w:rsidRPr="00D24888" w:rsidRDefault="00AA3A82" w:rsidP="00AA3A82">
      <w:pPr>
        <w:pStyle w:val="H1G"/>
      </w:pPr>
      <w:r>
        <w:tab/>
      </w:r>
      <w:r>
        <w:tab/>
      </w:r>
      <w:r w:rsidRPr="00D24888">
        <w:t>S</w:t>
      </w:r>
      <w:r>
        <w:t>ection</w:t>
      </w:r>
      <w:r w:rsidRPr="00D24888">
        <w:t xml:space="preserve"> 1</w:t>
      </w:r>
    </w:p>
    <w:p w:rsidR="00AA3A82" w:rsidRPr="00EB6F20" w:rsidRDefault="00AA3A82" w:rsidP="00AA3A82">
      <w:pPr>
        <w:pStyle w:val="SingleTxtG"/>
        <w:tabs>
          <w:tab w:val="left" w:pos="2268"/>
          <w:tab w:val="left" w:pos="3119"/>
        </w:tabs>
        <w:ind w:left="2268" w:hanging="1134"/>
      </w:pPr>
      <w:r w:rsidRPr="00EB6F20">
        <w:t>1.1.1</w:t>
      </w:r>
      <w:r w:rsidRPr="00EB6F20">
        <w:tab/>
        <w:t xml:space="preserve">Amend to read as follows: </w:t>
      </w:r>
    </w:p>
    <w:p w:rsidR="00AA3A82" w:rsidRPr="00AA3A82" w:rsidRDefault="00AA3A82" w:rsidP="004631AC">
      <w:pPr>
        <w:pStyle w:val="SingleTxtG"/>
      </w:pPr>
      <w:r>
        <w:tab/>
      </w:r>
      <w:r w:rsidRPr="00AA3A82">
        <w:t>“The purpose of the Manual of Tests and Criteria (hereafter referred to as the “Manual”) is to present the United Nations schemes for the classification of dangerous goods subject to transport regulations and hazardous substances and mixtures in accordance with the Globally Harmonized System of Classification and Labelling of Chemicals and to give descriptions of the test methods and procedures considered to be the most useful for providing classifiers with the necessary information to arrive at a proper classification. Although the term “classifier(s)” is used generically throughout the manual to indicate the entity providing the classification, in some sectors this may be limited specifically to a competent authority or designated testing authority, whereas in others it may allow for self-classification by manufacturers or suppliers.  The sector for classification should be taken into account for each occurrence of this term to correctly identify the entity responsible for classification.”</w:t>
      </w:r>
    </w:p>
    <w:p w:rsidR="00AA3A82" w:rsidRPr="0089475D" w:rsidRDefault="00AA3A82" w:rsidP="00AA3A82">
      <w:pPr>
        <w:pStyle w:val="SingleTxtG"/>
        <w:rPr>
          <w:i/>
          <w:iCs/>
          <w:lang w:val="fr-CH"/>
        </w:rPr>
      </w:pPr>
      <w:r w:rsidRPr="0089475D">
        <w:rPr>
          <w:i/>
          <w:iCs/>
          <w:lang w:val="fr-CH"/>
        </w:rPr>
        <w:t xml:space="preserve">(Reference document: </w:t>
      </w:r>
      <w:r w:rsidR="00C44C13" w:rsidRPr="004631AC">
        <w:rPr>
          <w:i/>
          <w:iCs/>
        </w:rPr>
        <w:t>ST/SG/AC.10/C.4/2018/1</w:t>
      </w:r>
      <w:r w:rsidR="00C44C13">
        <w:rPr>
          <w:i/>
          <w:iCs/>
        </w:rPr>
        <w:t xml:space="preserve">, as amended in </w:t>
      </w:r>
      <w:bookmarkStart w:id="10" w:name="_Hlk524589743"/>
      <w:r w:rsidR="00C44C13">
        <w:rPr>
          <w:i/>
          <w:iCs/>
        </w:rPr>
        <w:t>ST/SG/AC.3/106/Add.1</w:t>
      </w:r>
      <w:bookmarkEnd w:id="10"/>
      <w:r w:rsidRPr="0089475D">
        <w:rPr>
          <w:i/>
          <w:iCs/>
          <w:lang w:val="fr-CH"/>
        </w:rPr>
        <w:t>)</w:t>
      </w:r>
    </w:p>
    <w:p w:rsidR="007A3C45" w:rsidRDefault="007A3C45" w:rsidP="00AA3A82">
      <w:pPr>
        <w:pStyle w:val="SingleTxtG"/>
        <w:tabs>
          <w:tab w:val="left" w:pos="3119"/>
        </w:tabs>
        <w:ind w:left="2268" w:hanging="1134"/>
      </w:pPr>
    </w:p>
    <w:p w:rsidR="00AA3A82" w:rsidRDefault="00AA3A82" w:rsidP="00AA3A82">
      <w:pPr>
        <w:pStyle w:val="SingleTxtG"/>
        <w:tabs>
          <w:tab w:val="left" w:pos="3119"/>
        </w:tabs>
        <w:ind w:left="2268" w:hanging="1134"/>
      </w:pPr>
      <w:r>
        <w:lastRenderedPageBreak/>
        <w:t>1.1.2</w:t>
      </w:r>
      <w:r>
        <w:tab/>
        <w:t xml:space="preserve">Current </w:t>
      </w:r>
      <w:r w:rsidRPr="00D24888">
        <w:t xml:space="preserve">paragraph 1.1.2 </w:t>
      </w:r>
      <w:r>
        <w:t xml:space="preserve">becomes </w:t>
      </w:r>
      <w:r w:rsidRPr="00D24888">
        <w:t>new paragraph 1.1.</w:t>
      </w:r>
      <w:r>
        <w:t>7.</w:t>
      </w:r>
    </w:p>
    <w:p w:rsidR="00AA3A82" w:rsidRPr="00AA3A82" w:rsidRDefault="00AA3A82" w:rsidP="004631AC">
      <w:pPr>
        <w:pStyle w:val="SingleTxtG"/>
      </w:pPr>
      <w:r>
        <w:tab/>
      </w:r>
      <w:r w:rsidRPr="00AA3A82">
        <w:t xml:space="preserve">Insert a new paragraph to 1.1.2 to read as follows: </w:t>
      </w:r>
    </w:p>
    <w:p w:rsidR="00AA3A82" w:rsidRPr="00AA3A82" w:rsidRDefault="00AA3A82" w:rsidP="004631AC">
      <w:pPr>
        <w:pStyle w:val="SingleTxtG"/>
      </w:pPr>
      <w:r w:rsidRPr="00AA3A82">
        <w:t>“1.1.2</w:t>
      </w:r>
      <w:r w:rsidRPr="00AA3A82">
        <w:tab/>
        <w:t>This Manual should be used in conjunction with the latest versions of:</w:t>
      </w:r>
    </w:p>
    <w:p w:rsidR="00AA3A82" w:rsidRPr="00AA3A82" w:rsidRDefault="00AA3A82" w:rsidP="004631AC">
      <w:pPr>
        <w:pStyle w:val="SingleTxtG"/>
      </w:pPr>
      <w:r w:rsidRPr="00AA3A82">
        <w:t>(a)</w:t>
      </w:r>
      <w:r w:rsidRPr="00AA3A82">
        <w:tab/>
        <w:t>the Recommendations on the Transport of Dangerous Goods (hereafter referred to as the Recommendations) and the Model Regulations annexed thereto (hereafter referred to as the Model Regulations) and;</w:t>
      </w:r>
    </w:p>
    <w:p w:rsidR="00AA3A82" w:rsidRPr="00AA3A82" w:rsidRDefault="00AA3A82" w:rsidP="004631AC">
      <w:pPr>
        <w:pStyle w:val="SingleTxtG"/>
      </w:pPr>
      <w:r w:rsidRPr="00AA3A82">
        <w:t>(b)</w:t>
      </w:r>
      <w:r w:rsidRPr="00AA3A82">
        <w:tab/>
        <w:t>the Globally Harmonized System of Classification and Labelling of Chemicals (hereafter referred to as the GHS).”.</w:t>
      </w:r>
    </w:p>
    <w:p w:rsidR="00AA3A82" w:rsidRDefault="00AA3A82" w:rsidP="00AA3A82">
      <w:pPr>
        <w:pStyle w:val="SingleTxtG"/>
        <w:tabs>
          <w:tab w:val="left" w:pos="2268"/>
        </w:tabs>
        <w:ind w:left="2268" w:hanging="1134"/>
      </w:pPr>
      <w:r>
        <w:t>1.1.3</w:t>
      </w:r>
      <w:r>
        <w:tab/>
        <w:t>C</w:t>
      </w:r>
      <w:r w:rsidRPr="00D24888">
        <w:t xml:space="preserve">urrent paragraph 1.1.3 becomes new paragraph </w:t>
      </w:r>
      <w:r>
        <w:t>1.1.8.</w:t>
      </w:r>
    </w:p>
    <w:p w:rsidR="00AA3A82" w:rsidRDefault="00AA3A82" w:rsidP="00AA3A82">
      <w:pPr>
        <w:pStyle w:val="SingleTxtG"/>
        <w:keepNext/>
        <w:keepLines/>
        <w:tabs>
          <w:tab w:val="left" w:pos="2268"/>
          <w:tab w:val="left" w:pos="3119"/>
        </w:tabs>
        <w:ind w:left="2268" w:hanging="1134"/>
      </w:pPr>
      <w:r>
        <w:t>1.1.3 to 1.1.6</w:t>
      </w:r>
      <w:r>
        <w:tab/>
        <w:t>Insert the following new paragraphs:</w:t>
      </w:r>
    </w:p>
    <w:p w:rsidR="00AA3A82" w:rsidRPr="00AA3A82" w:rsidRDefault="00AA3A82" w:rsidP="004631AC">
      <w:pPr>
        <w:pStyle w:val="SingleTxtG"/>
      </w:pPr>
      <w:r w:rsidRPr="00AA3A82">
        <w:t>“1.1.3</w:t>
      </w:r>
      <w:r w:rsidRPr="00AA3A82">
        <w:tab/>
        <w:t>Definitions of terms used in the Manual may be found in Chapter 1.2 and Annex B of the Model Regulations and in the GHS. The term substance as it is used in this Manual includes substances, mixtures and solutions, unless otherwise stated.</w:t>
      </w:r>
    </w:p>
    <w:p w:rsidR="00AA3A82" w:rsidRPr="00AA3A82" w:rsidRDefault="00AA3A82" w:rsidP="004631AC">
      <w:pPr>
        <w:pStyle w:val="SingleTxtG"/>
      </w:pPr>
      <w:r w:rsidRPr="00AA3A82">
        <w:t>1.1.4</w:t>
      </w:r>
      <w:r w:rsidRPr="00AA3A82">
        <w:tab/>
        <w:t>The test methods and criteria in this Manual were originally developed to address classification for transport purposes, and therefore in previous editions of the Manual (up to the 7th revised edition) frequent reference is made to “as packaged for transport”. As for physical hazards the GHS refers to the tests contained in this Manual, to facilitate its use in the context of the GHS (i.e.: in sectors other than transport), the phrase “as offered for classification” is now used instead when appropriate. For example, if the classification to be determined is for products as packaged for transport, “as offered for classification” means “as offered for transport”. On the other hand, if the classification to be determined is for sectors other than transport in the context of the GHS, then “as offered for classification” means “in the condition relevant to the particular application, e.g. supply and use”. More details on the reasons for this change are provided below.</w:t>
      </w:r>
    </w:p>
    <w:p w:rsidR="00AA3A82" w:rsidRPr="00AA3A82" w:rsidRDefault="00AA3A82" w:rsidP="004631AC">
      <w:pPr>
        <w:pStyle w:val="SingleTxtG"/>
      </w:pPr>
      <w:r w:rsidRPr="00AA3A82">
        <w:t>1.1.5</w:t>
      </w:r>
      <w:r w:rsidRPr="00AA3A82">
        <w:tab/>
        <w:t>The outcome of the tests in this Manual is predominantly related to the intrinsic properties of the substance being tested. However the test results may also be affected by other physical parameters such as: density; particle size (distribution) and humidity. For some physical hazards the outcome of the tests and hence the classification can also be dependent on the quantity of the sample and the packaging.</w:t>
      </w:r>
    </w:p>
    <w:p w:rsidR="00AA3A82" w:rsidRPr="00AA3A82" w:rsidRDefault="00AA3A82" w:rsidP="004631AC">
      <w:pPr>
        <w:pStyle w:val="SingleTxtG"/>
      </w:pPr>
      <w:r w:rsidRPr="00AA3A82">
        <w:t>1.1.6</w:t>
      </w:r>
      <w:r w:rsidRPr="00AA3A82">
        <w:tab/>
        <w:t>For these reasons, the above mentioned parameters and circumstances should be taken into account when considering test results, particularly for classification for sectors other than transport.”.</w:t>
      </w:r>
    </w:p>
    <w:p w:rsidR="00AA3A82" w:rsidRPr="00AA3A82" w:rsidRDefault="00AA3A82" w:rsidP="004631AC">
      <w:pPr>
        <w:pStyle w:val="SingleTxtG"/>
      </w:pPr>
      <w:r w:rsidRPr="00AA3A82">
        <w:t>1.1.7 (new, former 1.1.2)</w:t>
      </w:r>
      <w:r w:rsidRPr="00AA3A82">
        <w:tab/>
        <w:t>In the first sentence, delete “of Tests and Criteria” and “of products”. Amend the beginning of the third sentence to read: “Where appropriate, the competent authority...”.</w:t>
      </w:r>
    </w:p>
    <w:p w:rsidR="00AA3A82" w:rsidRPr="00AA3A82" w:rsidRDefault="00AA3A82" w:rsidP="004631AC">
      <w:pPr>
        <w:pStyle w:val="SingleTxtG"/>
      </w:pPr>
      <w:r w:rsidRPr="00AA3A82">
        <w:t xml:space="preserve">1.1.8 (new, former 1.1.3) </w:t>
      </w:r>
      <w:r w:rsidRPr="00AA3A82">
        <w:tab/>
        <w:t>Delete “or Divisions for transport” and replace “Competent Authority” with “competent authority” and “Competent Authorities” with “competent authorities”.</w:t>
      </w:r>
    </w:p>
    <w:p w:rsidR="00AA3A82" w:rsidRDefault="00AA3A82" w:rsidP="00AA3A82">
      <w:pPr>
        <w:pStyle w:val="SingleTxtG"/>
        <w:tabs>
          <w:tab w:val="left" w:pos="2268"/>
          <w:tab w:val="left" w:pos="3119"/>
        </w:tabs>
        <w:spacing w:after="240" w:line="240" w:lineRule="auto"/>
        <w:ind w:left="2268" w:hanging="1134"/>
      </w:pPr>
      <w:r>
        <w:t>1.1.9</w:t>
      </w:r>
      <w:r>
        <w:tab/>
        <w:t>Insert a new paragraph 1.1.9 to read as follows:</w:t>
      </w:r>
    </w:p>
    <w:p w:rsidR="00AA3A82" w:rsidRPr="00AA3A82" w:rsidRDefault="00AA3A82" w:rsidP="004631AC">
      <w:pPr>
        <w:pStyle w:val="SingleTxtG"/>
      </w:pPr>
      <w:r w:rsidRPr="00AA3A82">
        <w:t>“1.1.9</w:t>
      </w:r>
      <w:r w:rsidRPr="00AA3A82">
        <w:tab/>
        <w:t>The text and references throughout the Manual strive to be sector-neutral, but sometimes must be sector-specific. For example, Part IV is used for transport equipment, and Part V is used for sectors other than transport. Also, there is some sector-specificity within Parts I and II describing tests with packages as presented for transport. Explosives transport classifications to the Division level frequently apply only to a defined configuration, with the quantity and confinement (packaging) as prepared for transport. Sectors other than transport may build upon explosives transport classifications.”.</w:t>
      </w:r>
    </w:p>
    <w:p w:rsidR="00945717" w:rsidRDefault="00945717" w:rsidP="00945717">
      <w:pPr>
        <w:pStyle w:val="SingleTxtG"/>
        <w:tabs>
          <w:tab w:val="left" w:pos="2268"/>
          <w:tab w:val="left" w:pos="3119"/>
        </w:tabs>
        <w:spacing w:after="240" w:line="240" w:lineRule="auto"/>
        <w:ind w:left="2268" w:hanging="1134"/>
      </w:pPr>
      <w:r>
        <w:lastRenderedPageBreak/>
        <w:t>1.2</w:t>
      </w:r>
      <w:r>
        <w:tab/>
        <w:t>Current section 1.2 becomes new section 1.3.</w:t>
      </w:r>
    </w:p>
    <w:p w:rsidR="00945717" w:rsidRPr="00945717" w:rsidRDefault="00945717" w:rsidP="004631AC">
      <w:pPr>
        <w:pStyle w:val="SingleTxtG"/>
      </w:pPr>
      <w:r>
        <w:tab/>
      </w:r>
      <w:r w:rsidRPr="00945717">
        <w:t xml:space="preserve">Insert a new section 1.2 to read as follows: </w:t>
      </w:r>
    </w:p>
    <w:p w:rsidR="00945717" w:rsidRPr="00D1183D" w:rsidRDefault="00945717" w:rsidP="004631AC">
      <w:pPr>
        <w:pStyle w:val="H23G"/>
        <w:ind w:left="2268"/>
      </w:pPr>
      <w:r w:rsidRPr="00D1183D">
        <w:t>“1.2</w:t>
      </w:r>
      <w:r w:rsidRPr="00D1183D">
        <w:tab/>
        <w:t xml:space="preserve">Hazard classes in the Model Regulations and in the GHS </w:t>
      </w:r>
    </w:p>
    <w:p w:rsidR="00945717" w:rsidRPr="00D1183D" w:rsidRDefault="00945717" w:rsidP="004631AC">
      <w:pPr>
        <w:pStyle w:val="H23G"/>
        <w:ind w:left="2268"/>
        <w:rPr>
          <w:i/>
        </w:rPr>
      </w:pPr>
      <w:r w:rsidRPr="00D1183D">
        <w:t>1.2.1</w:t>
      </w:r>
      <w:r w:rsidRPr="00D1183D">
        <w:rPr>
          <w:i/>
        </w:rPr>
        <w:tab/>
        <w:t xml:space="preserve">Hazard classes in the Model Regulations </w:t>
      </w:r>
    </w:p>
    <w:p w:rsidR="00945717" w:rsidRPr="00D1183D" w:rsidRDefault="00945717" w:rsidP="004631AC">
      <w:pPr>
        <w:pStyle w:val="SingleTxtG"/>
      </w:pPr>
      <w:r w:rsidRPr="00D1183D">
        <w:t>1.2.1.1</w:t>
      </w:r>
      <w:r w:rsidRPr="00D1183D">
        <w:tab/>
      </w:r>
      <w:r w:rsidR="00D024D6">
        <w:tab/>
      </w:r>
      <w:r w:rsidRPr="00D1183D">
        <w:t xml:space="preserve">Substances and articles subject to the Model Regulations are assigned to one of nine classes according to the hazard or the predominant hazard they present for transport. Some of these classes are subdivided into divisions addressing a more specific type of hazard within a given class. The numerical order of the classes and divisions does not reflect the degree of hazard. </w:t>
      </w:r>
    </w:p>
    <w:p w:rsidR="00945717" w:rsidRPr="00D1183D" w:rsidRDefault="00945717" w:rsidP="004631AC">
      <w:pPr>
        <w:pStyle w:val="SingleTxtG"/>
      </w:pPr>
      <w:r w:rsidRPr="00D1183D">
        <w:t>1.2.1.2</w:t>
      </w:r>
      <w:r w:rsidR="00D024D6">
        <w:tab/>
      </w:r>
      <w:r w:rsidRPr="00D1183D">
        <w:tab/>
        <w:t>In addition, for packing purposes, some dangerous goods are assigned to one of three packing groups in accordance with the degree of hazard they present:</w:t>
      </w:r>
    </w:p>
    <w:p w:rsidR="00945717" w:rsidRPr="00D1183D" w:rsidRDefault="00945717" w:rsidP="00073ABB">
      <w:pPr>
        <w:pStyle w:val="SingleTxtG"/>
        <w:ind w:left="2268"/>
        <w:jc w:val="left"/>
      </w:pPr>
      <w:r w:rsidRPr="00D1183D">
        <w:t>Packing group I: high hazard</w:t>
      </w:r>
    </w:p>
    <w:p w:rsidR="00945717" w:rsidRPr="00D1183D" w:rsidRDefault="00945717" w:rsidP="00073ABB">
      <w:pPr>
        <w:pStyle w:val="SingleTxtG"/>
        <w:ind w:left="2268"/>
        <w:jc w:val="left"/>
      </w:pPr>
      <w:r w:rsidRPr="00D1183D">
        <w:t>Packing group II: medium hazard</w:t>
      </w:r>
    </w:p>
    <w:p w:rsidR="00945717" w:rsidRPr="00D1183D" w:rsidRDefault="00945717" w:rsidP="00073ABB">
      <w:pPr>
        <w:pStyle w:val="SingleTxtG"/>
        <w:ind w:left="2268"/>
        <w:jc w:val="left"/>
      </w:pPr>
      <w:r w:rsidRPr="00D1183D">
        <w:t>Packing group III: low hazard</w:t>
      </w:r>
    </w:p>
    <w:p w:rsidR="00945717" w:rsidRPr="00D1183D" w:rsidRDefault="00945717" w:rsidP="004631AC">
      <w:pPr>
        <w:pStyle w:val="SingleTxtG"/>
      </w:pPr>
      <w:r w:rsidRPr="00D1183D">
        <w:tab/>
        <w:t>The packing group to which a substance is assigned is indicated in the Dangerous Goods List in Chapter 3.2 of the Model Regulations. Articles are not assigned to packing groups.</w:t>
      </w:r>
    </w:p>
    <w:p w:rsidR="00945717" w:rsidRPr="00D1183D" w:rsidRDefault="00945717" w:rsidP="004631AC">
      <w:pPr>
        <w:pStyle w:val="SingleTxtG"/>
      </w:pPr>
      <w:r w:rsidRPr="00D1183D">
        <w:t>1.2.1.3</w:t>
      </w:r>
      <w:r w:rsidRPr="00D1183D">
        <w:tab/>
      </w:r>
      <w:r w:rsidR="00D024D6">
        <w:tab/>
      </w:r>
      <w:r w:rsidRPr="00D1183D">
        <w:t>Dangerous goods meeting the criteria of more than one hazard class or division and which are not listed in the Dangerous Goods List are assigned to a transport class and division and subsidiary hazard(s) on the basis of the precedence of hazards characteristics.</w:t>
      </w:r>
    </w:p>
    <w:p w:rsidR="00945717" w:rsidRPr="004631AC" w:rsidRDefault="00945717" w:rsidP="004631AC">
      <w:pPr>
        <w:pStyle w:val="SingleTxtG"/>
        <w:rPr>
          <w:i/>
          <w:iCs/>
        </w:rPr>
      </w:pPr>
      <w:r w:rsidRPr="004E331F">
        <w:t>1.2.1.4</w:t>
      </w:r>
      <w:r w:rsidRPr="004631AC">
        <w:rPr>
          <w:i/>
          <w:iCs/>
        </w:rPr>
        <w:tab/>
      </w:r>
      <w:r>
        <w:rPr>
          <w:i/>
          <w:iCs/>
        </w:rPr>
        <w:tab/>
      </w:r>
      <w:r w:rsidRPr="004631AC">
        <w:rPr>
          <w:i/>
          <w:iCs/>
        </w:rPr>
        <w:t>Precedence of hazard characteristics for transport purposes</w:t>
      </w:r>
    </w:p>
    <w:p w:rsidR="00945717" w:rsidRPr="00D1183D" w:rsidRDefault="00945717" w:rsidP="004631AC">
      <w:pPr>
        <w:pStyle w:val="SingleTxtG"/>
      </w:pPr>
      <w:r w:rsidRPr="00D1183D">
        <w:t>1.2.1.4.1</w:t>
      </w:r>
      <w:r w:rsidRPr="00D1183D">
        <w:tab/>
        <w:t>The precedence of hazard characteristics table in 2.0.3.3 of Chapter 2.0 of the Model Regulations may be used as a guide in determining the class of a substance having more than one hazard, when it is not named in the Dangerous Goods List in Chapter 3.2 of the Model Regulations. For goods having multiple hazards, which are not specifically listed by name in the Dangerous Goods List, the most stringent packing group denoted to the respective hazard of the goods takes precedence over other packing groups, irrespective of the precedence of hazard characteristics table.</w:t>
      </w:r>
    </w:p>
    <w:p w:rsidR="00945717" w:rsidRPr="00D1183D" w:rsidRDefault="00945717" w:rsidP="004631AC">
      <w:pPr>
        <w:pStyle w:val="SingleTxtG"/>
      </w:pPr>
      <w:r w:rsidRPr="00D1183D">
        <w:t>1.2.1.4.2</w:t>
      </w:r>
      <w:r w:rsidRPr="00D1183D">
        <w:tab/>
        <w:t>The precedence of hazard characteristics of the following are not dealt with in the Precedence of hazard table in Chapter 2.0 of the Model Regulations, since these primary characteristics always take precedence:</w:t>
      </w:r>
    </w:p>
    <w:p w:rsidR="00945717" w:rsidRPr="00D1183D" w:rsidRDefault="00945717" w:rsidP="004631AC">
      <w:pPr>
        <w:tabs>
          <w:tab w:val="left" w:pos="2552"/>
        </w:tabs>
        <w:ind w:left="2551" w:right="1134" w:hanging="283"/>
        <w:jc w:val="both"/>
      </w:pPr>
      <w:r>
        <w:t>-</w:t>
      </w:r>
      <w:r w:rsidRPr="00D1183D">
        <w:tab/>
        <w:t>Substances and articles of Class 1;</w:t>
      </w:r>
    </w:p>
    <w:p w:rsidR="00945717" w:rsidRPr="00D1183D" w:rsidRDefault="00945717" w:rsidP="004631AC">
      <w:pPr>
        <w:tabs>
          <w:tab w:val="left" w:pos="2552"/>
        </w:tabs>
        <w:ind w:left="2551" w:right="1134" w:hanging="283"/>
        <w:jc w:val="both"/>
      </w:pPr>
      <w:r>
        <w:t xml:space="preserve">- </w:t>
      </w:r>
      <w:r>
        <w:tab/>
      </w:r>
      <w:r w:rsidRPr="00D1183D">
        <w:t>Gases of Class 2;</w:t>
      </w:r>
    </w:p>
    <w:p w:rsidR="00945717" w:rsidRPr="00D1183D" w:rsidRDefault="00945717" w:rsidP="004631AC">
      <w:pPr>
        <w:tabs>
          <w:tab w:val="left" w:pos="2552"/>
        </w:tabs>
        <w:ind w:left="2551" w:right="1134" w:hanging="283"/>
        <w:jc w:val="both"/>
      </w:pPr>
      <w:r>
        <w:t xml:space="preserve">- </w:t>
      </w:r>
      <w:r>
        <w:tab/>
      </w:r>
      <w:r w:rsidRPr="00D1183D">
        <w:t>Liquid desensitized explosives of Class 3;</w:t>
      </w:r>
    </w:p>
    <w:p w:rsidR="00945717" w:rsidRPr="00D1183D" w:rsidRDefault="00945717" w:rsidP="004631AC">
      <w:pPr>
        <w:tabs>
          <w:tab w:val="left" w:pos="2552"/>
        </w:tabs>
        <w:ind w:left="2551" w:right="1134" w:hanging="283"/>
        <w:jc w:val="both"/>
      </w:pPr>
      <w:r>
        <w:t xml:space="preserve">- </w:t>
      </w:r>
      <w:r>
        <w:tab/>
      </w:r>
      <w:r w:rsidRPr="00D1183D">
        <w:t>Self-reactive substances and solid desensitized explosives of Division</w:t>
      </w:r>
      <w:r>
        <w:t> </w:t>
      </w:r>
      <w:r w:rsidRPr="00D1183D">
        <w:t>4.1;</w:t>
      </w:r>
    </w:p>
    <w:p w:rsidR="00945717" w:rsidRPr="00D1183D" w:rsidRDefault="00945717" w:rsidP="004631AC">
      <w:pPr>
        <w:tabs>
          <w:tab w:val="left" w:pos="2552"/>
        </w:tabs>
        <w:ind w:left="2551" w:right="1134" w:hanging="283"/>
        <w:jc w:val="both"/>
      </w:pPr>
      <w:r>
        <w:t xml:space="preserve">- </w:t>
      </w:r>
      <w:r>
        <w:tab/>
      </w:r>
      <w:r w:rsidRPr="00D1183D">
        <w:t>Pyrophoric substances of Division 4.2;</w:t>
      </w:r>
    </w:p>
    <w:p w:rsidR="00945717" w:rsidRPr="00D1183D" w:rsidRDefault="00945717" w:rsidP="004631AC">
      <w:pPr>
        <w:tabs>
          <w:tab w:val="left" w:pos="2552"/>
        </w:tabs>
        <w:ind w:left="2551" w:right="1134" w:hanging="283"/>
        <w:jc w:val="both"/>
      </w:pPr>
      <w:r>
        <w:t xml:space="preserve">- </w:t>
      </w:r>
      <w:r>
        <w:tab/>
      </w:r>
      <w:r w:rsidRPr="00D1183D">
        <w:t>Substances of Division 5.2;</w:t>
      </w:r>
    </w:p>
    <w:p w:rsidR="00945717" w:rsidRPr="00D1183D" w:rsidRDefault="00945717" w:rsidP="004631AC">
      <w:pPr>
        <w:tabs>
          <w:tab w:val="left" w:pos="2552"/>
        </w:tabs>
        <w:ind w:left="2551" w:right="1134" w:hanging="283"/>
        <w:jc w:val="both"/>
      </w:pPr>
      <w:r>
        <w:t xml:space="preserve">- </w:t>
      </w:r>
      <w:r>
        <w:tab/>
      </w:r>
      <w:r w:rsidRPr="00D1183D">
        <w:t>Substances of Division 6.1 with a packing group I inhalation toxicity;</w:t>
      </w:r>
    </w:p>
    <w:p w:rsidR="00945717" w:rsidRPr="00D1183D" w:rsidRDefault="00945717" w:rsidP="004631AC">
      <w:pPr>
        <w:tabs>
          <w:tab w:val="left" w:pos="2552"/>
        </w:tabs>
        <w:ind w:left="2551" w:right="1134" w:hanging="283"/>
        <w:jc w:val="both"/>
      </w:pPr>
      <w:r>
        <w:t xml:space="preserve">- </w:t>
      </w:r>
      <w:r>
        <w:tab/>
      </w:r>
      <w:r w:rsidRPr="00D1183D">
        <w:t>Substances of Division 6.2; and</w:t>
      </w:r>
    </w:p>
    <w:p w:rsidR="00945717" w:rsidRPr="00D1183D" w:rsidRDefault="00945717" w:rsidP="004631AC">
      <w:pPr>
        <w:tabs>
          <w:tab w:val="left" w:pos="2552"/>
        </w:tabs>
        <w:spacing w:after="240"/>
        <w:ind w:left="2552" w:right="1134" w:hanging="284"/>
        <w:jc w:val="both"/>
      </w:pPr>
      <w:r>
        <w:t xml:space="preserve">- </w:t>
      </w:r>
      <w:r>
        <w:tab/>
      </w:r>
      <w:r w:rsidRPr="00D1183D">
        <w:t>Radioactive material of Class 7.</w:t>
      </w:r>
    </w:p>
    <w:p w:rsidR="00AA3A82" w:rsidRDefault="00945717" w:rsidP="004631AC">
      <w:pPr>
        <w:pStyle w:val="SingleTxtG"/>
        <w:rPr>
          <w:i/>
          <w:iCs/>
        </w:rPr>
      </w:pPr>
      <w:r>
        <w:rPr>
          <w:i/>
          <w:iCs/>
        </w:rPr>
        <w:t xml:space="preserve">(Reference document: </w:t>
      </w:r>
      <w:bookmarkStart w:id="11" w:name="_Hlk523905147"/>
      <w:r w:rsidR="00C44C13">
        <w:rPr>
          <w:i/>
          <w:iCs/>
        </w:rPr>
        <w:t>ST/SG/AC.10/C.4/2018/1</w:t>
      </w:r>
      <w:r>
        <w:rPr>
          <w:i/>
          <w:iCs/>
        </w:rPr>
        <w:t>)</w:t>
      </w:r>
      <w:bookmarkEnd w:id="11"/>
    </w:p>
    <w:p w:rsidR="00FF2FA9" w:rsidRDefault="00FF2FA9" w:rsidP="004631AC">
      <w:pPr>
        <w:pStyle w:val="SingleTxtG"/>
      </w:pPr>
    </w:p>
    <w:p w:rsidR="00FF2FA9" w:rsidRDefault="00FF2FA9" w:rsidP="004631AC">
      <w:pPr>
        <w:pStyle w:val="SingleTxtG"/>
      </w:pPr>
    </w:p>
    <w:p w:rsidR="00945717" w:rsidRDefault="00945717" w:rsidP="004631AC">
      <w:pPr>
        <w:pStyle w:val="SingleTxtG"/>
      </w:pPr>
      <w:r w:rsidRPr="00D1183D">
        <w:lastRenderedPageBreak/>
        <w:t>1.2.1.4.3</w:t>
      </w:r>
      <w:r w:rsidRPr="00D1183D">
        <w:tab/>
        <w:t xml:space="preserve">Self-reactive substances, </w:t>
      </w:r>
      <w:r>
        <w:t>type A to</w:t>
      </w:r>
      <w:r w:rsidRPr="00D1183D">
        <w:t xml:space="preserve"> type G, </w:t>
      </w:r>
      <w:r w:rsidRPr="000321F1">
        <w:t>should not be tested in the self-heating test N.4, as the test result will give a false positive result (i.e. temperature increase due to thermal decomposition rather than oxidative self-heating).</w:t>
      </w:r>
      <w:r w:rsidR="005466A0">
        <w:t xml:space="preserve"> </w:t>
      </w:r>
      <w:r w:rsidR="004E331F" w:rsidRPr="00223A63">
        <w:t>Self-reactive substances of type G and</w:t>
      </w:r>
      <w:r w:rsidR="004E331F" w:rsidRPr="00D1183D">
        <w:t xml:space="preserve"> </w:t>
      </w:r>
      <w:r w:rsidR="004E331F">
        <w:t>o</w:t>
      </w:r>
      <w:r w:rsidR="004E331F" w:rsidRPr="00D1183D">
        <w:t>rganic peroxides of type G having properties o</w:t>
      </w:r>
      <w:r w:rsidR="004E331F">
        <w:t>f another hazard class (e.g. UN No. </w:t>
      </w:r>
      <w:r w:rsidR="004E331F" w:rsidRPr="00D1183D">
        <w:t>3149) should be classified according to the requirements of that hazard class.</w:t>
      </w:r>
    </w:p>
    <w:p w:rsidR="00945717" w:rsidRPr="00D1183D" w:rsidRDefault="00945717" w:rsidP="004631AC">
      <w:pPr>
        <w:pStyle w:val="SingleTxtG"/>
      </w:pPr>
      <w:bookmarkStart w:id="12" w:name="_Hlk523929748"/>
      <w:r w:rsidRPr="0089475D">
        <w:rPr>
          <w:i/>
          <w:iCs/>
          <w:lang w:val="fr-CH"/>
        </w:rPr>
        <w:t>(</w:t>
      </w:r>
      <w:r w:rsidRPr="00474F32">
        <w:rPr>
          <w:i/>
          <w:iCs/>
          <w:lang w:val="fr-CH"/>
        </w:rPr>
        <w:t xml:space="preserve">Reference document: </w:t>
      </w:r>
      <w:r w:rsidR="00C44C13">
        <w:rPr>
          <w:i/>
          <w:iCs/>
        </w:rPr>
        <w:t xml:space="preserve">ST/SG/AC.10/C.4/2018/1, as amended in </w:t>
      </w:r>
      <w:r w:rsidR="00FF2FA9" w:rsidRPr="00020245">
        <w:rPr>
          <w:i/>
          <w:iCs/>
        </w:rPr>
        <w:t>ST/SG/AC.10/C.3/</w:t>
      </w:r>
      <w:r w:rsidR="00FF2FA9">
        <w:rPr>
          <w:i/>
          <w:iCs/>
        </w:rPr>
        <w:t>106/Add.1</w:t>
      </w:r>
      <w:r w:rsidRPr="00474F32">
        <w:rPr>
          <w:i/>
          <w:iCs/>
          <w:lang w:val="fr-CH"/>
        </w:rPr>
        <w:t>)</w:t>
      </w:r>
    </w:p>
    <w:bookmarkEnd w:id="12"/>
    <w:p w:rsidR="00945717" w:rsidRPr="00D1183D" w:rsidRDefault="00945717" w:rsidP="004631AC">
      <w:pPr>
        <w:pStyle w:val="H23G"/>
      </w:pPr>
      <w:r>
        <w:tab/>
      </w:r>
      <w:r>
        <w:tab/>
      </w:r>
      <w:r w:rsidRPr="00D1183D">
        <w:t>1.2.2</w:t>
      </w:r>
      <w:r w:rsidRPr="00D1183D">
        <w:tab/>
      </w:r>
      <w:r>
        <w:tab/>
      </w:r>
      <w:r w:rsidRPr="00D1183D">
        <w:t xml:space="preserve">Hazard classes in the GHS </w:t>
      </w:r>
    </w:p>
    <w:p w:rsidR="00945717" w:rsidRPr="00D1183D" w:rsidRDefault="00945717" w:rsidP="004631AC">
      <w:pPr>
        <w:pStyle w:val="SingleTxtG"/>
      </w:pPr>
      <w:r w:rsidRPr="00D1183D">
        <w:tab/>
        <w:t>The GHS addresses classification of substances by types of chemical hazards (e.g. flammability, toxicity, corrosivity) grouped into physical, health and environmental hazards. Each GHS hazard class corresponds to a type of hazard, and it is sometimes specific to a certain aggregation state (solid, liquid or gaseous). Most of the GHS hazard classes are further subdivided into hazard categories reflecting the severity of the hazard, with Category 1 indicating the most severe hazard.</w:t>
      </w:r>
    </w:p>
    <w:p w:rsidR="00945717" w:rsidRPr="00D1183D" w:rsidRDefault="00945717" w:rsidP="004631AC">
      <w:pPr>
        <w:pStyle w:val="H23G"/>
      </w:pPr>
      <w:r>
        <w:tab/>
      </w:r>
      <w:r>
        <w:tab/>
      </w:r>
      <w:r w:rsidRPr="00D1183D">
        <w:t>1.2.3</w:t>
      </w:r>
      <w:r w:rsidRPr="00D1183D">
        <w:tab/>
      </w:r>
      <w:r>
        <w:tab/>
      </w:r>
      <w:r w:rsidRPr="00D1183D">
        <w:t>Relationship between the Model Regulations and the GHS</w:t>
      </w:r>
    </w:p>
    <w:p w:rsidR="00945717" w:rsidRPr="00D1183D" w:rsidRDefault="00945717" w:rsidP="004631AC">
      <w:pPr>
        <w:pStyle w:val="SingleTxtG"/>
      </w:pPr>
      <w:r w:rsidRPr="00D1183D">
        <w:t>1.2.3.1</w:t>
      </w:r>
      <w:r w:rsidR="00D024D6">
        <w:tab/>
      </w:r>
      <w:r w:rsidRPr="00D1183D">
        <w:tab/>
        <w:t>Since the GHS addresses other sectors in addition to transport (e.g. storage, supply and use), it includes hazards not considered relevant to transport, such as several non-acute health hazards. Due to the differences in scope between the GHS and the Model Regulations not all hazards addressed in the GHS have their counterparts in the Model Regulations, and vice versa. For instance there is no specific hazard class in the GHS for radioactive material (Class 7 in transport) and some of the dangerous goods classified for transport in Class 9 are covered by other GHS hazard classes (e.g.: environmentally hazardous substances of Class 9 may fall under the GHS hazard class Hazardous to the aquatic environment).</w:t>
      </w:r>
    </w:p>
    <w:p w:rsidR="00945717" w:rsidRPr="00D1183D" w:rsidRDefault="00945717" w:rsidP="004631AC">
      <w:pPr>
        <w:pStyle w:val="SingleTxtG"/>
      </w:pPr>
      <w:r w:rsidRPr="00D1183D">
        <w:t>1.2.3.2</w:t>
      </w:r>
      <w:r w:rsidR="00D024D6">
        <w:tab/>
      </w:r>
      <w:r w:rsidRPr="00D1183D">
        <w:tab/>
        <w:t xml:space="preserve">In addition, while one transport class may cover several different types of hazards, GHS hazard classes usually address one type of hazard each. For instance, substances of Class 4 in transport belong to seven individual GHS hazard classes. Furthermore, while transport classes are identified by a number (1 to 9), GHS hazard classes are identified by a name reflecting the type of chemical hazard (e.g. “Flammable solids”). Moreover, the concept of precedence of hazards as defined in the Model Regulations (see 1.2.1.4) does not exist in the GHS. </w:t>
      </w:r>
    </w:p>
    <w:p w:rsidR="00945717" w:rsidRPr="00D1183D" w:rsidRDefault="00945717" w:rsidP="004631AC">
      <w:pPr>
        <w:pStyle w:val="SingleTxtG"/>
      </w:pPr>
      <w:r w:rsidRPr="00D1183D">
        <w:t>1.2.3.3</w:t>
      </w:r>
      <w:r w:rsidRPr="00D1183D">
        <w:tab/>
      </w:r>
      <w:r w:rsidR="00D024D6">
        <w:tab/>
      </w:r>
      <w:r w:rsidRPr="00D1183D">
        <w:t>The overarching correlation between GHS hazard classes and the transport classes addressed in the Model Regulations is indicated in Table 1.1. The table is indicative only and is not intended to be used as the sole basis in translating the classification of any substance or article between the GHS and the Model Regulations, or vice versa.</w:t>
      </w:r>
    </w:p>
    <w:p w:rsidR="00945717" w:rsidRPr="00D1183D" w:rsidRDefault="00945717" w:rsidP="004631AC">
      <w:pPr>
        <w:keepNext/>
        <w:keepLines/>
        <w:tabs>
          <w:tab w:val="left" w:pos="2268"/>
          <w:tab w:val="left" w:pos="2835"/>
        </w:tabs>
        <w:spacing w:after="120"/>
        <w:ind w:left="1134" w:right="1134"/>
        <w:jc w:val="center"/>
        <w:rPr>
          <w:b/>
        </w:rPr>
      </w:pPr>
      <w:r w:rsidRPr="00D1183D">
        <w:rPr>
          <w:b/>
        </w:rPr>
        <w:t xml:space="preserve">TABLE 1.1: CORRELATION BETWEEN HAZARD CLASSES IN THE GHS AND </w:t>
      </w:r>
      <w:r>
        <w:rPr>
          <w:b/>
        </w:rPr>
        <w:t xml:space="preserve">IN THE </w:t>
      </w:r>
      <w:r w:rsidRPr="00D1183D">
        <w:rPr>
          <w:b/>
        </w:rPr>
        <w:t>MODEL REGULATIONS</w:t>
      </w:r>
    </w:p>
    <w:tbl>
      <w:tblPr>
        <w:tblStyle w:val="TableGrid"/>
        <w:tblW w:w="0" w:type="auto"/>
        <w:jc w:val="center"/>
        <w:tblLook w:val="04A0" w:firstRow="1" w:lastRow="0" w:firstColumn="1" w:lastColumn="0" w:noHBand="0" w:noVBand="1"/>
      </w:tblPr>
      <w:tblGrid>
        <w:gridCol w:w="3119"/>
        <w:gridCol w:w="3543"/>
      </w:tblGrid>
      <w:tr w:rsidR="00945717" w:rsidRPr="00CC4E48" w:rsidTr="004631AC">
        <w:trPr>
          <w:tblHeader/>
          <w:jc w:val="center"/>
        </w:trPr>
        <w:tc>
          <w:tcPr>
            <w:tcW w:w="3119" w:type="dxa"/>
          </w:tcPr>
          <w:p w:rsidR="00945717" w:rsidRPr="00CC4E48" w:rsidRDefault="00945717" w:rsidP="00450213">
            <w:pPr>
              <w:keepNext/>
              <w:keepLines/>
              <w:ind w:left="145"/>
              <w:rPr>
                <w:b/>
              </w:rPr>
            </w:pPr>
            <w:r>
              <w:rPr>
                <w:b/>
              </w:rPr>
              <w:t>H</w:t>
            </w:r>
            <w:r w:rsidRPr="00CC4E48">
              <w:rPr>
                <w:b/>
              </w:rPr>
              <w:t>azard classes</w:t>
            </w:r>
            <w:r>
              <w:rPr>
                <w:b/>
              </w:rPr>
              <w:t xml:space="preserve"> in the GHS</w:t>
            </w:r>
          </w:p>
        </w:tc>
        <w:tc>
          <w:tcPr>
            <w:tcW w:w="3543" w:type="dxa"/>
          </w:tcPr>
          <w:p w:rsidR="00945717" w:rsidRPr="00CC4E48" w:rsidRDefault="00945717" w:rsidP="00450213">
            <w:pPr>
              <w:keepNext/>
              <w:keepLines/>
              <w:ind w:left="48" w:right="2"/>
              <w:rPr>
                <w:b/>
              </w:rPr>
            </w:pPr>
            <w:r w:rsidRPr="00CC4E48">
              <w:rPr>
                <w:b/>
              </w:rPr>
              <w:t>Hazard classes in the Model Regulations</w:t>
            </w:r>
          </w:p>
        </w:tc>
      </w:tr>
      <w:tr w:rsidR="00945717" w:rsidRPr="00D1183D" w:rsidTr="004631AC">
        <w:trPr>
          <w:jc w:val="center"/>
        </w:trPr>
        <w:tc>
          <w:tcPr>
            <w:tcW w:w="3119" w:type="dxa"/>
          </w:tcPr>
          <w:p w:rsidR="00945717" w:rsidRPr="00D1183D" w:rsidRDefault="00945717" w:rsidP="00450213">
            <w:pPr>
              <w:keepNext/>
              <w:keepLines/>
              <w:ind w:left="145"/>
            </w:pPr>
            <w:r w:rsidRPr="00D1183D">
              <w:t>Explosives, Divisions 1.1 to 1.6</w:t>
            </w:r>
          </w:p>
        </w:tc>
        <w:tc>
          <w:tcPr>
            <w:tcW w:w="3543" w:type="dxa"/>
          </w:tcPr>
          <w:p w:rsidR="00945717" w:rsidRPr="00D1183D" w:rsidRDefault="00945717" w:rsidP="00450213">
            <w:pPr>
              <w:keepNext/>
              <w:keepLines/>
              <w:ind w:left="48" w:right="2"/>
            </w:pPr>
            <w:r w:rsidRPr="00D1183D">
              <w:t>Class 1, Divisions 1.1 to 1.6</w:t>
            </w:r>
          </w:p>
        </w:tc>
      </w:tr>
      <w:tr w:rsidR="00945717" w:rsidRPr="00D1183D" w:rsidTr="004631AC">
        <w:trPr>
          <w:jc w:val="center"/>
        </w:trPr>
        <w:tc>
          <w:tcPr>
            <w:tcW w:w="3119" w:type="dxa"/>
          </w:tcPr>
          <w:p w:rsidR="00945717" w:rsidRPr="00D1183D" w:rsidRDefault="00945717" w:rsidP="00450213">
            <w:pPr>
              <w:keepNext/>
              <w:keepLines/>
              <w:ind w:left="145"/>
            </w:pPr>
            <w:r w:rsidRPr="00D1183D">
              <w:t>Flammable gases, Category 1</w:t>
            </w:r>
          </w:p>
        </w:tc>
        <w:tc>
          <w:tcPr>
            <w:tcW w:w="3543" w:type="dxa"/>
          </w:tcPr>
          <w:p w:rsidR="00945717" w:rsidRPr="00D1183D" w:rsidRDefault="00945717" w:rsidP="00450213">
            <w:pPr>
              <w:keepNext/>
              <w:keepLines/>
              <w:ind w:left="48" w:right="2"/>
            </w:pPr>
            <w:r w:rsidRPr="00D1183D">
              <w:t>Class 2, Division 2.1</w:t>
            </w:r>
          </w:p>
        </w:tc>
      </w:tr>
      <w:tr w:rsidR="00945717" w:rsidRPr="00D1183D" w:rsidTr="004631AC">
        <w:trPr>
          <w:jc w:val="center"/>
        </w:trPr>
        <w:tc>
          <w:tcPr>
            <w:tcW w:w="3119" w:type="dxa"/>
          </w:tcPr>
          <w:p w:rsidR="00945717" w:rsidRPr="00D1183D" w:rsidRDefault="00945717" w:rsidP="00450213">
            <w:pPr>
              <w:keepNext/>
              <w:keepLines/>
              <w:ind w:left="145"/>
            </w:pPr>
            <w:r w:rsidRPr="00D1183D">
              <w:t>Aerosols</w:t>
            </w:r>
          </w:p>
        </w:tc>
        <w:tc>
          <w:tcPr>
            <w:tcW w:w="3543" w:type="dxa"/>
          </w:tcPr>
          <w:p w:rsidR="00945717" w:rsidRPr="00D1183D" w:rsidRDefault="00945717" w:rsidP="00450213">
            <w:pPr>
              <w:keepNext/>
              <w:keepLines/>
              <w:ind w:left="48" w:right="2"/>
            </w:pPr>
            <w:r w:rsidRPr="00D1183D">
              <w:t>Class 2, Division 2.1 and 2.2</w:t>
            </w:r>
          </w:p>
        </w:tc>
      </w:tr>
      <w:tr w:rsidR="00945717" w:rsidRPr="00D1183D" w:rsidTr="004631AC">
        <w:trPr>
          <w:jc w:val="center"/>
        </w:trPr>
        <w:tc>
          <w:tcPr>
            <w:tcW w:w="3119" w:type="dxa"/>
          </w:tcPr>
          <w:p w:rsidR="00945717" w:rsidRPr="00D1183D" w:rsidRDefault="00945717" w:rsidP="00450213">
            <w:pPr>
              <w:ind w:left="145"/>
            </w:pPr>
            <w:r w:rsidRPr="00D1183D">
              <w:t>Oxidizing gases</w:t>
            </w:r>
          </w:p>
        </w:tc>
        <w:tc>
          <w:tcPr>
            <w:tcW w:w="3543" w:type="dxa"/>
          </w:tcPr>
          <w:p w:rsidR="00945717" w:rsidRPr="00D1183D" w:rsidRDefault="00945717" w:rsidP="00450213">
            <w:pPr>
              <w:ind w:left="48" w:right="2"/>
            </w:pPr>
            <w:r w:rsidRPr="00D1183D">
              <w:t xml:space="preserve">Class 2, Division 2.2 with subsidiary </w:t>
            </w:r>
            <w:r>
              <w:br/>
            </w:r>
            <w:r w:rsidRPr="00D1183D">
              <w:t>hazard 5.1</w:t>
            </w:r>
          </w:p>
        </w:tc>
      </w:tr>
      <w:tr w:rsidR="00945717" w:rsidRPr="00D1183D" w:rsidTr="004631AC">
        <w:trPr>
          <w:jc w:val="center"/>
        </w:trPr>
        <w:tc>
          <w:tcPr>
            <w:tcW w:w="3119" w:type="dxa"/>
          </w:tcPr>
          <w:p w:rsidR="00945717" w:rsidRPr="00D1183D" w:rsidRDefault="00945717" w:rsidP="00450213">
            <w:pPr>
              <w:ind w:left="145"/>
            </w:pPr>
            <w:r w:rsidRPr="00D1183D">
              <w:t>Gases under pressure</w:t>
            </w:r>
          </w:p>
        </w:tc>
        <w:tc>
          <w:tcPr>
            <w:tcW w:w="3543" w:type="dxa"/>
          </w:tcPr>
          <w:p w:rsidR="00945717" w:rsidRPr="00D1183D" w:rsidRDefault="00945717" w:rsidP="00450213">
            <w:pPr>
              <w:ind w:left="48" w:right="2"/>
            </w:pPr>
            <w:r w:rsidRPr="00D1183D">
              <w:t>Class 2</w:t>
            </w:r>
          </w:p>
        </w:tc>
      </w:tr>
      <w:tr w:rsidR="00945717" w:rsidRPr="00D1183D" w:rsidTr="004631AC">
        <w:trPr>
          <w:jc w:val="center"/>
        </w:trPr>
        <w:tc>
          <w:tcPr>
            <w:tcW w:w="3119" w:type="dxa"/>
          </w:tcPr>
          <w:p w:rsidR="00945717" w:rsidRPr="00D1183D" w:rsidRDefault="00945717" w:rsidP="00450213">
            <w:pPr>
              <w:ind w:left="145"/>
            </w:pPr>
            <w:r w:rsidRPr="00D1183D">
              <w:t>Flammable liquids, category 1 to 3</w:t>
            </w:r>
          </w:p>
        </w:tc>
        <w:tc>
          <w:tcPr>
            <w:tcW w:w="3543" w:type="dxa"/>
          </w:tcPr>
          <w:p w:rsidR="00945717" w:rsidRPr="00D1183D" w:rsidRDefault="00945717" w:rsidP="00450213">
            <w:pPr>
              <w:ind w:left="48" w:right="2"/>
            </w:pPr>
            <w:r w:rsidRPr="00D1183D">
              <w:t>Class 3</w:t>
            </w:r>
          </w:p>
        </w:tc>
      </w:tr>
      <w:tr w:rsidR="00945717" w:rsidRPr="00D1183D" w:rsidTr="004631AC">
        <w:trPr>
          <w:jc w:val="center"/>
        </w:trPr>
        <w:tc>
          <w:tcPr>
            <w:tcW w:w="3119" w:type="dxa"/>
          </w:tcPr>
          <w:p w:rsidR="00945717" w:rsidRPr="00D1183D" w:rsidRDefault="00945717" w:rsidP="00450213">
            <w:pPr>
              <w:ind w:left="145"/>
            </w:pPr>
            <w:r w:rsidRPr="00D1183D">
              <w:t>Flammable solids</w:t>
            </w:r>
          </w:p>
        </w:tc>
        <w:tc>
          <w:tcPr>
            <w:tcW w:w="3543" w:type="dxa"/>
          </w:tcPr>
          <w:p w:rsidR="00945717" w:rsidRPr="00D1183D" w:rsidRDefault="00945717" w:rsidP="00450213">
            <w:pPr>
              <w:ind w:left="48" w:right="2"/>
            </w:pPr>
            <w:r w:rsidRPr="00D1183D">
              <w:t>Class 4, Division 4.1</w:t>
            </w:r>
          </w:p>
        </w:tc>
      </w:tr>
      <w:tr w:rsidR="00945717" w:rsidRPr="00D1183D" w:rsidTr="004631AC">
        <w:trPr>
          <w:jc w:val="center"/>
        </w:trPr>
        <w:tc>
          <w:tcPr>
            <w:tcW w:w="3119" w:type="dxa"/>
          </w:tcPr>
          <w:p w:rsidR="00945717" w:rsidRPr="00D1183D" w:rsidRDefault="00945717" w:rsidP="00450213">
            <w:pPr>
              <w:ind w:left="145"/>
            </w:pPr>
            <w:r w:rsidRPr="00D1183D">
              <w:lastRenderedPageBreak/>
              <w:t>Self-reactive substances and mixtures</w:t>
            </w:r>
          </w:p>
        </w:tc>
        <w:tc>
          <w:tcPr>
            <w:tcW w:w="3543" w:type="dxa"/>
          </w:tcPr>
          <w:p w:rsidR="00945717" w:rsidRPr="00D1183D" w:rsidRDefault="00945717" w:rsidP="00450213">
            <w:pPr>
              <w:ind w:left="48" w:right="2"/>
            </w:pPr>
            <w:r w:rsidRPr="00D1183D">
              <w:t>Class 4, Division 4.1</w:t>
            </w:r>
          </w:p>
        </w:tc>
      </w:tr>
      <w:tr w:rsidR="00945717" w:rsidRPr="00D1183D" w:rsidTr="004631AC">
        <w:trPr>
          <w:jc w:val="center"/>
        </w:trPr>
        <w:tc>
          <w:tcPr>
            <w:tcW w:w="3119" w:type="dxa"/>
          </w:tcPr>
          <w:p w:rsidR="00945717" w:rsidRPr="00D1183D" w:rsidRDefault="00945717" w:rsidP="00450213">
            <w:pPr>
              <w:ind w:left="145"/>
            </w:pPr>
            <w:r w:rsidRPr="00D1183D">
              <w:t>Pyrophoric liquids</w:t>
            </w:r>
          </w:p>
        </w:tc>
        <w:tc>
          <w:tcPr>
            <w:tcW w:w="3543" w:type="dxa"/>
          </w:tcPr>
          <w:p w:rsidR="00945717" w:rsidRPr="00D1183D" w:rsidRDefault="00945717" w:rsidP="00450213">
            <w:pPr>
              <w:ind w:left="48" w:right="2"/>
            </w:pPr>
            <w:r w:rsidRPr="00D1183D">
              <w:t>Class 4, Division 4.2</w:t>
            </w:r>
          </w:p>
        </w:tc>
      </w:tr>
      <w:tr w:rsidR="00945717" w:rsidRPr="00D1183D" w:rsidTr="004631AC">
        <w:trPr>
          <w:jc w:val="center"/>
        </w:trPr>
        <w:tc>
          <w:tcPr>
            <w:tcW w:w="3119" w:type="dxa"/>
          </w:tcPr>
          <w:p w:rsidR="00945717" w:rsidRPr="00D1183D" w:rsidRDefault="00945717" w:rsidP="00450213">
            <w:pPr>
              <w:ind w:left="145"/>
            </w:pPr>
            <w:r w:rsidRPr="00D1183D">
              <w:t>Pyrophoric solids</w:t>
            </w:r>
          </w:p>
        </w:tc>
        <w:tc>
          <w:tcPr>
            <w:tcW w:w="3543" w:type="dxa"/>
          </w:tcPr>
          <w:p w:rsidR="00945717" w:rsidRPr="00D1183D" w:rsidRDefault="00945717" w:rsidP="00450213">
            <w:pPr>
              <w:ind w:left="48" w:right="2"/>
            </w:pPr>
            <w:r w:rsidRPr="00D1183D">
              <w:t>Class 4, Division 4.2</w:t>
            </w:r>
          </w:p>
        </w:tc>
      </w:tr>
      <w:tr w:rsidR="00945717" w:rsidRPr="00D1183D" w:rsidTr="004631AC">
        <w:trPr>
          <w:jc w:val="center"/>
        </w:trPr>
        <w:tc>
          <w:tcPr>
            <w:tcW w:w="3119" w:type="dxa"/>
          </w:tcPr>
          <w:p w:rsidR="00945717" w:rsidRPr="00D1183D" w:rsidRDefault="00945717" w:rsidP="00450213">
            <w:pPr>
              <w:ind w:left="145"/>
            </w:pPr>
            <w:r w:rsidRPr="00D1183D">
              <w:t>Self-heating substances and mixtures</w:t>
            </w:r>
          </w:p>
        </w:tc>
        <w:tc>
          <w:tcPr>
            <w:tcW w:w="3543" w:type="dxa"/>
          </w:tcPr>
          <w:p w:rsidR="00945717" w:rsidRPr="00D1183D" w:rsidRDefault="00945717" w:rsidP="00450213">
            <w:pPr>
              <w:ind w:left="48" w:right="2"/>
            </w:pPr>
            <w:r w:rsidRPr="00D1183D">
              <w:t>Class 4, Division 4.2</w:t>
            </w:r>
          </w:p>
        </w:tc>
      </w:tr>
      <w:tr w:rsidR="00945717" w:rsidRPr="00D1183D" w:rsidTr="004631AC">
        <w:trPr>
          <w:jc w:val="center"/>
        </w:trPr>
        <w:tc>
          <w:tcPr>
            <w:tcW w:w="3119" w:type="dxa"/>
          </w:tcPr>
          <w:p w:rsidR="00945717" w:rsidRPr="00D1183D" w:rsidRDefault="00945717" w:rsidP="00450213">
            <w:pPr>
              <w:keepNext/>
              <w:keepLines/>
              <w:ind w:left="145"/>
            </w:pPr>
            <w:r w:rsidRPr="00D1183D">
              <w:t>Substances and mixtures which, in contact with water, emit flammable gases</w:t>
            </w:r>
          </w:p>
        </w:tc>
        <w:tc>
          <w:tcPr>
            <w:tcW w:w="3543" w:type="dxa"/>
          </w:tcPr>
          <w:p w:rsidR="00945717" w:rsidRPr="00D1183D" w:rsidRDefault="00945717" w:rsidP="00450213">
            <w:pPr>
              <w:keepNext/>
              <w:keepLines/>
              <w:ind w:left="48" w:right="2"/>
            </w:pPr>
            <w:r w:rsidRPr="00D1183D">
              <w:t>Class 4, Division 4.3</w:t>
            </w:r>
          </w:p>
        </w:tc>
      </w:tr>
      <w:tr w:rsidR="00945717" w:rsidRPr="00D1183D" w:rsidTr="004631AC">
        <w:trPr>
          <w:jc w:val="center"/>
        </w:trPr>
        <w:tc>
          <w:tcPr>
            <w:tcW w:w="3119" w:type="dxa"/>
          </w:tcPr>
          <w:p w:rsidR="00945717" w:rsidRPr="00D1183D" w:rsidRDefault="00945717" w:rsidP="00450213">
            <w:pPr>
              <w:ind w:left="145"/>
            </w:pPr>
            <w:r w:rsidRPr="00D1183D">
              <w:t>Oxidizing liquids</w:t>
            </w:r>
          </w:p>
        </w:tc>
        <w:tc>
          <w:tcPr>
            <w:tcW w:w="3543" w:type="dxa"/>
          </w:tcPr>
          <w:p w:rsidR="00945717" w:rsidRPr="00D1183D" w:rsidRDefault="00945717" w:rsidP="00450213">
            <w:pPr>
              <w:ind w:left="48"/>
            </w:pPr>
            <w:r w:rsidRPr="00D1183D">
              <w:t>Class 5, Division 5.1</w:t>
            </w:r>
          </w:p>
        </w:tc>
      </w:tr>
      <w:tr w:rsidR="00945717" w:rsidRPr="00D1183D" w:rsidTr="004631AC">
        <w:trPr>
          <w:jc w:val="center"/>
        </w:trPr>
        <w:tc>
          <w:tcPr>
            <w:tcW w:w="3119" w:type="dxa"/>
          </w:tcPr>
          <w:p w:rsidR="00945717" w:rsidRPr="00D1183D" w:rsidRDefault="00945717" w:rsidP="00450213">
            <w:pPr>
              <w:ind w:left="145"/>
            </w:pPr>
            <w:r w:rsidRPr="00D1183D">
              <w:t>Oxidizing solids</w:t>
            </w:r>
          </w:p>
        </w:tc>
        <w:tc>
          <w:tcPr>
            <w:tcW w:w="3543" w:type="dxa"/>
          </w:tcPr>
          <w:p w:rsidR="00945717" w:rsidRPr="00D1183D" w:rsidRDefault="00945717" w:rsidP="00450213">
            <w:pPr>
              <w:ind w:left="48"/>
            </w:pPr>
            <w:r w:rsidRPr="00D1183D">
              <w:t>Class 5, Division 5.1</w:t>
            </w:r>
          </w:p>
        </w:tc>
      </w:tr>
      <w:tr w:rsidR="00945717" w:rsidRPr="00D1183D" w:rsidTr="004631AC">
        <w:trPr>
          <w:jc w:val="center"/>
        </w:trPr>
        <w:tc>
          <w:tcPr>
            <w:tcW w:w="3119" w:type="dxa"/>
          </w:tcPr>
          <w:p w:rsidR="00945717" w:rsidRPr="00D1183D" w:rsidRDefault="00945717" w:rsidP="00450213">
            <w:pPr>
              <w:ind w:left="145"/>
            </w:pPr>
            <w:r w:rsidRPr="00D1183D">
              <w:t>Organic peroxides</w:t>
            </w:r>
          </w:p>
        </w:tc>
        <w:tc>
          <w:tcPr>
            <w:tcW w:w="3543" w:type="dxa"/>
          </w:tcPr>
          <w:p w:rsidR="00945717" w:rsidRPr="00D1183D" w:rsidRDefault="00945717" w:rsidP="00450213">
            <w:pPr>
              <w:ind w:left="48"/>
            </w:pPr>
            <w:r w:rsidRPr="00D1183D">
              <w:t>Class 5, Division 5.2</w:t>
            </w:r>
          </w:p>
        </w:tc>
      </w:tr>
      <w:tr w:rsidR="00945717" w:rsidRPr="00D1183D" w:rsidTr="004631AC">
        <w:trPr>
          <w:jc w:val="center"/>
        </w:trPr>
        <w:tc>
          <w:tcPr>
            <w:tcW w:w="3119" w:type="dxa"/>
          </w:tcPr>
          <w:p w:rsidR="00945717" w:rsidRPr="00D1183D" w:rsidRDefault="00945717" w:rsidP="00450213">
            <w:pPr>
              <w:ind w:left="145"/>
            </w:pPr>
            <w:r w:rsidRPr="00D1183D">
              <w:t>Corrosive to metals</w:t>
            </w:r>
          </w:p>
        </w:tc>
        <w:tc>
          <w:tcPr>
            <w:tcW w:w="3543" w:type="dxa"/>
          </w:tcPr>
          <w:p w:rsidR="00945717" w:rsidRPr="00D1183D" w:rsidRDefault="00945717" w:rsidP="00450213">
            <w:pPr>
              <w:ind w:left="48"/>
            </w:pPr>
            <w:r w:rsidRPr="00D1183D">
              <w:t>Class 8</w:t>
            </w:r>
          </w:p>
        </w:tc>
      </w:tr>
      <w:tr w:rsidR="00945717" w:rsidRPr="00D1183D" w:rsidTr="004631AC">
        <w:trPr>
          <w:jc w:val="center"/>
        </w:trPr>
        <w:tc>
          <w:tcPr>
            <w:tcW w:w="3119" w:type="dxa"/>
          </w:tcPr>
          <w:p w:rsidR="00945717" w:rsidRPr="00D1183D" w:rsidRDefault="00945717" w:rsidP="00450213">
            <w:pPr>
              <w:ind w:left="145"/>
            </w:pPr>
            <w:r w:rsidRPr="00D1183D">
              <w:t>Desensitized explosives</w:t>
            </w:r>
          </w:p>
        </w:tc>
        <w:tc>
          <w:tcPr>
            <w:tcW w:w="3543" w:type="dxa"/>
          </w:tcPr>
          <w:p w:rsidR="00945717" w:rsidRPr="00D1183D" w:rsidRDefault="00945717" w:rsidP="00450213">
            <w:pPr>
              <w:ind w:left="48"/>
            </w:pPr>
            <w:r w:rsidRPr="00D1183D">
              <w:t>Class 3 (liquids)</w:t>
            </w:r>
          </w:p>
        </w:tc>
      </w:tr>
      <w:tr w:rsidR="00945717" w:rsidRPr="00D1183D" w:rsidTr="004631AC">
        <w:trPr>
          <w:jc w:val="center"/>
        </w:trPr>
        <w:tc>
          <w:tcPr>
            <w:tcW w:w="3119" w:type="dxa"/>
          </w:tcPr>
          <w:p w:rsidR="00945717" w:rsidRPr="00D1183D" w:rsidRDefault="00945717" w:rsidP="00450213">
            <w:pPr>
              <w:ind w:left="145"/>
            </w:pPr>
          </w:p>
        </w:tc>
        <w:tc>
          <w:tcPr>
            <w:tcW w:w="3543" w:type="dxa"/>
          </w:tcPr>
          <w:p w:rsidR="00945717" w:rsidRPr="00D1183D" w:rsidRDefault="00945717" w:rsidP="00450213">
            <w:pPr>
              <w:ind w:left="48"/>
            </w:pPr>
            <w:r w:rsidRPr="00D1183D">
              <w:t>Class 4, Division 4.1 (solids)</w:t>
            </w:r>
          </w:p>
        </w:tc>
      </w:tr>
      <w:tr w:rsidR="00945717" w:rsidRPr="00D1183D" w:rsidTr="004631AC">
        <w:trPr>
          <w:jc w:val="center"/>
        </w:trPr>
        <w:tc>
          <w:tcPr>
            <w:tcW w:w="3119" w:type="dxa"/>
          </w:tcPr>
          <w:p w:rsidR="00945717" w:rsidRPr="00D1183D" w:rsidRDefault="00945717" w:rsidP="00450213">
            <w:pPr>
              <w:ind w:left="145"/>
            </w:pPr>
            <w:r w:rsidRPr="00D1183D">
              <w:t>Acute toxicity, Categories 1, 2 and 3</w:t>
            </w:r>
          </w:p>
        </w:tc>
        <w:tc>
          <w:tcPr>
            <w:tcW w:w="3543" w:type="dxa"/>
          </w:tcPr>
          <w:p w:rsidR="00945717" w:rsidRPr="00D1183D" w:rsidRDefault="00945717" w:rsidP="00450213">
            <w:pPr>
              <w:ind w:left="48"/>
            </w:pPr>
            <w:r w:rsidRPr="00D1183D">
              <w:t>Class 6, Division 6.1 (solids and liquids)</w:t>
            </w:r>
          </w:p>
        </w:tc>
      </w:tr>
      <w:tr w:rsidR="00945717" w:rsidRPr="00D1183D" w:rsidTr="004631AC">
        <w:trPr>
          <w:jc w:val="center"/>
        </w:trPr>
        <w:tc>
          <w:tcPr>
            <w:tcW w:w="3119" w:type="dxa"/>
          </w:tcPr>
          <w:p w:rsidR="00945717" w:rsidRPr="00D1183D" w:rsidRDefault="00945717" w:rsidP="00450213">
            <w:pPr>
              <w:ind w:left="145"/>
            </w:pPr>
          </w:p>
        </w:tc>
        <w:tc>
          <w:tcPr>
            <w:tcW w:w="3543" w:type="dxa"/>
          </w:tcPr>
          <w:p w:rsidR="00945717" w:rsidRPr="00D1183D" w:rsidRDefault="00945717" w:rsidP="00450213">
            <w:pPr>
              <w:ind w:left="48"/>
            </w:pPr>
            <w:r w:rsidRPr="00D1183D">
              <w:t>Class 2, Division 2.3 (gases)</w:t>
            </w:r>
          </w:p>
        </w:tc>
      </w:tr>
      <w:tr w:rsidR="00945717" w:rsidRPr="00D1183D" w:rsidTr="004631AC">
        <w:trPr>
          <w:jc w:val="center"/>
        </w:trPr>
        <w:tc>
          <w:tcPr>
            <w:tcW w:w="3119" w:type="dxa"/>
          </w:tcPr>
          <w:p w:rsidR="00945717" w:rsidRPr="00D1183D" w:rsidRDefault="00945717" w:rsidP="00450213">
            <w:pPr>
              <w:ind w:left="145"/>
            </w:pPr>
            <w:r w:rsidRPr="00D1183D">
              <w:t>Skin corrosion, Category 1</w:t>
            </w:r>
          </w:p>
        </w:tc>
        <w:tc>
          <w:tcPr>
            <w:tcW w:w="3543" w:type="dxa"/>
          </w:tcPr>
          <w:p w:rsidR="00945717" w:rsidRPr="00D1183D" w:rsidRDefault="00945717" w:rsidP="00450213">
            <w:pPr>
              <w:ind w:left="48"/>
            </w:pPr>
            <w:r w:rsidRPr="00D1183D">
              <w:t>Class 8</w:t>
            </w:r>
          </w:p>
        </w:tc>
      </w:tr>
      <w:tr w:rsidR="00945717" w:rsidRPr="00D1183D" w:rsidTr="004631AC">
        <w:trPr>
          <w:jc w:val="center"/>
        </w:trPr>
        <w:tc>
          <w:tcPr>
            <w:tcW w:w="3119" w:type="dxa"/>
          </w:tcPr>
          <w:p w:rsidR="00945717" w:rsidRPr="00D1183D" w:rsidRDefault="00945717" w:rsidP="00450213">
            <w:pPr>
              <w:ind w:left="145"/>
            </w:pPr>
            <w:r w:rsidRPr="00D1183D">
              <w:t>Hazardous to the aquatic environment, Acute 1 and Chronic 1 and 2</w:t>
            </w:r>
          </w:p>
        </w:tc>
        <w:tc>
          <w:tcPr>
            <w:tcW w:w="3543" w:type="dxa"/>
          </w:tcPr>
          <w:p w:rsidR="00945717" w:rsidRPr="00D1183D" w:rsidRDefault="00945717" w:rsidP="00450213">
            <w:pPr>
              <w:ind w:left="48"/>
            </w:pPr>
            <w:r w:rsidRPr="00D1183D">
              <w:t>Class 9 (environmentally hazardous substances)</w:t>
            </w:r>
          </w:p>
        </w:tc>
      </w:tr>
    </w:tbl>
    <w:p w:rsidR="00945717" w:rsidRDefault="00945717" w:rsidP="00945717">
      <w:pPr>
        <w:ind w:left="709"/>
        <w:jc w:val="right"/>
      </w:pPr>
      <w:r>
        <w:t>"</w:t>
      </w:r>
    </w:p>
    <w:p w:rsidR="00945717" w:rsidRDefault="00945717" w:rsidP="004631AC">
      <w:pPr>
        <w:pStyle w:val="SingleTxtG"/>
        <w:rPr>
          <w:i/>
          <w:iCs/>
        </w:rPr>
      </w:pPr>
      <w:r w:rsidRPr="004631AC">
        <w:rPr>
          <w:i/>
          <w:iCs/>
        </w:rPr>
        <w:t xml:space="preserve">(Reference document: </w:t>
      </w:r>
      <w:r w:rsidR="009C10AD">
        <w:rPr>
          <w:i/>
          <w:iCs/>
        </w:rPr>
        <w:t>ST/SG/AC.10/C.4/2018/1</w:t>
      </w:r>
      <w:r w:rsidRPr="004631AC">
        <w:rPr>
          <w:i/>
          <w:iCs/>
        </w:rPr>
        <w:t>)</w:t>
      </w:r>
    </w:p>
    <w:p w:rsidR="001301C0" w:rsidRDefault="001301C0" w:rsidP="001301C0">
      <w:pPr>
        <w:pStyle w:val="SingleTxtG"/>
        <w:tabs>
          <w:tab w:val="left" w:pos="2268"/>
          <w:tab w:val="left" w:pos="3119"/>
        </w:tabs>
        <w:spacing w:after="240" w:line="240" w:lineRule="auto"/>
        <w:ind w:left="2268" w:hanging="1134"/>
      </w:pPr>
      <w:r>
        <w:t>1.3</w:t>
      </w:r>
      <w:r>
        <w:tab/>
        <w:t>Delete current section 1.3 (“Precedence of hazards characteristics”).</w:t>
      </w:r>
    </w:p>
    <w:p w:rsidR="001301C0" w:rsidRDefault="001301C0" w:rsidP="001301C0">
      <w:pPr>
        <w:pStyle w:val="SingleTxtG"/>
        <w:tabs>
          <w:tab w:val="left" w:pos="2268"/>
          <w:tab w:val="left" w:pos="3119"/>
        </w:tabs>
        <w:spacing w:after="240" w:line="240" w:lineRule="auto"/>
        <w:ind w:left="2268" w:hanging="1134"/>
      </w:pPr>
      <w:r>
        <w:t>Former heading of 1.2 becomes new 1.3. The text remains unchanged.</w:t>
      </w:r>
    </w:p>
    <w:p w:rsidR="001301C0" w:rsidRDefault="001301C0" w:rsidP="001301C0">
      <w:pPr>
        <w:pStyle w:val="SingleTxtG"/>
        <w:tabs>
          <w:tab w:val="left" w:pos="2268"/>
          <w:tab w:val="left" w:pos="3119"/>
        </w:tabs>
        <w:spacing w:after="240" w:line="240" w:lineRule="auto"/>
        <w:ind w:left="2268" w:hanging="1134"/>
      </w:pPr>
      <w:r>
        <w:t xml:space="preserve">1.3.1 (new, former 1.2.1) Amend to read as follows: </w:t>
      </w:r>
    </w:p>
    <w:p w:rsidR="001301C0" w:rsidRDefault="001301C0" w:rsidP="00BD6F08">
      <w:pPr>
        <w:pStyle w:val="SingleTxtG"/>
      </w:pPr>
      <w:r>
        <w:t>“</w:t>
      </w:r>
      <w:r w:rsidRPr="00ED4745">
        <w:t>1.</w:t>
      </w:r>
      <w:r w:rsidRPr="006C6884">
        <w:t>3</w:t>
      </w:r>
      <w:r w:rsidRPr="00ED4745">
        <w:t>.1</w:t>
      </w:r>
      <w:r w:rsidRPr="00ED4745">
        <w:tab/>
      </w:r>
      <w:r w:rsidR="00BD6F08">
        <w:tab/>
      </w:r>
      <w:r w:rsidRPr="00ED4745">
        <w:t xml:space="preserve">The </w:t>
      </w:r>
      <w:r w:rsidRPr="006C6884">
        <w:t xml:space="preserve">Manual is </w:t>
      </w:r>
      <w:r w:rsidRPr="00ED4745">
        <w:t xml:space="preserve">divided into </w:t>
      </w:r>
      <w:r w:rsidRPr="006C6884">
        <w:t xml:space="preserve">five </w:t>
      </w:r>
      <w:r w:rsidRPr="00ED4745">
        <w:t xml:space="preserve">parts: </w:t>
      </w:r>
    </w:p>
    <w:p w:rsidR="001301C0" w:rsidRPr="00ED4745" w:rsidRDefault="00BD6F08" w:rsidP="00BD6F08">
      <w:pPr>
        <w:pStyle w:val="SingleTxtG"/>
      </w:pPr>
      <w:r>
        <w:tab/>
      </w:r>
      <w:r w:rsidR="001301C0" w:rsidRPr="00ED4745">
        <w:t>Part I:</w:t>
      </w:r>
      <w:r w:rsidR="001301C0" w:rsidRPr="00ED4745">
        <w:tab/>
      </w:r>
      <w:r>
        <w:tab/>
        <w:t>R</w:t>
      </w:r>
      <w:r w:rsidR="001301C0" w:rsidRPr="00ED4745">
        <w:t>elating to explosives;</w:t>
      </w:r>
    </w:p>
    <w:p w:rsidR="001301C0" w:rsidRPr="00ED4745" w:rsidRDefault="001301C0" w:rsidP="00BD6F08">
      <w:pPr>
        <w:pStyle w:val="SingleTxtG"/>
        <w:ind w:left="2259" w:hanging="1125"/>
      </w:pPr>
      <w:r w:rsidRPr="00ED4745">
        <w:t>Part II:</w:t>
      </w:r>
      <w:r w:rsidRPr="00ED4745">
        <w:tab/>
      </w:r>
      <w:r w:rsidR="00BD6F08">
        <w:tab/>
        <w:t>R</w:t>
      </w:r>
      <w:r w:rsidRPr="00ED4745">
        <w:t xml:space="preserve">elating to </w:t>
      </w:r>
      <w:r>
        <w:t>self-reactive substances, organic peroxides and polymerising substances</w:t>
      </w:r>
      <w:r w:rsidRPr="00ED4745">
        <w:t>;</w:t>
      </w:r>
    </w:p>
    <w:p w:rsidR="001301C0" w:rsidRPr="00ED4745" w:rsidRDefault="00BD6F08" w:rsidP="00BD6F08">
      <w:pPr>
        <w:pStyle w:val="SingleTxtG"/>
        <w:ind w:left="2259" w:hanging="1125"/>
      </w:pPr>
      <w:r>
        <w:t>Part III:</w:t>
      </w:r>
      <w:r>
        <w:tab/>
        <w:t>R</w:t>
      </w:r>
      <w:r w:rsidR="001301C0" w:rsidRPr="00ED4745">
        <w:t xml:space="preserve">elating to </w:t>
      </w:r>
      <w:bookmarkStart w:id="13" w:name="_Hlk501362596"/>
      <w:r w:rsidR="001301C0" w:rsidRPr="006C6884">
        <w:t>aerosols, desensitized explosives (relating to transport only), flammable liquids, flammable solids, pyrophoric liquids and solids, substances which in contact with water emit flammable gases, oxidizing liquids and solids, chemically unstable gases and gas mixtures, substances corrosive to metals, and substances and articles of transport Class 9 (ammonium nitrate fertilizers, lithium metal and lithium ion batteries) and solid ammonium nitrate based fertilizers</w:t>
      </w:r>
      <w:r w:rsidR="001301C0" w:rsidRPr="00ED4745">
        <w:t>;</w:t>
      </w:r>
    </w:p>
    <w:p w:rsidR="001301C0" w:rsidRPr="006C6884" w:rsidRDefault="001301C0" w:rsidP="00BD6F08">
      <w:pPr>
        <w:pStyle w:val="SingleTxtG"/>
      </w:pPr>
      <w:bookmarkStart w:id="14" w:name="_Hlk501362745"/>
      <w:bookmarkEnd w:id="13"/>
      <w:r w:rsidRPr="006C6884">
        <w:t>Part IV:</w:t>
      </w:r>
      <w:r w:rsidRPr="006C6884">
        <w:tab/>
      </w:r>
      <w:r w:rsidR="00BD6F08">
        <w:t>T</w:t>
      </w:r>
      <w:r w:rsidRPr="006C6884">
        <w:t>est methods concerning transport equipment; and</w:t>
      </w:r>
    </w:p>
    <w:p w:rsidR="001301C0" w:rsidRDefault="001301C0" w:rsidP="00BD6F08">
      <w:pPr>
        <w:pStyle w:val="SingleTxtG"/>
        <w:ind w:left="2259" w:hanging="1125"/>
      </w:pPr>
      <w:r w:rsidRPr="006C6884">
        <w:t>Part V:</w:t>
      </w:r>
      <w:r w:rsidRPr="006C6884">
        <w:tab/>
      </w:r>
      <w:r w:rsidR="00BD6F08">
        <w:t>C</w:t>
      </w:r>
      <w:r w:rsidRPr="006C6884">
        <w:t>lassification procedures, test methods and criteria relating to sectors other than transport</w:t>
      </w:r>
      <w:r w:rsidRPr="00ED4745">
        <w:t>.</w:t>
      </w:r>
      <w:bookmarkEnd w:id="14"/>
      <w:r>
        <w:t>”.</w:t>
      </w:r>
    </w:p>
    <w:p w:rsidR="001301C0" w:rsidRPr="001301C0" w:rsidRDefault="001301C0" w:rsidP="004631AC">
      <w:pPr>
        <w:pStyle w:val="SingleTxtG"/>
      </w:pPr>
      <w:r w:rsidRPr="001301C0">
        <w:t>The last paragraph of current 1.2.1 (“Part III …screening procedures” becomes new paragraph 1.3.2.</w:t>
      </w:r>
    </w:p>
    <w:p w:rsidR="001301C0" w:rsidRPr="00216E16" w:rsidRDefault="001301C0" w:rsidP="004631AC">
      <w:pPr>
        <w:pStyle w:val="SingleTxtG"/>
      </w:pPr>
      <w:r w:rsidRPr="00216E16">
        <w:t>1.3.2 (new, former last paragraph of 1.2.1)</w:t>
      </w:r>
      <w:r w:rsidRPr="00216E16">
        <w:tab/>
        <w:t>Delete the first sentence (“Part III …Model Regulations”).</w:t>
      </w:r>
    </w:p>
    <w:p w:rsidR="001301C0" w:rsidRDefault="001301C0" w:rsidP="001301C0">
      <w:pPr>
        <w:pStyle w:val="SingleTxtG"/>
        <w:tabs>
          <w:tab w:val="left" w:pos="2268"/>
          <w:tab w:val="left" w:pos="3119"/>
        </w:tabs>
        <w:ind w:left="2268" w:hanging="1134"/>
      </w:pPr>
      <w:r>
        <w:lastRenderedPageBreak/>
        <w:t>Delete “a number of “before “appendices” and “the transport of” before “organic peroxides”.</w:t>
      </w:r>
    </w:p>
    <w:p w:rsidR="001301C0" w:rsidRPr="001301C0" w:rsidRDefault="001301C0" w:rsidP="004631AC">
      <w:pPr>
        <w:pStyle w:val="SingleTxtG"/>
      </w:pPr>
      <w:r>
        <w:tab/>
      </w:r>
      <w:r w:rsidRPr="001301C0">
        <w:t>Amend the end of the paragraph to read as follows: “… self-reactive substances, on screening procedures, on flash compositions tests for the classification of fireworks, response descriptors and the ballistic energy test for cartridges, small arms.”.</w:t>
      </w:r>
    </w:p>
    <w:p w:rsidR="001301C0" w:rsidRPr="00216E16" w:rsidRDefault="001301C0" w:rsidP="004631AC">
      <w:pPr>
        <w:pStyle w:val="SingleTxtG"/>
      </w:pPr>
      <w:r w:rsidRPr="00216E16">
        <w:t xml:space="preserve">1.3.3 (new, former 1.2.2) </w:t>
      </w:r>
      <w:r w:rsidRPr="00216E16">
        <w:tab/>
        <w:t>Replace (twice) “Table 1.1” with “Table 1.2”.</w:t>
      </w:r>
    </w:p>
    <w:p w:rsidR="001301C0" w:rsidRPr="00216E16" w:rsidRDefault="001301C0" w:rsidP="004631AC">
      <w:pPr>
        <w:pStyle w:val="SingleTxtG"/>
      </w:pPr>
      <w:r w:rsidRPr="00216E16">
        <w:t>In the table, third row, under “Test Series”, replace “L-T” with “C, L-U”.</w:t>
      </w:r>
    </w:p>
    <w:p w:rsidR="001301C0" w:rsidRPr="00216E16" w:rsidRDefault="001301C0" w:rsidP="004631AC">
      <w:pPr>
        <w:pStyle w:val="SingleTxtG"/>
      </w:pPr>
      <w:r w:rsidRPr="00216E16">
        <w:t xml:space="preserve">1.3.4 </w:t>
      </w:r>
      <w:r w:rsidRPr="00216E16">
        <w:tab/>
        <w:t>Former paragraph 1.2.3 becomes new paragraph 1.3.4. The text of the paragraph remains unchanged.</w:t>
      </w:r>
    </w:p>
    <w:p w:rsidR="001301C0" w:rsidRPr="00216E16" w:rsidRDefault="001301C0" w:rsidP="004631AC">
      <w:pPr>
        <w:pStyle w:val="SingleTxtG"/>
      </w:pPr>
      <w:r w:rsidRPr="00216E16">
        <w:t>1.4.1</w:t>
      </w:r>
      <w:r w:rsidRPr="00216E16">
        <w:tab/>
        <w:t>Amend the end of the paragraph to read as follows: “toxicity data (see Chapter 1.5 and Annex 4 of the GHS for guidance on the preparation of Safety Data Sheets).”.</w:t>
      </w:r>
    </w:p>
    <w:p w:rsidR="001301C0" w:rsidRPr="00216E16" w:rsidRDefault="001301C0" w:rsidP="004631AC">
      <w:pPr>
        <w:pStyle w:val="SingleTxtG"/>
      </w:pPr>
      <w:r w:rsidRPr="00216E16">
        <w:t>1.5.1</w:t>
      </w:r>
      <w:r w:rsidRPr="00216E16">
        <w:tab/>
        <w:t>In the second sentence, replace “here” with “below”. In the last sentence, after “those prescribed,” insert “the deviation should be described and”.</w:t>
      </w:r>
    </w:p>
    <w:p w:rsidR="001301C0" w:rsidRPr="00216E16" w:rsidRDefault="001301C0" w:rsidP="004631AC">
      <w:pPr>
        <w:pStyle w:val="SingleTxtG"/>
      </w:pPr>
      <w:r w:rsidRPr="00216E16">
        <w:t>1.5.2</w:t>
      </w:r>
      <w:r w:rsidRPr="00216E16">
        <w:tab/>
        <w:t>Amend the end of the first sentence and the beginning of the second sentence to read as follows: “…should be representative of the substances being classified. The contents of active substance(s)…”.</w:t>
      </w:r>
    </w:p>
    <w:p w:rsidR="001301C0" w:rsidRPr="00216E16" w:rsidRDefault="001301C0" w:rsidP="004631AC">
      <w:pPr>
        <w:pStyle w:val="SingleTxtG"/>
      </w:pPr>
      <w:r w:rsidRPr="00216E16">
        <w:t>1.5.4</w:t>
      </w:r>
      <w:r w:rsidRPr="00216E16">
        <w:tab/>
        <w:t xml:space="preserve">Amend the end of the first sentence to read: “expected circumstances, e.g. of transport or storage.”. In the second sentence replace “the transport conditions” with “these circumstances” and “anticipated transport conditions” with “anticipated conditions”. </w:t>
      </w:r>
    </w:p>
    <w:p w:rsidR="001301C0" w:rsidRPr="00216E16" w:rsidRDefault="001301C0" w:rsidP="004631AC">
      <w:pPr>
        <w:pStyle w:val="SingleTxtG"/>
      </w:pPr>
      <w:r w:rsidRPr="00216E16">
        <w:t>1.6.1</w:t>
      </w:r>
      <w:r w:rsidRPr="00216E16">
        <w:tab/>
        <w:t xml:space="preserve">In the third sentence replace “Table 1.2” with “Table 1.3” and “Table 1.3” with “Table 1.4”. </w:t>
      </w:r>
      <w:r w:rsidRPr="004631AC">
        <w:t xml:space="preserve">In the fourth sentence, amend “self-reactive substances and organic peroxides” to “self-reactive substances, organic peroxides and polymerising substances”. </w:t>
      </w:r>
      <w:r w:rsidRPr="00216E16">
        <w:t>In the last but one sentence, delete “as only one test is given for each property”.</w:t>
      </w:r>
    </w:p>
    <w:p w:rsidR="001301C0" w:rsidRDefault="001301C0" w:rsidP="004631AC">
      <w:pPr>
        <w:pStyle w:val="SingleTxtG"/>
      </w:pPr>
      <w:r>
        <w:tab/>
        <w:t>Current Table 1.2 becomes new Table 1.3, with the following changes:</w:t>
      </w:r>
    </w:p>
    <w:p w:rsidR="001301C0" w:rsidRDefault="001301C0" w:rsidP="004631AC">
      <w:pPr>
        <w:pStyle w:val="SingleTxtG"/>
      </w:pPr>
      <w:r>
        <w:t xml:space="preserve">Amend the title to read “RECOMMENDED TESTS IN PART I”. </w:t>
      </w:r>
    </w:p>
    <w:p w:rsidR="001301C0" w:rsidRDefault="001301C0" w:rsidP="004631AC">
      <w:pPr>
        <w:pStyle w:val="SingleTxtG"/>
      </w:pPr>
      <w:r>
        <w:t>For the thermal stability test at 75 °C under “Test code” replace “3 (c)” with “3 (c) (i)”.</w:t>
      </w:r>
    </w:p>
    <w:p w:rsidR="001301C0" w:rsidRDefault="001301C0" w:rsidP="004631AC">
      <w:pPr>
        <w:pStyle w:val="SingleTxtG"/>
      </w:pPr>
      <w:r>
        <w:t>Insert a new row under the current row for Test series 7 (l), as follows:</w:t>
      </w:r>
    </w:p>
    <w:tbl>
      <w:tblPr>
        <w:tblW w:w="63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851"/>
        <w:gridCol w:w="850"/>
        <w:gridCol w:w="851"/>
        <w:gridCol w:w="3827"/>
      </w:tblGrid>
      <w:tr w:rsidR="001301C0" w:rsidRPr="00EA4C3D" w:rsidTr="00BD6F08">
        <w:trPr>
          <w:tblHeader/>
          <w:jc w:val="center"/>
        </w:trPr>
        <w:tc>
          <w:tcPr>
            <w:tcW w:w="851" w:type="dxa"/>
          </w:tcPr>
          <w:p w:rsidR="001301C0" w:rsidRPr="00EA4C3D" w:rsidRDefault="001301C0" w:rsidP="00450213">
            <w:pPr>
              <w:numPr>
                <w:ilvl w:val="12"/>
                <w:numId w:val="0"/>
              </w:numPr>
              <w:spacing w:before="20" w:after="20"/>
              <w:jc w:val="center"/>
              <w:rPr>
                <w:sz w:val="18"/>
              </w:rPr>
            </w:pPr>
            <w:r w:rsidRPr="00EA4C3D">
              <w:rPr>
                <w:b/>
                <w:bCs/>
                <w:sz w:val="18"/>
              </w:rPr>
              <w:t>Test series</w:t>
            </w:r>
          </w:p>
        </w:tc>
        <w:tc>
          <w:tcPr>
            <w:tcW w:w="850" w:type="dxa"/>
          </w:tcPr>
          <w:p w:rsidR="001301C0" w:rsidRPr="00EA4C3D" w:rsidRDefault="001301C0" w:rsidP="00450213">
            <w:pPr>
              <w:numPr>
                <w:ilvl w:val="12"/>
                <w:numId w:val="0"/>
              </w:numPr>
              <w:spacing w:before="20" w:after="20"/>
              <w:jc w:val="center"/>
              <w:rPr>
                <w:sz w:val="18"/>
              </w:rPr>
            </w:pPr>
            <w:r w:rsidRPr="00EA4C3D">
              <w:rPr>
                <w:b/>
                <w:bCs/>
                <w:sz w:val="18"/>
              </w:rPr>
              <w:t>Test type</w:t>
            </w:r>
          </w:p>
        </w:tc>
        <w:tc>
          <w:tcPr>
            <w:tcW w:w="851" w:type="dxa"/>
          </w:tcPr>
          <w:p w:rsidR="001301C0" w:rsidRPr="00EA4C3D" w:rsidRDefault="001301C0" w:rsidP="00450213">
            <w:pPr>
              <w:numPr>
                <w:ilvl w:val="12"/>
                <w:numId w:val="0"/>
              </w:numPr>
              <w:spacing w:before="20" w:after="20"/>
              <w:jc w:val="center"/>
              <w:rPr>
                <w:sz w:val="18"/>
              </w:rPr>
            </w:pPr>
            <w:r w:rsidRPr="00EA4C3D">
              <w:rPr>
                <w:b/>
                <w:bCs/>
                <w:sz w:val="18"/>
              </w:rPr>
              <w:t>Test code</w:t>
            </w:r>
          </w:p>
        </w:tc>
        <w:tc>
          <w:tcPr>
            <w:tcW w:w="3827" w:type="dxa"/>
          </w:tcPr>
          <w:p w:rsidR="001301C0" w:rsidRPr="00EA4C3D" w:rsidRDefault="001301C0" w:rsidP="00450213">
            <w:pPr>
              <w:numPr>
                <w:ilvl w:val="12"/>
                <w:numId w:val="0"/>
              </w:numPr>
              <w:spacing w:before="20" w:after="20"/>
              <w:jc w:val="both"/>
              <w:rPr>
                <w:sz w:val="18"/>
              </w:rPr>
            </w:pPr>
            <w:r w:rsidRPr="00EA4C3D">
              <w:rPr>
                <w:b/>
                <w:bCs/>
                <w:sz w:val="18"/>
              </w:rPr>
              <w:t>Test name</w:t>
            </w:r>
          </w:p>
        </w:tc>
      </w:tr>
      <w:tr w:rsidR="001301C0" w:rsidRPr="00EA4C3D" w:rsidTr="00BD6F08">
        <w:trPr>
          <w:tblHeader/>
          <w:jc w:val="center"/>
        </w:trPr>
        <w:tc>
          <w:tcPr>
            <w:tcW w:w="851" w:type="dxa"/>
          </w:tcPr>
          <w:p w:rsidR="001301C0" w:rsidRPr="00EA4C3D" w:rsidRDefault="001301C0" w:rsidP="00450213">
            <w:pPr>
              <w:numPr>
                <w:ilvl w:val="12"/>
                <w:numId w:val="0"/>
              </w:numPr>
              <w:spacing w:before="20" w:after="20"/>
              <w:jc w:val="center"/>
              <w:rPr>
                <w:bCs/>
                <w:sz w:val="18"/>
                <w:szCs w:val="18"/>
              </w:rPr>
            </w:pPr>
            <w:r w:rsidRPr="00EA4C3D">
              <w:rPr>
                <w:bCs/>
                <w:sz w:val="18"/>
                <w:szCs w:val="18"/>
              </w:rPr>
              <w:t>7</w:t>
            </w:r>
          </w:p>
        </w:tc>
        <w:tc>
          <w:tcPr>
            <w:tcW w:w="850" w:type="dxa"/>
          </w:tcPr>
          <w:p w:rsidR="001301C0" w:rsidRPr="00EA4C3D" w:rsidRDefault="001301C0" w:rsidP="00450213">
            <w:pPr>
              <w:numPr>
                <w:ilvl w:val="12"/>
                <w:numId w:val="0"/>
              </w:numPr>
              <w:spacing w:before="20" w:after="20"/>
              <w:jc w:val="center"/>
              <w:rPr>
                <w:bCs/>
                <w:sz w:val="18"/>
                <w:szCs w:val="18"/>
              </w:rPr>
            </w:pPr>
            <w:r w:rsidRPr="00EA4C3D">
              <w:rPr>
                <w:bCs/>
                <w:sz w:val="18"/>
                <w:szCs w:val="18"/>
              </w:rPr>
              <w:t>(l)</w:t>
            </w:r>
          </w:p>
        </w:tc>
        <w:tc>
          <w:tcPr>
            <w:tcW w:w="851" w:type="dxa"/>
          </w:tcPr>
          <w:p w:rsidR="001301C0" w:rsidRPr="00EA4C3D" w:rsidRDefault="001301C0" w:rsidP="00450213">
            <w:pPr>
              <w:numPr>
                <w:ilvl w:val="12"/>
                <w:numId w:val="0"/>
              </w:numPr>
              <w:spacing w:before="20" w:after="20"/>
              <w:jc w:val="center"/>
              <w:rPr>
                <w:bCs/>
                <w:sz w:val="18"/>
                <w:szCs w:val="18"/>
              </w:rPr>
            </w:pPr>
            <w:r w:rsidRPr="00EA4C3D">
              <w:rPr>
                <w:bCs/>
                <w:sz w:val="18"/>
                <w:szCs w:val="18"/>
              </w:rPr>
              <w:t>7 (l)</w:t>
            </w:r>
          </w:p>
        </w:tc>
        <w:tc>
          <w:tcPr>
            <w:tcW w:w="3827" w:type="dxa"/>
          </w:tcPr>
          <w:p w:rsidR="001301C0" w:rsidRPr="00EA4C3D" w:rsidRDefault="001301C0" w:rsidP="00450213">
            <w:pPr>
              <w:numPr>
                <w:ilvl w:val="12"/>
                <w:numId w:val="0"/>
              </w:numPr>
              <w:spacing w:before="20" w:after="20"/>
              <w:jc w:val="both"/>
              <w:rPr>
                <w:bCs/>
                <w:sz w:val="18"/>
                <w:szCs w:val="18"/>
              </w:rPr>
            </w:pPr>
            <w:r w:rsidRPr="00EA4C3D">
              <w:rPr>
                <w:sz w:val="18"/>
                <w:szCs w:val="18"/>
              </w:rPr>
              <w:t>1.6 article (or component) fragment impact tests</w:t>
            </w:r>
          </w:p>
        </w:tc>
      </w:tr>
    </w:tbl>
    <w:p w:rsidR="001301C0" w:rsidRPr="00F97CD2" w:rsidRDefault="001301C0" w:rsidP="004631AC">
      <w:pPr>
        <w:pStyle w:val="SingleTxtG"/>
        <w:spacing w:before="240"/>
      </w:pPr>
      <w:r w:rsidRPr="00F97CD2">
        <w:t>Amend the end of note “a” under the table to read as follows: “… suitability for containment in portable tanks as an oxidizing substance.”.</w:t>
      </w:r>
    </w:p>
    <w:p w:rsidR="001301C0" w:rsidRPr="00F97CD2" w:rsidRDefault="001301C0" w:rsidP="004631AC">
      <w:pPr>
        <w:pStyle w:val="SingleTxtG"/>
      </w:pPr>
      <w:r w:rsidRPr="00F97CD2">
        <w:tab/>
        <w:t>Current Table 1.3 becomes new Table 1.4, with the following change: Amend the title to read “RECOMMENDED TESTS IN PART II”.</w:t>
      </w:r>
    </w:p>
    <w:p w:rsidR="001301C0" w:rsidRPr="00412D01" w:rsidRDefault="001301C0" w:rsidP="004631AC">
      <w:pPr>
        <w:pStyle w:val="SingleTxtG"/>
      </w:pPr>
      <w:r w:rsidRPr="00412D01">
        <w:t>1.7.1</w:t>
      </w:r>
      <w:r w:rsidRPr="00412D01">
        <w:tab/>
        <w:t>Amend the beginning of the first sentence to read: “Classifications for inclusion in the list of dangerous goods for transport in…”.</w:t>
      </w:r>
    </w:p>
    <w:p w:rsidR="001301C0" w:rsidRPr="00412D01" w:rsidRDefault="001301C0" w:rsidP="004631AC">
      <w:pPr>
        <w:pStyle w:val="SingleTxtG"/>
      </w:pPr>
      <w:r w:rsidRPr="00412D01">
        <w:tab/>
        <w:t>In the list under the introductory paragraph, replace “Substances and articles of Class 1” with “Explosive substances and articles” and delete “of Division 4.1” and “of Division 5.2”.</w:t>
      </w:r>
    </w:p>
    <w:p w:rsidR="009C10AD" w:rsidRDefault="001301C0" w:rsidP="009C10AD">
      <w:pPr>
        <w:pStyle w:val="SingleTxtG"/>
      </w:pPr>
      <w:r>
        <w:rPr>
          <w:i/>
          <w:iCs/>
        </w:rPr>
        <w:t xml:space="preserve">(Reference document: </w:t>
      </w:r>
      <w:r w:rsidR="00A413DC" w:rsidRPr="00020245">
        <w:rPr>
          <w:i/>
          <w:iCs/>
        </w:rPr>
        <w:t>ST/SG/AC.10/C.3/</w:t>
      </w:r>
      <w:r w:rsidR="00A413DC">
        <w:rPr>
          <w:i/>
          <w:iCs/>
        </w:rPr>
        <w:t>106/Add.1</w:t>
      </w:r>
      <w:r>
        <w:rPr>
          <w:i/>
          <w:iCs/>
        </w:rPr>
        <w:t>)</w:t>
      </w:r>
      <w:r w:rsidR="00216E16">
        <w:tab/>
      </w:r>
      <w:r w:rsidR="00216E16">
        <w:tab/>
      </w:r>
    </w:p>
    <w:p w:rsidR="009C10AD" w:rsidRDefault="009C10AD" w:rsidP="009C10AD">
      <w:pPr>
        <w:pStyle w:val="H1G"/>
        <w:keepNext w:val="0"/>
        <w:keepLines w:val="0"/>
        <w:ind w:left="1138" w:right="1138" w:hanging="1138"/>
      </w:pPr>
      <w:r>
        <w:tab/>
      </w:r>
      <w:r>
        <w:tab/>
      </w:r>
    </w:p>
    <w:p w:rsidR="00216E16" w:rsidRDefault="009C10AD" w:rsidP="009C10AD">
      <w:pPr>
        <w:pStyle w:val="H1G"/>
        <w:keepNext w:val="0"/>
        <w:keepLines w:val="0"/>
        <w:ind w:left="1138" w:right="1138" w:hanging="1138"/>
      </w:pPr>
      <w:r>
        <w:lastRenderedPageBreak/>
        <w:tab/>
      </w:r>
      <w:r>
        <w:tab/>
      </w:r>
      <w:r w:rsidR="00216E16" w:rsidRPr="00D24888">
        <w:t>Part I</w:t>
      </w:r>
    </w:p>
    <w:p w:rsidR="00216E16" w:rsidRDefault="00216E16" w:rsidP="00216E16">
      <w:pPr>
        <w:pStyle w:val="SingleTxtG"/>
        <w:tabs>
          <w:tab w:val="left" w:pos="2835"/>
        </w:tabs>
        <w:ind w:left="1985" w:hanging="851"/>
      </w:pPr>
      <w:r w:rsidRPr="00D24888">
        <w:t xml:space="preserve">Part </w:t>
      </w:r>
      <w:r>
        <w:t xml:space="preserve">I </w:t>
      </w:r>
      <w:r>
        <w:tab/>
      </w:r>
      <w:r>
        <w:tab/>
      </w:r>
      <w:r>
        <w:tab/>
        <w:t>In the title, delete “OF CLASS 1”.</w:t>
      </w:r>
    </w:p>
    <w:p w:rsidR="00216E16" w:rsidRPr="00216E16" w:rsidRDefault="00216E16" w:rsidP="001334AD">
      <w:pPr>
        <w:pStyle w:val="SingleTxtG"/>
        <w:spacing w:after="0"/>
        <w:ind w:left="2829" w:hanging="1695"/>
      </w:pPr>
      <w:r w:rsidRPr="00216E16">
        <w:t>Table of contents</w:t>
      </w:r>
      <w:r w:rsidRPr="00216E16">
        <w:tab/>
        <w:t>In the title of section 10.4, replace “OF CLASS 1” with “OF THE CLASS OF EXPLOSIVES”.</w:t>
      </w:r>
    </w:p>
    <w:p w:rsidR="00216E16" w:rsidRPr="00D24888" w:rsidRDefault="00216E16" w:rsidP="00216E16">
      <w:pPr>
        <w:pStyle w:val="H1G"/>
      </w:pPr>
      <w:r>
        <w:tab/>
      </w:r>
      <w:r>
        <w:tab/>
      </w:r>
      <w:r w:rsidRPr="00D24888">
        <w:t>Section 10</w:t>
      </w:r>
    </w:p>
    <w:p w:rsidR="00216E16" w:rsidRPr="00216E16" w:rsidRDefault="00216E16" w:rsidP="004631AC">
      <w:pPr>
        <w:pStyle w:val="SingleTxtG"/>
      </w:pPr>
      <w:r w:rsidRPr="00216E16">
        <w:t>10.1.1</w:t>
      </w:r>
      <w:r w:rsidRPr="00216E16">
        <w:tab/>
      </w:r>
      <w:r>
        <w:tab/>
      </w:r>
      <w:r w:rsidRPr="00216E16">
        <w:t>In the second sentence, after “the most useful for providing” delete “competent authorities with” and delete “for transport” at the end.</w:t>
      </w:r>
    </w:p>
    <w:p w:rsidR="00216E16" w:rsidRDefault="00216E16" w:rsidP="00216E16">
      <w:pPr>
        <w:pStyle w:val="SingleTxtG"/>
        <w:ind w:left="2268" w:hanging="1134"/>
      </w:pPr>
      <w:r w:rsidRPr="00D24888">
        <w:t>10.1.2</w:t>
      </w:r>
      <w:r w:rsidRPr="00D24888">
        <w:tab/>
      </w:r>
      <w:r>
        <w:t>Amend to read as follows:</w:t>
      </w:r>
    </w:p>
    <w:p w:rsidR="00216E16" w:rsidRPr="00216E16" w:rsidRDefault="00216E16" w:rsidP="004631AC">
      <w:pPr>
        <w:pStyle w:val="SingleTxtG"/>
      </w:pPr>
      <w:r>
        <w:tab/>
      </w:r>
      <w:r w:rsidRPr="00216E16">
        <w:t xml:space="preserve">“The GHS class of explosives covers all sectors. Class 1 is a subset of this class and comprises explosives as presented for transport. The class of explosives also includes unstable explosives which are those explosives which are forbidden for transport. Goods of class 1 are assigned to one of the six divisions, depending on the type of hazard they present (see Chapter 2.1, paragraph 2.1.1.4 of the Model Regulations and Chapter 2.1, paragraph 2.1.2 of the GHS), and, for some regulatory purposes (e.g. transport), to one of the thirteen compatibility groups that identify the kinds of explosives that are deemed to be compatible. The general scheme for classifying a substance or article which is to be considered for inclusion in the class of explosives is illustrated in Figure 10.1. The assessment is in two stages. In the first stage, the potential of a substance or article to explode is ascertained and its chemical and physical stability and sensitivity are also determined. In order to promote uniform assessments by </w:t>
      </w:r>
      <w:r w:rsidR="001334AD">
        <w:t>classifiers</w:t>
      </w:r>
      <w:r w:rsidRPr="00216E16">
        <w:t>, it is recommended that, using the flow chart in Figure 10.2, data from suitable tests is analysed systematically with respect to the appropriate test criteria. If the substance or article is provisionally accepted into the class of explosives, it is then necessary to proceed to the second stage and assign it to the correct division by use of the flow charts of in figures 10.3 and 10.5. With the exception of compatibility groups N and S, for which test data is necessary, assignment to a compatibility group, when appropriate, is usually made without reference to testing. In the case of compatibility group S, the tests may be waived (where appropriate by the competent authority) if classification by analogy is based on test results for a comparable article.”.</w:t>
      </w:r>
    </w:p>
    <w:p w:rsidR="00216E16" w:rsidRDefault="00216E16" w:rsidP="00216E16">
      <w:pPr>
        <w:pStyle w:val="SingleTxtG"/>
        <w:ind w:left="2268" w:hanging="1134"/>
      </w:pPr>
      <w:r>
        <w:t>10.1.3</w:t>
      </w:r>
      <w:r>
        <w:tab/>
        <w:t>Current paragraph 10.1.3 becomes new paragraph 10.1.4.</w:t>
      </w:r>
    </w:p>
    <w:p w:rsidR="00216E16" w:rsidRDefault="00216E16" w:rsidP="004631AC">
      <w:pPr>
        <w:pStyle w:val="SingleTxtG"/>
      </w:pPr>
      <w:r>
        <w:t>Insert the following new paragraph 10.1.3:</w:t>
      </w:r>
    </w:p>
    <w:p w:rsidR="00216E16" w:rsidRPr="00216E16" w:rsidRDefault="00216E16" w:rsidP="004631AC">
      <w:pPr>
        <w:pStyle w:val="SingleTxtG"/>
      </w:pPr>
      <w:r w:rsidRPr="00216E16">
        <w:t>“10.1.3</w:t>
      </w:r>
      <w:r w:rsidRPr="00216E16">
        <w:tab/>
        <w:t>Test Series 4 and 6 are performed as presented for transport. Explosives are unique in that the type of packaging and environment frequently have a decisive effect on the hazard and therefore on the assignment to a particular division (see Chapter 2.1 of the Model Regulations, introductory note 4).  Additional considerations may therefore be necessary when transport classifications are used for other sectors.”.</w:t>
      </w:r>
    </w:p>
    <w:p w:rsidR="00216E16" w:rsidRPr="00216E16" w:rsidRDefault="00216E16" w:rsidP="004631AC">
      <w:pPr>
        <w:pStyle w:val="SingleTxtG"/>
      </w:pPr>
      <w:r w:rsidRPr="00216E16">
        <w:t>10.1.4 (new, former 10.1.3)</w:t>
      </w:r>
      <w:r w:rsidRPr="00216E16">
        <w:tab/>
        <w:t>Amend the end of the first sentence and the beginning of the second sentence to read as follows: “so that an appropriate classification can be assigned. When appropriate this is done by the competent authority.”.</w:t>
      </w:r>
    </w:p>
    <w:p w:rsidR="00216E16" w:rsidRPr="00216E16" w:rsidRDefault="00216E16" w:rsidP="004631AC">
      <w:pPr>
        <w:pStyle w:val="SingleTxtG"/>
      </w:pPr>
      <w:r w:rsidRPr="00216E16">
        <w:t>10.2.1</w:t>
      </w:r>
      <w:r w:rsidRPr="00216E16">
        <w:tab/>
      </w:r>
      <w:r>
        <w:tab/>
      </w:r>
      <w:r w:rsidRPr="00216E16">
        <w:t>At the end of the first sentence, replace “Class 1” with “the class of explosives”. In the second sentence delete “of Division 4.1” and “of Division 5.2”. In the third sentence, insert “when appropriate” before “in the opinion”.</w:t>
      </w:r>
    </w:p>
    <w:p w:rsidR="00216E16" w:rsidRPr="00216E16" w:rsidRDefault="00216E16" w:rsidP="004631AC">
      <w:pPr>
        <w:pStyle w:val="SingleTxtG"/>
      </w:pPr>
      <w:r w:rsidRPr="00216E16">
        <w:t>In (a)</w:t>
      </w:r>
      <w:r>
        <w:tab/>
      </w:r>
      <w:r>
        <w:tab/>
      </w:r>
      <w:r w:rsidRPr="00216E16">
        <w:t>Delete “or a combination or mixture of substances”. Replace “combinations or mixtures” with “substances”.</w:t>
      </w:r>
    </w:p>
    <w:p w:rsidR="00216E16" w:rsidRPr="00216E16" w:rsidRDefault="00216E16" w:rsidP="004631AC">
      <w:pPr>
        <w:pStyle w:val="SingleTxtG"/>
      </w:pPr>
      <w:r w:rsidRPr="00216E16">
        <w:t>In (b)</w:t>
      </w:r>
      <w:r>
        <w:tab/>
      </w:r>
      <w:r w:rsidRPr="00216E16">
        <w:t xml:space="preserve"> </w:t>
      </w:r>
      <w:r w:rsidRPr="00216E16">
        <w:tab/>
        <w:t>Delete “(see paragraph 2.1.1.5 of the Model Regulations)”.</w:t>
      </w:r>
    </w:p>
    <w:p w:rsidR="00216E16" w:rsidRPr="00216E16" w:rsidRDefault="00216E16" w:rsidP="004631AC">
      <w:pPr>
        <w:pStyle w:val="SingleTxtG"/>
      </w:pPr>
      <w:r w:rsidRPr="00216E16">
        <w:lastRenderedPageBreak/>
        <w:t>In (c)</w:t>
      </w:r>
      <w:r>
        <w:tab/>
      </w:r>
      <w:r w:rsidRPr="00216E16">
        <w:t xml:space="preserve"> </w:t>
      </w:r>
      <w:r w:rsidRPr="00216E16">
        <w:tab/>
        <w:t xml:space="preserve">Delete “or a new combination or mixture of explosive substances”. </w:t>
      </w:r>
    </w:p>
    <w:p w:rsidR="00216E16" w:rsidRPr="00216E16" w:rsidRDefault="00216E16" w:rsidP="004631AC">
      <w:pPr>
        <w:pStyle w:val="SingleTxtG"/>
      </w:pPr>
      <w:r w:rsidRPr="00216E16">
        <w:t>In (d)</w:t>
      </w:r>
      <w:r>
        <w:tab/>
      </w:r>
      <w:r w:rsidRPr="00216E16">
        <w:t xml:space="preserve"> </w:t>
      </w:r>
      <w:r w:rsidRPr="00216E16">
        <w:tab/>
        <w:t>Replace “risk” with “hazard” (twice).</w:t>
      </w:r>
    </w:p>
    <w:p w:rsidR="00216E16" w:rsidRPr="00216E16" w:rsidRDefault="00216E16" w:rsidP="004631AC">
      <w:pPr>
        <w:pStyle w:val="SingleTxtG"/>
      </w:pPr>
      <w:r w:rsidRPr="00216E16">
        <w:t xml:space="preserve">Delete the last sentence following sub-paragraphs (a) to (d) (“The classification…for transport”). </w:t>
      </w:r>
    </w:p>
    <w:p w:rsidR="00216E16" w:rsidRPr="00D77E07" w:rsidRDefault="00216E16" w:rsidP="00216E16">
      <w:pPr>
        <w:pStyle w:val="SingleTxtG"/>
      </w:pPr>
      <w:r w:rsidRPr="00D77E07">
        <w:t>10.2.2</w:t>
      </w:r>
      <w:r w:rsidRPr="00D77E07">
        <w:tab/>
      </w:r>
      <w:r w:rsidRPr="00D77E07">
        <w:tab/>
        <w:t>Amend to read as follows:</w:t>
      </w:r>
    </w:p>
    <w:p w:rsidR="00216E16" w:rsidRDefault="00216E16" w:rsidP="00216E16">
      <w:pPr>
        <w:pStyle w:val="SingleTxtG"/>
      </w:pPr>
      <w:r w:rsidRPr="00E13319">
        <w:t>“</w:t>
      </w:r>
      <w:r>
        <w:t>10.2.2</w:t>
      </w:r>
      <w:r>
        <w:tab/>
      </w:r>
      <w:r w:rsidR="001334AD" w:rsidRPr="00E13319">
        <w:t xml:space="preserve">The </w:t>
      </w:r>
      <w:r w:rsidR="001334AD">
        <w:t>classifier</w:t>
      </w:r>
      <w:r w:rsidR="001334AD" w:rsidRPr="00E13319">
        <w:t xml:space="preserve"> of a new product should document adequate information concerning the names and characteristics of all explosive substances in the product and all relevant tests which have been done. This information should be furnished to the </w:t>
      </w:r>
      <w:r w:rsidR="001334AD">
        <w:t>competent authorities</w:t>
      </w:r>
      <w:r w:rsidR="001334AD" w:rsidRPr="00E13319">
        <w:t>, if required.</w:t>
      </w:r>
      <w:r>
        <w:t>”.</w:t>
      </w:r>
    </w:p>
    <w:p w:rsidR="00216E16" w:rsidRPr="004631AC" w:rsidRDefault="00216E16" w:rsidP="004631AC">
      <w:pPr>
        <w:pStyle w:val="SingleTxtG"/>
        <w:rPr>
          <w:i/>
          <w:iCs/>
        </w:rPr>
      </w:pPr>
      <w:r w:rsidRPr="004631AC">
        <w:rPr>
          <w:i/>
          <w:iCs/>
        </w:rPr>
        <w:t xml:space="preserve"> (Reference document: </w:t>
      </w:r>
      <w:bookmarkStart w:id="15" w:name="_Hlk524590089"/>
      <w:r w:rsidR="00A413DC" w:rsidRPr="00020245">
        <w:rPr>
          <w:i/>
          <w:iCs/>
        </w:rPr>
        <w:t>ST/SG/AC.10/C.3/</w:t>
      </w:r>
      <w:r w:rsidR="00A413DC">
        <w:rPr>
          <w:i/>
          <w:iCs/>
        </w:rPr>
        <w:t>106/Add.1</w:t>
      </w:r>
      <w:bookmarkEnd w:id="15"/>
      <w:r w:rsidRPr="004631AC">
        <w:rPr>
          <w:i/>
          <w:iCs/>
        </w:rPr>
        <w:t>)</w:t>
      </w:r>
    </w:p>
    <w:p w:rsidR="00216E16" w:rsidRPr="00216E16" w:rsidRDefault="00216E16" w:rsidP="004631AC">
      <w:pPr>
        <w:pStyle w:val="SingleTxtG"/>
      </w:pPr>
      <w:r w:rsidRPr="00216E16">
        <w:t>10.3.1.1</w:t>
      </w:r>
      <w:r w:rsidRPr="00216E16">
        <w:tab/>
        <w:t>In the first sentence replace “Class 1” with “the class of explosives”. Replace “product” with “substance or article”.</w:t>
      </w:r>
    </w:p>
    <w:p w:rsidR="00216E16" w:rsidRPr="004A7228" w:rsidRDefault="00216E16" w:rsidP="004631AC">
      <w:pPr>
        <w:pStyle w:val="SingleTxtG"/>
      </w:pPr>
      <w:r>
        <w:tab/>
      </w:r>
      <w:r w:rsidRPr="004A7228">
        <w:t xml:space="preserve">Amend the second sentence to read as follows: “This is decided by determining whether a substance provisionally accepted into the class of explosives is either too insensitive for inclusion in this class or is accepted as an unstable explosive (and considered too dangerous for transport); or whether </w:t>
      </w:r>
      <w:r>
        <w:t xml:space="preserve">the </w:t>
      </w:r>
      <w:r w:rsidRPr="004A7228">
        <w:t>article or packaged article are accepted as an unstable explosive (and considered too dangerous for transport).”.</w:t>
      </w:r>
    </w:p>
    <w:p w:rsidR="00216E16" w:rsidRPr="00216E16" w:rsidRDefault="00216E16" w:rsidP="004631AC">
      <w:pPr>
        <w:pStyle w:val="SingleTxtG"/>
      </w:pPr>
      <w:r w:rsidRPr="00216E16">
        <w:t>10.3.2.1</w:t>
      </w:r>
      <w:r w:rsidRPr="00216E16">
        <w:tab/>
        <w:t xml:space="preserve">Replace “Class 1” with “the class of explosives”. Replace “four series, numbered 1 to 4,” by “four series (Test Series 1 to 4)”. </w:t>
      </w:r>
    </w:p>
    <w:p w:rsidR="00216E16" w:rsidRPr="00216E16" w:rsidRDefault="00216E16" w:rsidP="004631AC">
      <w:pPr>
        <w:pStyle w:val="SingleTxtG"/>
      </w:pPr>
      <w:r w:rsidRPr="00216E16">
        <w:t>10.3.2.2</w:t>
      </w:r>
      <w:r w:rsidRPr="00216E16">
        <w:tab/>
        <w:t>Amend the beginning of the sentence to read: “The question “Does it have explosive properties?” (box 5, Figure 10.2) is answered”.</w:t>
      </w:r>
    </w:p>
    <w:p w:rsidR="00216E16" w:rsidRDefault="00216E16" w:rsidP="004631AC">
      <w:pPr>
        <w:pStyle w:val="SingleTxtG"/>
      </w:pPr>
      <w:r w:rsidRPr="00216E16">
        <w:t>10.3.2.3</w:t>
      </w:r>
      <w:r w:rsidRPr="00216E16">
        <w:tab/>
        <w:t>Amend the first sentence to read as follows: “Series 2 tests are used to answer the question "Is it too insensitive for acceptance into this class?" (box </w:t>
      </w:r>
      <w:r w:rsidRPr="004631AC">
        <w:t>7</w:t>
      </w:r>
      <w:r w:rsidRPr="00216E16">
        <w:t>, Figure 10.2).”.</w:t>
      </w:r>
    </w:p>
    <w:p w:rsidR="00A413DC" w:rsidRDefault="00A413DC" w:rsidP="00BC207D">
      <w:pPr>
        <w:pStyle w:val="SingleTxtG"/>
        <w:ind w:left="2268" w:hanging="1134"/>
      </w:pPr>
    </w:p>
    <w:p w:rsidR="00A413DC" w:rsidRDefault="00A413DC" w:rsidP="00BC207D">
      <w:pPr>
        <w:pStyle w:val="SingleTxtG"/>
        <w:ind w:left="2268" w:hanging="1134"/>
      </w:pPr>
    </w:p>
    <w:p w:rsidR="00A413DC" w:rsidRDefault="00A413DC" w:rsidP="00BC207D">
      <w:pPr>
        <w:pStyle w:val="SingleTxtG"/>
        <w:ind w:left="2268" w:hanging="1134"/>
      </w:pPr>
    </w:p>
    <w:p w:rsidR="00A413DC" w:rsidRDefault="00A413DC" w:rsidP="00BC207D">
      <w:pPr>
        <w:pStyle w:val="SingleTxtG"/>
        <w:ind w:left="2268" w:hanging="1134"/>
      </w:pPr>
    </w:p>
    <w:p w:rsidR="00A413DC" w:rsidRDefault="00A413DC" w:rsidP="00BC207D">
      <w:pPr>
        <w:pStyle w:val="SingleTxtG"/>
        <w:ind w:left="2268" w:hanging="1134"/>
      </w:pPr>
    </w:p>
    <w:p w:rsidR="00A413DC" w:rsidRDefault="00A413DC" w:rsidP="00BC207D">
      <w:pPr>
        <w:pStyle w:val="SingleTxtG"/>
        <w:ind w:left="2268" w:hanging="1134"/>
      </w:pPr>
    </w:p>
    <w:p w:rsidR="00A413DC" w:rsidRDefault="00A413DC" w:rsidP="00BC207D">
      <w:pPr>
        <w:pStyle w:val="SingleTxtG"/>
        <w:ind w:left="2268" w:hanging="1134"/>
      </w:pPr>
    </w:p>
    <w:p w:rsidR="00A413DC" w:rsidRDefault="00A413DC" w:rsidP="00BC207D">
      <w:pPr>
        <w:pStyle w:val="SingleTxtG"/>
        <w:ind w:left="2268" w:hanging="1134"/>
      </w:pPr>
    </w:p>
    <w:p w:rsidR="00A413DC" w:rsidRDefault="00A413DC" w:rsidP="00BC207D">
      <w:pPr>
        <w:pStyle w:val="SingleTxtG"/>
        <w:ind w:left="2268" w:hanging="1134"/>
      </w:pPr>
    </w:p>
    <w:p w:rsidR="00A413DC" w:rsidRDefault="00A413DC" w:rsidP="00BC207D">
      <w:pPr>
        <w:pStyle w:val="SingleTxtG"/>
        <w:ind w:left="2268" w:hanging="1134"/>
      </w:pPr>
    </w:p>
    <w:p w:rsidR="00A413DC" w:rsidRDefault="00A413DC" w:rsidP="00BC207D">
      <w:pPr>
        <w:pStyle w:val="SingleTxtG"/>
        <w:ind w:left="2268" w:hanging="1134"/>
      </w:pPr>
    </w:p>
    <w:p w:rsidR="00A413DC" w:rsidRDefault="00A413DC" w:rsidP="00BC207D">
      <w:pPr>
        <w:pStyle w:val="SingleTxtG"/>
        <w:ind w:left="2268" w:hanging="1134"/>
      </w:pPr>
    </w:p>
    <w:p w:rsidR="009C10AD" w:rsidRDefault="009C10AD" w:rsidP="00BC207D">
      <w:pPr>
        <w:pStyle w:val="SingleTxtG"/>
        <w:ind w:left="2268" w:hanging="1134"/>
      </w:pPr>
    </w:p>
    <w:p w:rsidR="009C10AD" w:rsidRDefault="009C10AD" w:rsidP="00BC207D">
      <w:pPr>
        <w:pStyle w:val="SingleTxtG"/>
        <w:ind w:left="2268" w:hanging="1134"/>
      </w:pPr>
    </w:p>
    <w:p w:rsidR="009C10AD" w:rsidRDefault="009C10AD" w:rsidP="00BC207D">
      <w:pPr>
        <w:pStyle w:val="SingleTxtG"/>
        <w:ind w:left="2268" w:hanging="1134"/>
      </w:pPr>
    </w:p>
    <w:p w:rsidR="009C10AD" w:rsidRDefault="009C10AD" w:rsidP="00BC207D">
      <w:pPr>
        <w:pStyle w:val="SingleTxtG"/>
        <w:ind w:left="2268" w:hanging="1134"/>
      </w:pPr>
    </w:p>
    <w:p w:rsidR="009C10AD" w:rsidRDefault="009C10AD" w:rsidP="00BC207D">
      <w:pPr>
        <w:pStyle w:val="SingleTxtG"/>
        <w:ind w:left="2268" w:hanging="1134"/>
      </w:pPr>
    </w:p>
    <w:p w:rsidR="00950C40" w:rsidRDefault="00BC207D" w:rsidP="00E26FF8">
      <w:pPr>
        <w:pStyle w:val="SingleTxtG"/>
        <w:ind w:left="2268" w:hanging="1134"/>
        <w:jc w:val="left"/>
      </w:pPr>
      <w:r w:rsidRPr="00D24888">
        <w:lastRenderedPageBreak/>
        <w:t>Figure 10.1</w:t>
      </w:r>
      <w:r w:rsidRPr="00D24888">
        <w:tab/>
      </w:r>
      <w:r>
        <w:t>Repl</w:t>
      </w:r>
      <w:r w:rsidR="00E26FF8">
        <w:t xml:space="preserve">ace the figure and its heading </w:t>
      </w:r>
      <w:r>
        <w:t>ith the following:</w:t>
      </w:r>
    </w:p>
    <w:p w:rsidR="00BC207D" w:rsidRPr="00950C40" w:rsidRDefault="00BC207D" w:rsidP="00950C40">
      <w:pPr>
        <w:pStyle w:val="SingleTxtG"/>
        <w:jc w:val="center"/>
        <w:rPr>
          <w:b/>
          <w:bCs/>
        </w:rPr>
      </w:pPr>
      <w:r w:rsidRPr="00950C40">
        <w:rPr>
          <w:b/>
          <w:bCs/>
        </w:rPr>
        <w:t>“Figure 10.1:</w:t>
      </w:r>
      <w:r w:rsidRPr="00950C40">
        <w:rPr>
          <w:b/>
          <w:bCs/>
        </w:rPr>
        <w:tab/>
        <w:t>OVERALL SCHEME OF THE PROCEDURE FOR CLASSIFYING A SUBSTANCE OR ARTICLE IN THE CLASS OF EXPLOSIVES</w:t>
      </w:r>
    </w:p>
    <w:p w:rsidR="00BC207D" w:rsidRDefault="00BC207D" w:rsidP="00BC207D">
      <w:pPr>
        <w:suppressAutoHyphens w:val="0"/>
        <w:spacing w:line="240" w:lineRule="auto"/>
      </w:pPr>
    </w:p>
    <w:p w:rsidR="00BC207D" w:rsidRDefault="00950C40" w:rsidP="00BC207D">
      <w:pPr>
        <w:pStyle w:val="SingleTxtG"/>
        <w:ind w:left="426"/>
        <w:jc w:val="right"/>
      </w:pPr>
      <w:r>
        <w:rPr>
          <w:sz w:val="22"/>
          <w:szCs w:val="22"/>
        </w:rPr>
        <w:object w:dxaOrig="9270" w:dyaOrig="8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9pt;height:367.5pt" o:ole="">
            <v:imagedata r:id="rId9" o:title=""/>
          </v:shape>
          <o:OLEObject Type="Embed" ProgID="Visio.Drawing.15" ShapeID="_x0000_i1025" DrawAspect="Content" ObjectID="_1598361708" r:id="rId10"/>
        </w:object>
      </w:r>
      <w:r w:rsidR="00BC207D" w:rsidRPr="00950C40">
        <w:rPr>
          <w:b/>
          <w:bCs/>
          <w:sz w:val="22"/>
          <w:szCs w:val="22"/>
        </w:rPr>
        <w:t>”</w:t>
      </w: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450213" w:rsidRPr="0099569F" w:rsidRDefault="00450213" w:rsidP="00450213">
      <w:pPr>
        <w:pStyle w:val="SingleTxtG"/>
        <w:ind w:left="2268" w:hanging="1134"/>
      </w:pPr>
      <w:r w:rsidRPr="0099569F">
        <w:lastRenderedPageBreak/>
        <w:t>Figure 10.2</w:t>
      </w:r>
      <w:r w:rsidRPr="0099569F">
        <w:tab/>
        <w:t xml:space="preserve">Replace </w:t>
      </w:r>
      <w:r>
        <w:t xml:space="preserve">current </w:t>
      </w:r>
      <w:r w:rsidRPr="0099569F">
        <w:t xml:space="preserve">figure </w:t>
      </w:r>
      <w:r>
        <w:t>10.2 and its heading with the following:</w:t>
      </w:r>
    </w:p>
    <w:p w:rsidR="00450213" w:rsidRPr="0099569F" w:rsidRDefault="00450213" w:rsidP="00450213">
      <w:pPr>
        <w:numPr>
          <w:ilvl w:val="12"/>
          <w:numId w:val="0"/>
        </w:numPr>
        <w:tabs>
          <w:tab w:val="left" w:pos="849"/>
          <w:tab w:val="left" w:pos="1473"/>
          <w:tab w:val="left" w:pos="1700"/>
          <w:tab w:val="left" w:pos="2266"/>
          <w:tab w:val="left" w:leader="dot" w:pos="8956"/>
          <w:tab w:val="center" w:pos="9410"/>
        </w:tabs>
        <w:ind w:left="1134"/>
        <w:jc w:val="both"/>
        <w:rPr>
          <w:b/>
          <w:bCs/>
          <w:szCs w:val="22"/>
        </w:rPr>
      </w:pPr>
      <w:r>
        <w:rPr>
          <w:b/>
          <w:bCs/>
          <w:szCs w:val="22"/>
        </w:rPr>
        <w:t>"</w:t>
      </w:r>
      <w:r w:rsidRPr="0099569F">
        <w:rPr>
          <w:b/>
          <w:bCs/>
          <w:szCs w:val="22"/>
        </w:rPr>
        <w:t>Figure 10.2:</w:t>
      </w:r>
      <w:r>
        <w:rPr>
          <w:b/>
          <w:bCs/>
          <w:szCs w:val="22"/>
        </w:rPr>
        <w:t xml:space="preserve"> </w:t>
      </w:r>
      <w:r w:rsidRPr="0099569F">
        <w:rPr>
          <w:b/>
          <w:bCs/>
          <w:szCs w:val="22"/>
        </w:rPr>
        <w:t>PROCEDURE FOR PROVISIONAL ACCEPTANCE OF A SUBSTANCE OR</w:t>
      </w:r>
    </w:p>
    <w:p w:rsidR="00450213" w:rsidRDefault="00450213" w:rsidP="00450213">
      <w:pPr>
        <w:pStyle w:val="SingleTxtG"/>
        <w:ind w:left="2268" w:hanging="1134"/>
        <w:jc w:val="center"/>
        <w:rPr>
          <w:b/>
          <w:bCs/>
          <w:szCs w:val="22"/>
        </w:rPr>
      </w:pPr>
      <w:r w:rsidRPr="0099569F">
        <w:rPr>
          <w:b/>
          <w:bCs/>
          <w:szCs w:val="22"/>
        </w:rPr>
        <w:t>ARTICLE IN THE CLASS OF EXPLOSIVES</w:t>
      </w:r>
    </w:p>
    <w:p w:rsidR="00BC207D" w:rsidRDefault="00450213" w:rsidP="004631AC">
      <w:pPr>
        <w:pStyle w:val="SingleTxtG"/>
        <w:rPr>
          <w:i/>
        </w:rPr>
      </w:pPr>
      <w:r>
        <w:object w:dxaOrig="8836" w:dyaOrig="11521">
          <v:shape id="_x0000_i1026" type="#_x0000_t75" style="width:427.8pt;height:560.55pt" o:ole="">
            <v:imagedata r:id="rId11" o:title=""/>
          </v:shape>
          <o:OLEObject Type="Embed" ProgID="Visio.Drawing.15" ShapeID="_x0000_i1026" DrawAspect="Content" ObjectID="_1598361709" r:id="rId12"/>
        </w:object>
      </w:r>
      <w:r w:rsidRPr="00DA57CC">
        <w:rPr>
          <w:i/>
        </w:rPr>
        <w:t>*</w:t>
      </w:r>
      <w:r w:rsidRPr="00DA57CC">
        <w:rPr>
          <w:i/>
        </w:rPr>
        <w:tab/>
        <w:t>For classification purposes start with test series 2”</w:t>
      </w:r>
    </w:p>
    <w:p w:rsidR="00450213" w:rsidRPr="00D24888" w:rsidRDefault="00450213" w:rsidP="00450213">
      <w:pPr>
        <w:pStyle w:val="SingleTxtG"/>
        <w:ind w:left="2268" w:hanging="1134"/>
      </w:pPr>
      <w:r w:rsidRPr="00D24888">
        <w:lastRenderedPageBreak/>
        <w:t>10.3.2.4</w:t>
      </w:r>
      <w:r w:rsidRPr="00D24888">
        <w:tab/>
      </w:r>
      <w:r>
        <w:t>Amend the first sentence to read: “</w:t>
      </w:r>
      <w:r w:rsidRPr="00E55C1E">
        <w:t>Test series 3 is used to answer the questions "Is it thermally stable?" (box 12, Figure 10.2) and "Is it unstable in the form it was tested?" (box 13, Figure 10.2).</w:t>
      </w:r>
      <w:r>
        <w:t>”</w:t>
      </w:r>
      <w:r w:rsidRPr="00D24888">
        <w:t>.</w:t>
      </w:r>
    </w:p>
    <w:p w:rsidR="00450213" w:rsidRDefault="00450213" w:rsidP="00450213">
      <w:pPr>
        <w:pStyle w:val="SingleTxtG"/>
        <w:ind w:left="2268" w:hanging="1134"/>
      </w:pPr>
      <w:r w:rsidRPr="00D24888">
        <w:t>10.3.2.5</w:t>
      </w:r>
      <w:r w:rsidRPr="00D24888">
        <w:tab/>
      </w:r>
      <w:r>
        <w:t>In the first sentence, replace</w:t>
      </w:r>
      <w:r w:rsidRPr="00D24888">
        <w:t xml:space="preserve"> “</w:t>
      </w:r>
      <w:r>
        <w:t xml:space="preserve">too dangerous </w:t>
      </w:r>
      <w:r w:rsidRPr="00D24888">
        <w:t xml:space="preserve">for transport” </w:t>
      </w:r>
      <w:r>
        <w:t>with “an unstable explosive”.</w:t>
      </w:r>
    </w:p>
    <w:p w:rsidR="00450213" w:rsidRDefault="00450213" w:rsidP="00450213">
      <w:pPr>
        <w:pStyle w:val="SingleTxtG"/>
        <w:ind w:left="2268" w:hanging="1134"/>
      </w:pPr>
      <w:r>
        <w:t>10.3.3.3</w:t>
      </w:r>
      <w:r>
        <w:tab/>
        <w:t>In the second sentence, insert “, where appropriate,” after “authority”. Amend the beginning of the last sentence to read: “If it is suspected (e.g. by the competent authority where appropriate), that the product…”.</w:t>
      </w:r>
    </w:p>
    <w:p w:rsidR="00450213" w:rsidRDefault="00450213" w:rsidP="00450213">
      <w:pPr>
        <w:pStyle w:val="SingleTxtG"/>
        <w:ind w:left="2268" w:hanging="1134"/>
      </w:pPr>
      <w:r>
        <w:t>10.3.3.4</w:t>
      </w:r>
      <w:r>
        <w:tab/>
        <w:t>Amend the paragraph to read as follows:</w:t>
      </w:r>
    </w:p>
    <w:p w:rsidR="00450213" w:rsidRPr="00D24888" w:rsidRDefault="00450213" w:rsidP="00450213">
      <w:pPr>
        <w:pStyle w:val="SingleTxtG"/>
        <w:ind w:left="2268" w:hanging="1134"/>
      </w:pPr>
      <w:r>
        <w:tab/>
        <w:t>“</w:t>
      </w:r>
      <w:r w:rsidRPr="005160F8">
        <w:t>10.3.3.4</w:t>
      </w:r>
      <w:r w:rsidRPr="005160F8">
        <w:tab/>
        <w:t xml:space="preserve"> Test series 1 indicates whether a substance has explosive properties. However, for a new substance not designed to have a practical explosive or pyrotechnic effect, it is more appropriate to start the testing procedure with test series 3.  Test Series 3 involves relatively small sample sizes, which reduces the risk to test personnel.  If the substance passes test series 3, as a practical matter the next step is the application of test series 2 which determines whether the substance is too insensitive for inclusion into the class of explosives. There is no real need to perform test series 1 at this point. Substances which fail test series 2 but pass test series 3 shall be subjected to the procedure for assignment to the appropriate division of explosives. It is important to note, however, that a substance which fails test series 2 may still be excluded from the class of explosives provided the substance is not designed to have a practical explosive or pyrotechnic effect, nor exhibits any hazardous effects in test series 6 of the assignment procedure as packaged.</w:t>
      </w:r>
      <w:r>
        <w:t>”</w:t>
      </w:r>
    </w:p>
    <w:p w:rsidR="00450213" w:rsidRDefault="00450213" w:rsidP="00450213">
      <w:pPr>
        <w:pStyle w:val="SingleTxtG"/>
        <w:ind w:left="2268" w:hanging="1134"/>
      </w:pPr>
      <w:r>
        <w:t>10.3.3.5</w:t>
      </w:r>
      <w:r>
        <w:tab/>
        <w:t xml:space="preserve">Insert “for testing purposes” after “control components,”. </w:t>
      </w:r>
    </w:p>
    <w:p w:rsidR="00450213" w:rsidRPr="00D24888" w:rsidRDefault="00450213" w:rsidP="00450213">
      <w:pPr>
        <w:pStyle w:val="SingleTxtG"/>
        <w:ind w:left="2268" w:hanging="1134"/>
      </w:pPr>
      <w:r w:rsidRPr="00D24888">
        <w:t>10.4</w:t>
      </w:r>
      <w:r w:rsidRPr="00D24888">
        <w:tab/>
      </w:r>
      <w:r>
        <w:t>In</w:t>
      </w:r>
      <w:r w:rsidRPr="00D24888">
        <w:t xml:space="preserve"> the title </w:t>
      </w:r>
      <w:r>
        <w:t>replace “Class 1” with “</w:t>
      </w:r>
      <w:r w:rsidRPr="00D24888">
        <w:t>the class of explosives”</w:t>
      </w:r>
      <w:r>
        <w:t>.</w:t>
      </w:r>
    </w:p>
    <w:p w:rsidR="00450213" w:rsidRPr="00D24888" w:rsidRDefault="00450213" w:rsidP="00450213">
      <w:pPr>
        <w:pStyle w:val="SingleTxtG"/>
        <w:ind w:left="2268" w:hanging="1134"/>
      </w:pPr>
      <w:r w:rsidRPr="00D24888">
        <w:t>10.4.1.1</w:t>
      </w:r>
      <w:r w:rsidRPr="00D24888">
        <w:tab/>
        <w:t xml:space="preserve">Amend the </w:t>
      </w:r>
      <w:r>
        <w:t xml:space="preserve">beginning and the end of the </w:t>
      </w:r>
      <w:r w:rsidRPr="00D24888">
        <w:t>first sentence to read as follows: “Unless classified as unstable, explosives are … Model Regulations and 2.1.2 of the GHS).”</w:t>
      </w:r>
    </w:p>
    <w:p w:rsidR="00450213" w:rsidRPr="00D24888" w:rsidRDefault="00450213" w:rsidP="00450213">
      <w:pPr>
        <w:pStyle w:val="SingleTxtG"/>
        <w:ind w:left="2268" w:hanging="1134"/>
      </w:pPr>
      <w:r w:rsidRPr="00D24888">
        <w:tab/>
      </w:r>
      <w:r>
        <w:t>In the s</w:t>
      </w:r>
      <w:r w:rsidRPr="00D24888">
        <w:t>econd sentence</w:t>
      </w:r>
      <w:r>
        <w:t>,</w:t>
      </w:r>
      <w:r w:rsidRPr="00D24888">
        <w:t xml:space="preserve"> </w:t>
      </w:r>
      <w:r>
        <w:t xml:space="preserve">replace the text between brackets with “(figures 10.3 and </w:t>
      </w:r>
      <w:r w:rsidRPr="00D24888">
        <w:t>10.5</w:t>
      </w:r>
      <w:r>
        <w:t>)</w:t>
      </w:r>
      <w:r w:rsidRPr="00D24888">
        <w:t>”</w:t>
      </w:r>
      <w:r>
        <w:t>,</w:t>
      </w:r>
      <w:r w:rsidRPr="00D24888">
        <w:t xml:space="preserve"> </w:t>
      </w:r>
      <w:r>
        <w:t>replace</w:t>
      </w:r>
      <w:r w:rsidRPr="00D24888">
        <w:t xml:space="preserve"> </w:t>
      </w:r>
      <w:r>
        <w:t xml:space="preserve">“and/or” with “and”, </w:t>
      </w:r>
      <w:r w:rsidRPr="00D24888">
        <w:t>and “Class 1” with “this class”.</w:t>
      </w:r>
    </w:p>
    <w:p w:rsidR="00450213" w:rsidRPr="00D24888" w:rsidRDefault="00450213" w:rsidP="00450213">
      <w:pPr>
        <w:pStyle w:val="SingleTxtG"/>
        <w:ind w:left="2268" w:hanging="1134"/>
      </w:pPr>
      <w:r w:rsidRPr="00D24888">
        <w:tab/>
        <w:t xml:space="preserve">Amend the </w:t>
      </w:r>
      <w:r>
        <w:t xml:space="preserve">beginning and the end of the third sentence </w:t>
      </w:r>
      <w:r w:rsidRPr="00D24888">
        <w:t xml:space="preserve">to </w:t>
      </w:r>
      <w:r>
        <w:t xml:space="preserve">read </w:t>
      </w:r>
      <w:r w:rsidRPr="00D24888">
        <w:t>as follows: “A substance or article is assigned to … to which it has been subjected.”.</w:t>
      </w:r>
    </w:p>
    <w:p w:rsidR="00450213" w:rsidRDefault="00450213" w:rsidP="00450213">
      <w:pPr>
        <w:pStyle w:val="SingleTxtG"/>
        <w:ind w:left="2268" w:hanging="1134"/>
      </w:pPr>
      <w:r w:rsidRPr="00D24888">
        <w:tab/>
        <w:t>Amend the last sentence to read</w:t>
      </w:r>
      <w:r>
        <w:t xml:space="preserve"> as follows</w:t>
      </w:r>
      <w:r w:rsidRPr="00D24888">
        <w:t xml:space="preserve">: </w:t>
      </w:r>
    </w:p>
    <w:p w:rsidR="00450213" w:rsidRPr="00D24888" w:rsidRDefault="00450213" w:rsidP="00450213">
      <w:pPr>
        <w:pStyle w:val="SingleTxtG"/>
        <w:ind w:left="2268" w:hanging="1134"/>
      </w:pPr>
      <w:r>
        <w:tab/>
      </w:r>
      <w:r w:rsidRPr="00E761B7">
        <w:t>“As indicated in box 39 of Figure 10.3, there is authority to exclude an article from the class of explosives by virtue of test results and the “explosives” definition (see paragraph 2.1.1.1 (b) of the Model</w:t>
      </w:r>
      <w:r w:rsidRPr="00D24888">
        <w:t xml:space="preserve"> Regulations and 2.1.1.2</w:t>
      </w:r>
      <w:r>
        <w:t> </w:t>
      </w:r>
      <w:r w:rsidRPr="00D24888">
        <w:t>(b) of the GHS).</w:t>
      </w:r>
      <w:r>
        <w:t xml:space="preserve"> Specific criteria by which articles may be excluded from the class of explosives may be found in the Model Regulations (see paragraph 2.1.3.6.4). </w:t>
      </w:r>
      <w:r w:rsidRPr="00D24888">
        <w:t>”</w:t>
      </w:r>
      <w:r>
        <w:t>.</w:t>
      </w:r>
    </w:p>
    <w:p w:rsidR="00450213" w:rsidRDefault="00450213" w:rsidP="00450213">
      <w:pPr>
        <w:pStyle w:val="SingleTxtG"/>
        <w:ind w:left="2268" w:hanging="1134"/>
      </w:pPr>
      <w:r w:rsidRPr="00375F43">
        <w:t>10.4.2.1</w:t>
      </w:r>
      <w:r w:rsidRPr="00375F43">
        <w:tab/>
        <w:t>In the first sentence replace the text between brackets to read “(Test Series 5 to 7)”. In the last sentence, replace “national authority” with “classifier”.</w:t>
      </w:r>
    </w:p>
    <w:p w:rsidR="00450213" w:rsidRPr="00D24888" w:rsidRDefault="00450213" w:rsidP="00450213">
      <w:pPr>
        <w:pStyle w:val="SingleTxtG"/>
        <w:ind w:left="2268" w:hanging="1134"/>
      </w:pPr>
      <w:r w:rsidRPr="00375F43">
        <w:t>10.4.2.2</w:t>
      </w:r>
      <w:r w:rsidRPr="00375F43">
        <w:tab/>
        <w:t>Replace “(box 21, Figure 10.3)” with “(box 28, Figure 10.3)”.</w:t>
      </w: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450213" w:rsidRPr="00E761B7" w:rsidRDefault="00450213" w:rsidP="00450213">
      <w:pPr>
        <w:pStyle w:val="SingleTxtG"/>
        <w:ind w:left="2268" w:hanging="1134"/>
      </w:pPr>
      <w:r w:rsidRPr="00E761B7">
        <w:lastRenderedPageBreak/>
        <w:t>Figure 10.3</w:t>
      </w:r>
      <w:r w:rsidRPr="00E761B7">
        <w:tab/>
        <w:t xml:space="preserve">Replace the figure and its heading with the following: </w:t>
      </w:r>
    </w:p>
    <w:p w:rsidR="00450213" w:rsidRPr="00115E7C" w:rsidRDefault="00450213" w:rsidP="00450213">
      <w:pPr>
        <w:pStyle w:val="SingleTxtG"/>
        <w:ind w:left="2268" w:hanging="1134"/>
        <w:rPr>
          <w:highlight w:val="yellow"/>
        </w:rPr>
      </w:pPr>
      <w:r w:rsidRPr="00115E7C">
        <w:rPr>
          <w:b/>
          <w:bCs/>
        </w:rPr>
        <w:t xml:space="preserve">“Figure 10.3: PROCEDURE FOR ASSIGNMENT TO A DIVISION OF THE CLASS OF EXPLOSIVES </w:t>
      </w:r>
    </w:p>
    <w:p w:rsidR="00450213" w:rsidRDefault="00450213" w:rsidP="004631AC">
      <w:pPr>
        <w:pStyle w:val="SingleTxtG"/>
      </w:pPr>
      <w:r>
        <w:object w:dxaOrig="10740" w:dyaOrig="14236">
          <v:shape id="_x0000_i1027" type="#_x0000_t75" style="width:438.1pt;height:582.1pt" o:ole="">
            <v:imagedata r:id="rId13" o:title=""/>
          </v:shape>
          <o:OLEObject Type="Embed" ProgID="Visio.Drawing.15" ShapeID="_x0000_i1027" DrawAspect="Content" ObjectID="_1598361710" r:id="rId14"/>
        </w:object>
      </w:r>
      <w:r>
        <w:t>”</w:t>
      </w:r>
    </w:p>
    <w:p w:rsidR="00450213" w:rsidRPr="00115E7C" w:rsidRDefault="00450213" w:rsidP="00450213">
      <w:pPr>
        <w:pStyle w:val="SingleTxtG"/>
        <w:ind w:left="2268" w:hanging="1134"/>
      </w:pPr>
      <w:r w:rsidRPr="00115E7C">
        <w:lastRenderedPageBreak/>
        <w:t>Figure 10.4</w:t>
      </w:r>
      <w:r w:rsidRPr="00115E7C">
        <w:tab/>
        <w:t>Replace current figure 10.4 with the following.</w:t>
      </w:r>
    </w:p>
    <w:p w:rsidR="009068A0" w:rsidRDefault="00450213" w:rsidP="009068A0">
      <w:pPr>
        <w:suppressAutoHyphens w:val="0"/>
        <w:spacing w:line="240" w:lineRule="auto"/>
        <w:jc w:val="center"/>
        <w:rPr>
          <w:b/>
          <w:bCs/>
          <w:szCs w:val="22"/>
          <w:lang w:eastAsia="fr-FR"/>
        </w:rPr>
      </w:pPr>
      <w:r>
        <w:rPr>
          <w:b/>
          <w:bCs/>
          <w:szCs w:val="22"/>
          <w:lang w:eastAsia="fr-FR"/>
        </w:rPr>
        <w:t>“</w:t>
      </w:r>
      <w:r w:rsidRPr="00485024">
        <w:rPr>
          <w:b/>
          <w:bCs/>
          <w:szCs w:val="22"/>
          <w:lang w:eastAsia="fr-FR"/>
        </w:rPr>
        <w:t>Figure 10.4:</w:t>
      </w:r>
      <w:r w:rsidRPr="00485024">
        <w:rPr>
          <w:b/>
          <w:bCs/>
          <w:szCs w:val="22"/>
          <w:lang w:eastAsia="fr-FR"/>
        </w:rPr>
        <w:tab/>
        <w:t xml:space="preserve">PROCEDURE FOR AMMONIUM NITRATE EMULSION, </w:t>
      </w:r>
    </w:p>
    <w:p w:rsidR="00450213" w:rsidRPr="00485024" w:rsidRDefault="00450213" w:rsidP="009068A0">
      <w:pPr>
        <w:suppressAutoHyphens w:val="0"/>
        <w:spacing w:line="240" w:lineRule="auto"/>
        <w:jc w:val="center"/>
        <w:rPr>
          <w:b/>
          <w:bCs/>
          <w:szCs w:val="22"/>
          <w:lang w:eastAsia="fr-FR"/>
        </w:rPr>
      </w:pPr>
      <w:r w:rsidRPr="00485024">
        <w:rPr>
          <w:b/>
          <w:bCs/>
          <w:szCs w:val="22"/>
          <w:lang w:eastAsia="fr-FR"/>
        </w:rPr>
        <w:t>SUSPENSION OR GEL, INTERMEDIATE FOR BLASTING EXPLOSIVES</w:t>
      </w:r>
    </w:p>
    <w:p w:rsidR="00450213" w:rsidRPr="00115E7C" w:rsidRDefault="00450213" w:rsidP="00450213">
      <w:pPr>
        <w:pStyle w:val="SingleTxtG"/>
        <w:ind w:left="2268" w:hanging="1134"/>
        <w:rPr>
          <w:highlight w:val="yellow"/>
        </w:rPr>
      </w:pPr>
    </w:p>
    <w:p w:rsidR="00450213" w:rsidRPr="00115E7C" w:rsidRDefault="00450213" w:rsidP="00450213">
      <w:pPr>
        <w:pStyle w:val="SingleTxtG"/>
        <w:ind w:left="2268" w:hanging="1134"/>
        <w:jc w:val="right"/>
        <w:rPr>
          <w:highlight w:val="yellow"/>
        </w:rPr>
      </w:pPr>
      <w:r w:rsidRPr="008E7948">
        <w:object w:dxaOrig="8385" w:dyaOrig="7770">
          <v:shape id="_x0000_i1028" type="#_x0000_t75" style="width:419.85pt;height:388.05pt" o:ole="">
            <v:imagedata r:id="rId15" o:title=""/>
          </v:shape>
          <o:OLEObject Type="Embed" ProgID="Visio.Drawing.15" ShapeID="_x0000_i1028" DrawAspect="Content" ObjectID="_1598361711" r:id="rId16"/>
        </w:object>
      </w:r>
      <w:r w:rsidRPr="00115E7C">
        <w:t>”</w:t>
      </w: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950C40" w:rsidRDefault="00950C40" w:rsidP="00450213">
      <w:pPr>
        <w:pStyle w:val="SingleTxtG"/>
        <w:ind w:left="2268" w:hanging="1134"/>
      </w:pPr>
    </w:p>
    <w:p w:rsidR="00450213" w:rsidRDefault="00450213" w:rsidP="00450213">
      <w:pPr>
        <w:pStyle w:val="SingleTxtG"/>
        <w:ind w:left="2268" w:hanging="1134"/>
      </w:pPr>
      <w:r>
        <w:lastRenderedPageBreak/>
        <w:t>Figure 10.5</w:t>
      </w:r>
      <w:r>
        <w:tab/>
        <w:t>Replace current figure with the following:</w:t>
      </w:r>
    </w:p>
    <w:p w:rsidR="00450213" w:rsidRPr="00216E16" w:rsidRDefault="00450213" w:rsidP="004631AC">
      <w:pPr>
        <w:pStyle w:val="SingleTxtG"/>
        <w:ind w:left="0"/>
      </w:pPr>
      <w:r w:rsidRPr="008E7948">
        <w:object w:dxaOrig="9781" w:dyaOrig="9450">
          <v:shape id="_x0000_i1029" type="#_x0000_t75" style="width:489.5pt;height:472.7pt" o:ole="">
            <v:imagedata r:id="rId17" o:title=""/>
          </v:shape>
          <o:OLEObject Type="Embed" ProgID="Visio.Drawing.15" ShapeID="_x0000_i1029" DrawAspect="Content" ObjectID="_1598361712" r:id="rId18"/>
        </w:object>
      </w:r>
    </w:p>
    <w:p w:rsidR="009068A0" w:rsidRDefault="009068A0" w:rsidP="00450213">
      <w:pPr>
        <w:pStyle w:val="SingleTxtG"/>
        <w:ind w:left="2268" w:hanging="1134"/>
      </w:pPr>
    </w:p>
    <w:p w:rsidR="009068A0" w:rsidRDefault="009068A0" w:rsidP="00450213">
      <w:pPr>
        <w:pStyle w:val="SingleTxtG"/>
        <w:ind w:left="2268" w:hanging="1134"/>
      </w:pPr>
    </w:p>
    <w:p w:rsidR="009068A0" w:rsidRDefault="009068A0" w:rsidP="00450213">
      <w:pPr>
        <w:pStyle w:val="SingleTxtG"/>
        <w:ind w:left="2268" w:hanging="1134"/>
      </w:pPr>
    </w:p>
    <w:p w:rsidR="009068A0" w:rsidRDefault="009068A0" w:rsidP="00450213">
      <w:pPr>
        <w:pStyle w:val="SingleTxtG"/>
        <w:ind w:left="2268" w:hanging="1134"/>
      </w:pPr>
    </w:p>
    <w:p w:rsidR="009068A0" w:rsidRDefault="009068A0" w:rsidP="00450213">
      <w:pPr>
        <w:pStyle w:val="SingleTxtG"/>
        <w:ind w:left="2268" w:hanging="1134"/>
      </w:pPr>
    </w:p>
    <w:p w:rsidR="009068A0" w:rsidRDefault="009068A0" w:rsidP="00450213">
      <w:pPr>
        <w:pStyle w:val="SingleTxtG"/>
        <w:ind w:left="2268" w:hanging="1134"/>
      </w:pPr>
    </w:p>
    <w:p w:rsidR="009068A0" w:rsidRDefault="009068A0" w:rsidP="00450213">
      <w:pPr>
        <w:pStyle w:val="SingleTxtG"/>
        <w:ind w:left="2268" w:hanging="1134"/>
      </w:pPr>
    </w:p>
    <w:p w:rsidR="009068A0" w:rsidRDefault="009068A0" w:rsidP="00450213">
      <w:pPr>
        <w:pStyle w:val="SingleTxtG"/>
        <w:ind w:left="2268" w:hanging="1134"/>
      </w:pPr>
    </w:p>
    <w:p w:rsidR="00450213" w:rsidRDefault="00450213" w:rsidP="00450213">
      <w:pPr>
        <w:pStyle w:val="SingleTxtG"/>
        <w:ind w:left="2268" w:hanging="1134"/>
      </w:pPr>
      <w:r w:rsidRPr="00684879">
        <w:lastRenderedPageBreak/>
        <w:t>10.4.2.3</w:t>
      </w:r>
      <w:r w:rsidRPr="00684879">
        <w:tab/>
        <w:t>In the first sentence</w:t>
      </w:r>
      <w:r>
        <w:t>:</w:t>
      </w:r>
    </w:p>
    <w:p w:rsidR="00450213" w:rsidRDefault="00450213" w:rsidP="00450213">
      <w:pPr>
        <w:pStyle w:val="SingleTxtG"/>
        <w:ind w:left="2552" w:hanging="284"/>
      </w:pPr>
      <w:r>
        <w:t xml:space="preserve">- </w:t>
      </w:r>
      <w:r>
        <w:tab/>
      </w:r>
      <w:r w:rsidRPr="00684879">
        <w:t>insert “, as appropriate,” after “series 6 tests”</w:t>
      </w:r>
    </w:p>
    <w:p w:rsidR="00450213" w:rsidRDefault="00450213" w:rsidP="00450213">
      <w:pPr>
        <w:pStyle w:val="SingleTxtG"/>
        <w:ind w:left="2552" w:hanging="284"/>
      </w:pPr>
      <w:r>
        <w:t xml:space="preserve">- </w:t>
      </w:r>
      <w:r>
        <w:tab/>
      </w:r>
      <w:r w:rsidRPr="00684879">
        <w:t>Replace “behaviour of a product if a load is involved” with “behaviour of the explosive if</w:t>
      </w:r>
      <w:r>
        <w:t xml:space="preserve"> </w:t>
      </w:r>
      <w:r w:rsidRPr="00684879">
        <w:t xml:space="preserve">it is involved”; and </w:t>
      </w:r>
    </w:p>
    <w:p w:rsidR="00450213" w:rsidRPr="00684879" w:rsidRDefault="00450213" w:rsidP="00450213">
      <w:pPr>
        <w:pStyle w:val="SingleTxtG"/>
        <w:ind w:left="2552" w:hanging="284"/>
      </w:pPr>
      <w:r>
        <w:t xml:space="preserve">- </w:t>
      </w:r>
      <w:r>
        <w:tab/>
      </w:r>
      <w:r w:rsidRPr="00684879">
        <w:t xml:space="preserve">amend </w:t>
      </w:r>
      <w:r>
        <w:t>the text</w:t>
      </w:r>
      <w:r w:rsidRPr="00684879">
        <w:t xml:space="preserve"> between parenthesis to read: “</w:t>
      </w:r>
      <w:r>
        <w:t xml:space="preserve">(boxes </w:t>
      </w:r>
      <w:r w:rsidRPr="00684879">
        <w:t>32, 33, 34, 35, 36 and 37</w:t>
      </w:r>
      <w:r>
        <w:t xml:space="preserve"> of Figure 10.3)</w:t>
      </w:r>
      <w:r w:rsidRPr="00684879">
        <w:t>”</w:t>
      </w:r>
    </w:p>
    <w:p w:rsidR="00450213" w:rsidRDefault="00450213" w:rsidP="00450213">
      <w:pPr>
        <w:pStyle w:val="SingleTxtG"/>
        <w:ind w:left="2268"/>
      </w:pPr>
      <w:r w:rsidRPr="00D24888">
        <w:tab/>
      </w:r>
      <w:r>
        <w:t>In</w:t>
      </w:r>
      <w:r w:rsidRPr="00D24888">
        <w:t xml:space="preserve"> the second </w:t>
      </w:r>
      <w:r>
        <w:t>sentence, replace:</w:t>
      </w:r>
    </w:p>
    <w:p w:rsidR="00450213" w:rsidRDefault="00450213" w:rsidP="00450213">
      <w:pPr>
        <w:pStyle w:val="SingleTxtG"/>
        <w:ind w:left="2552" w:hanging="284"/>
      </w:pPr>
      <w:r>
        <w:t xml:space="preserve">- </w:t>
      </w:r>
      <w:r>
        <w:tab/>
        <w:t xml:space="preserve">“a product” with </w:t>
      </w:r>
      <w:r w:rsidRPr="00D24888">
        <w:t>“</w:t>
      </w:r>
      <w:r>
        <w:t>a substance or article in the transport configuration”; and</w:t>
      </w:r>
    </w:p>
    <w:p w:rsidR="00450213" w:rsidRPr="00D24888" w:rsidRDefault="00450213" w:rsidP="00450213">
      <w:pPr>
        <w:pStyle w:val="SingleTxtG"/>
        <w:ind w:left="2552" w:hanging="284"/>
      </w:pPr>
      <w:r>
        <w:t xml:space="preserve">- </w:t>
      </w:r>
      <w:r>
        <w:tab/>
        <w:t>“should be excluded from Class 1 (boxes 35 and 36 of Figure 10.3)” with “can be excluded from the class of explosives (boxes 38 and 39 of Figure 10.3)”.</w:t>
      </w:r>
    </w:p>
    <w:p w:rsidR="00450213" w:rsidRDefault="00450213" w:rsidP="00450213">
      <w:pPr>
        <w:pStyle w:val="SingleTxtG"/>
        <w:ind w:left="2268" w:hanging="1134"/>
      </w:pPr>
      <w:r w:rsidRPr="00D24888">
        <w:t>10.4.2.4</w:t>
      </w:r>
      <w:r w:rsidRPr="00D24888">
        <w:tab/>
      </w:r>
      <w:r>
        <w:t>I</w:t>
      </w:r>
      <w:r w:rsidRPr="00D24888">
        <w:t xml:space="preserve">n the </w:t>
      </w:r>
      <w:r>
        <w:t>first sentence:</w:t>
      </w:r>
    </w:p>
    <w:p w:rsidR="00450213" w:rsidRDefault="00450213" w:rsidP="00450213">
      <w:pPr>
        <w:pStyle w:val="SingleTxtG"/>
        <w:ind w:left="2552" w:hanging="284"/>
      </w:pPr>
      <w:r>
        <w:t xml:space="preserve">- </w:t>
      </w:r>
      <w:r>
        <w:tab/>
        <w:t>delete “explosive” after “extremely insensitive”</w:t>
      </w:r>
    </w:p>
    <w:p w:rsidR="00450213" w:rsidRDefault="00450213" w:rsidP="00450213">
      <w:pPr>
        <w:pStyle w:val="SingleTxtG"/>
        <w:ind w:left="2552" w:hanging="284"/>
      </w:pPr>
      <w:r>
        <w:t xml:space="preserve">-  </w:t>
      </w:r>
      <w:r>
        <w:tab/>
        <w:t>Replace “(box 40, Figure 10.3)” with “(box 23, Figure 10.3)”; and</w:t>
      </w:r>
    </w:p>
    <w:p w:rsidR="00450213" w:rsidRPr="00D24888" w:rsidRDefault="00450213" w:rsidP="00450213">
      <w:pPr>
        <w:pStyle w:val="SingleTxtG"/>
        <w:ind w:left="2552" w:hanging="284"/>
      </w:pPr>
      <w:r>
        <w:t xml:space="preserve">- </w:t>
      </w:r>
      <w:r>
        <w:tab/>
        <w:t xml:space="preserve">After “any candidate for Division 1.6”, replace </w:t>
      </w:r>
      <w:r w:rsidRPr="00D24888">
        <w:t>“should</w:t>
      </w:r>
      <w:r>
        <w:t xml:space="preserve"> pass one of each</w:t>
      </w:r>
      <w:r w:rsidRPr="00D24888">
        <w:t xml:space="preserve">” </w:t>
      </w:r>
      <w:r>
        <w:t>with</w:t>
      </w:r>
      <w:r w:rsidRPr="00D24888">
        <w:t xml:space="preserve"> “shall</w:t>
      </w:r>
      <w:r>
        <w:t xml:space="preserve"> pass one of each</w:t>
      </w:r>
      <w:r w:rsidRPr="00D24888">
        <w:t>”</w:t>
      </w:r>
    </w:p>
    <w:p w:rsidR="00450213" w:rsidRDefault="00450213" w:rsidP="00450213">
      <w:pPr>
        <w:pStyle w:val="SingleTxtG"/>
        <w:ind w:left="2268" w:hanging="1134"/>
      </w:pPr>
      <w:r w:rsidRPr="00D24888">
        <w:tab/>
      </w:r>
      <w:r>
        <w:t xml:space="preserve">For </w:t>
      </w:r>
      <w:r w:rsidRPr="00D24888">
        <w:t>Type 7 (g)</w:t>
      </w:r>
      <w:r>
        <w:t>, replace “as presented for transport” with “</w:t>
      </w:r>
      <w:r w:rsidRPr="00D24888">
        <w:t>as presented for classification;”</w:t>
      </w:r>
      <w:r>
        <w:t xml:space="preserve"> and delete the words: “which is in the condition”.</w:t>
      </w:r>
    </w:p>
    <w:p w:rsidR="00450213" w:rsidRDefault="00450213" w:rsidP="00450213">
      <w:pPr>
        <w:pStyle w:val="SingleTxtG"/>
        <w:ind w:left="2268" w:hanging="1134"/>
      </w:pPr>
      <w:r>
        <w:t>10.4.2.5</w:t>
      </w:r>
      <w:r>
        <w:tab/>
        <w:t>In the first sentence, replace:</w:t>
      </w:r>
    </w:p>
    <w:p w:rsidR="00450213" w:rsidRDefault="00450213" w:rsidP="00450213">
      <w:pPr>
        <w:pStyle w:val="SingleTxtG"/>
        <w:ind w:left="2268"/>
      </w:pPr>
      <w:r>
        <w:t>- “Is the substance a candidate” with “Is it a candidate”</w:t>
      </w:r>
    </w:p>
    <w:p w:rsidR="00450213" w:rsidRDefault="00450213" w:rsidP="00450213">
      <w:pPr>
        <w:pStyle w:val="SingleTxtG"/>
        <w:ind w:left="2268"/>
      </w:pPr>
      <w:r>
        <w:t>- “emulsion or suspension” with “emulsion, suspension”, and</w:t>
      </w:r>
    </w:p>
    <w:p w:rsidR="00450213" w:rsidRDefault="00E26FF8" w:rsidP="00450213">
      <w:pPr>
        <w:pStyle w:val="SingleTxtG"/>
        <w:ind w:left="2268"/>
      </w:pPr>
      <w:r>
        <w:t xml:space="preserve">- </w:t>
      </w:r>
      <w:r w:rsidR="00450213">
        <w:t>“(box 2 (a), Figure 10.2)” with “(box 3, Figure 10.2)”</w:t>
      </w:r>
    </w:p>
    <w:p w:rsidR="00450213" w:rsidRPr="00D24888" w:rsidRDefault="00450213" w:rsidP="00450213">
      <w:pPr>
        <w:pStyle w:val="SingleTxtG"/>
        <w:ind w:left="2268"/>
      </w:pPr>
      <w:r>
        <w:t>Amend the end of the last sentence to read as follows: “…of ANEs for containment in portable tanks as oxidizing substances”.</w:t>
      </w:r>
    </w:p>
    <w:p w:rsidR="00450213" w:rsidRDefault="00450213" w:rsidP="00450213">
      <w:pPr>
        <w:pStyle w:val="SingleTxtG"/>
        <w:ind w:left="2268" w:hanging="1134"/>
      </w:pPr>
      <w:r w:rsidRPr="00D24888">
        <w:t>10.4.3.3</w:t>
      </w:r>
      <w:r w:rsidRPr="00D24888">
        <w:tab/>
      </w:r>
      <w:r w:rsidRPr="00D24888">
        <w:tab/>
      </w:r>
      <w:r>
        <w:t>I</w:t>
      </w:r>
      <w:r w:rsidRPr="00D24888">
        <w:t xml:space="preserve">n the </w:t>
      </w:r>
      <w:r>
        <w:t xml:space="preserve">second sentence, </w:t>
      </w:r>
      <w:r w:rsidRPr="00D24888">
        <w:t>replace</w:t>
      </w:r>
      <w:r>
        <w:t xml:space="preserve"> “most disadvantageous” with “most severe”. In the third sentence replace </w:t>
      </w:r>
      <w:r w:rsidRPr="00D24888">
        <w:t xml:space="preserve">“are to be carried” </w:t>
      </w:r>
      <w:r>
        <w:t>with</w:t>
      </w:r>
      <w:r w:rsidRPr="00D24888">
        <w:t xml:space="preserve"> “are </w:t>
      </w:r>
      <w:r>
        <w:t>classified</w:t>
      </w:r>
      <w:r w:rsidRPr="00D24888">
        <w:t>”</w:t>
      </w:r>
      <w:r>
        <w:t>.</w:t>
      </w:r>
    </w:p>
    <w:p w:rsidR="00450213" w:rsidRPr="00D24888" w:rsidRDefault="00450213" w:rsidP="00450213">
      <w:pPr>
        <w:pStyle w:val="SingleTxtG"/>
        <w:ind w:left="2268" w:hanging="1134"/>
      </w:pPr>
      <w:r>
        <w:tab/>
        <w:t>In (a), replace “by the competent authority” with “, where appropriate by the competent authority,”.</w:t>
      </w:r>
    </w:p>
    <w:p w:rsidR="00450213" w:rsidRDefault="00450213" w:rsidP="00450213">
      <w:pPr>
        <w:pStyle w:val="SingleTxtG"/>
        <w:ind w:left="2268" w:hanging="1134"/>
      </w:pPr>
      <w:r w:rsidRPr="00D24888">
        <w:t xml:space="preserve">10.4.3.4 </w:t>
      </w:r>
      <w:r>
        <w:tab/>
        <w:t xml:space="preserve">In </w:t>
      </w:r>
      <w:r w:rsidRPr="00D24888">
        <w:t>(a)</w:t>
      </w:r>
      <w:r>
        <w:t>, replace:</w:t>
      </w:r>
    </w:p>
    <w:p w:rsidR="00450213" w:rsidRDefault="00450213" w:rsidP="00450213">
      <w:pPr>
        <w:pStyle w:val="SingleTxtG"/>
        <w:ind w:left="2552" w:hanging="284"/>
      </w:pPr>
      <w:r>
        <w:t xml:space="preserve">- </w:t>
      </w:r>
      <w:r w:rsidRPr="00D24888">
        <w:t>“</w:t>
      </w:r>
      <w:r>
        <w:t xml:space="preserve">articles are </w:t>
      </w:r>
      <w:r w:rsidRPr="00D24888">
        <w:t>carried” with “</w:t>
      </w:r>
      <w:r>
        <w:t>articles are classified</w:t>
      </w:r>
      <w:r w:rsidRPr="00D24888">
        <w:t>”</w:t>
      </w:r>
      <w:r>
        <w:t>; and</w:t>
      </w:r>
    </w:p>
    <w:p w:rsidR="00450213" w:rsidRDefault="00450213" w:rsidP="00450213">
      <w:pPr>
        <w:pStyle w:val="SingleTxtG"/>
        <w:ind w:left="2552" w:hanging="284"/>
      </w:pPr>
      <w:r>
        <w:t>- “in the package (see also section 10.4.3.4 (d))” with “in the package (see also sub-paragraph 10.4.3.4 (d) below)”.</w:t>
      </w:r>
    </w:p>
    <w:p w:rsidR="00450213" w:rsidRDefault="00450213" w:rsidP="00450213">
      <w:pPr>
        <w:pStyle w:val="SingleTxtG"/>
        <w:ind w:left="2268"/>
      </w:pPr>
      <w:r>
        <w:t xml:space="preserve">In (b), amend the end of the first sentence to read “…each type of 6 (a) test (see also </w:t>
      </w:r>
      <w:r w:rsidRPr="00EB1776">
        <w:t>sub-paragraph</w:t>
      </w:r>
      <w:r>
        <w:t xml:space="preserve"> 10.4.3.4 (d) below)</w:t>
      </w:r>
      <w:r w:rsidRPr="00EB1776">
        <w:t>”</w:t>
      </w:r>
      <w:r>
        <w:t>.</w:t>
      </w:r>
    </w:p>
    <w:p w:rsidR="00450213" w:rsidRPr="00D24888" w:rsidRDefault="00450213" w:rsidP="00450213">
      <w:pPr>
        <w:pStyle w:val="SingleTxtG"/>
        <w:ind w:left="2268"/>
      </w:pPr>
      <w:r w:rsidRPr="00375F43">
        <w:t>In (b) (i) replace “detonation and/or ignition” with “initiation”.</w:t>
      </w:r>
    </w:p>
    <w:p w:rsidR="00450213" w:rsidRDefault="00450213" w:rsidP="00450213">
      <w:pPr>
        <w:pStyle w:val="SingleTxtG"/>
        <w:ind w:left="2268" w:hanging="1134"/>
      </w:pPr>
      <w:r w:rsidRPr="00D24888">
        <w:t>10.4.3.6</w:t>
      </w:r>
      <w:r w:rsidRPr="00D24888">
        <w:tab/>
      </w:r>
      <w:r>
        <w:t>R</w:t>
      </w:r>
      <w:r w:rsidRPr="00D24888">
        <w:t>eplace “should be</w:t>
      </w:r>
      <w:r>
        <w:t xml:space="preserve"> used</w:t>
      </w:r>
      <w:r w:rsidRPr="00D24888">
        <w:t xml:space="preserve">” </w:t>
      </w:r>
      <w:r>
        <w:t xml:space="preserve">with </w:t>
      </w:r>
      <w:r w:rsidRPr="00D24888">
        <w:t>“are</w:t>
      </w:r>
      <w:r>
        <w:t xml:space="preserve"> used</w:t>
      </w:r>
      <w:r w:rsidRPr="00D24888">
        <w:t>”</w:t>
      </w:r>
      <w:r>
        <w:t xml:space="preserve"> and </w:t>
      </w:r>
      <w:r w:rsidRPr="00D24888">
        <w:t>“</w:t>
      </w:r>
      <w:r>
        <w:t xml:space="preserve">establish that </w:t>
      </w:r>
      <w:r w:rsidRPr="00D24888">
        <w:t xml:space="preserve">the explosive” </w:t>
      </w:r>
      <w:r>
        <w:t>with</w:t>
      </w:r>
      <w:r w:rsidRPr="00D24888">
        <w:t xml:space="preserve"> “</w:t>
      </w:r>
      <w:r>
        <w:t xml:space="preserve">establish that </w:t>
      </w:r>
      <w:r w:rsidRPr="00D24888">
        <w:t>an explosive”</w:t>
      </w:r>
      <w:r>
        <w:t xml:space="preserve">. </w:t>
      </w:r>
    </w:p>
    <w:p w:rsidR="00450213" w:rsidRDefault="00450213" w:rsidP="00450213">
      <w:pPr>
        <w:pStyle w:val="SingleTxtG"/>
        <w:ind w:left="2268"/>
      </w:pPr>
      <w:r>
        <w:t xml:space="preserve">After “extremely insensitive” </w:t>
      </w:r>
      <w:r w:rsidRPr="00D24888">
        <w:t>delete “detonating”</w:t>
      </w:r>
      <w:r>
        <w:t xml:space="preserve">. </w:t>
      </w:r>
    </w:p>
    <w:p w:rsidR="00450213" w:rsidRDefault="00450213" w:rsidP="00450213">
      <w:pPr>
        <w:pStyle w:val="SingleTxtG"/>
        <w:ind w:left="2268"/>
      </w:pPr>
      <w:r>
        <w:t>Replace “used to establish” with “are used to establish”.</w:t>
      </w:r>
    </w:p>
    <w:p w:rsidR="00450213" w:rsidRPr="00D24888" w:rsidRDefault="00450213" w:rsidP="00450213">
      <w:pPr>
        <w:pStyle w:val="SingleTxtG"/>
        <w:ind w:left="2268"/>
      </w:pPr>
      <w:r>
        <w:t>Insert “predominantly” before containing EIS(s)”.</w:t>
      </w:r>
    </w:p>
    <w:p w:rsidR="00450213" w:rsidRPr="00D24888" w:rsidRDefault="00450213" w:rsidP="00450213">
      <w:pPr>
        <w:pStyle w:val="SingleTxtG"/>
        <w:ind w:left="2268" w:hanging="1134"/>
      </w:pPr>
      <w:r w:rsidRPr="00D24888">
        <w:lastRenderedPageBreak/>
        <w:t>10.4.3.7</w:t>
      </w:r>
      <w:r w:rsidRPr="00D24888">
        <w:tab/>
      </w:r>
      <w:r>
        <w:t>I</w:t>
      </w:r>
      <w:r w:rsidRPr="00D24888">
        <w:t xml:space="preserve">n the first </w:t>
      </w:r>
      <w:r>
        <w:t>sentence</w:t>
      </w:r>
      <w:r w:rsidRPr="00D24888">
        <w:t>, replace “should be</w:t>
      </w:r>
      <w:r>
        <w:t xml:space="preserve"> performed</w:t>
      </w:r>
      <w:r w:rsidRPr="00D24888">
        <w:t xml:space="preserve">” </w:t>
      </w:r>
      <w:r>
        <w:t>with</w:t>
      </w:r>
      <w:r w:rsidRPr="00D24888">
        <w:t xml:space="preserve"> “are</w:t>
      </w:r>
      <w:r>
        <w:t xml:space="preserve"> performed</w:t>
      </w:r>
      <w:r w:rsidRPr="00D24888">
        <w:t>”</w:t>
      </w:r>
      <w:r>
        <w:t>.</w:t>
      </w:r>
    </w:p>
    <w:p w:rsidR="00450213" w:rsidRDefault="00450213" w:rsidP="00450213">
      <w:pPr>
        <w:pStyle w:val="SingleTxtG"/>
        <w:ind w:left="2268" w:hanging="1134"/>
      </w:pPr>
      <w:r w:rsidRPr="00D24888">
        <w:tab/>
      </w:r>
      <w:r>
        <w:t xml:space="preserve">In the second sentence </w:t>
      </w:r>
      <w:r w:rsidRPr="00D24888">
        <w:t xml:space="preserve">replace “for transport” </w:t>
      </w:r>
      <w:r>
        <w:t xml:space="preserve">with </w:t>
      </w:r>
      <w:r w:rsidRPr="00D24888">
        <w:t>“for classification”</w:t>
      </w:r>
      <w:r>
        <w:t xml:space="preserve"> and “the competent authority” with “the classifier”.</w:t>
      </w:r>
    </w:p>
    <w:p w:rsidR="00450213" w:rsidRDefault="00450213" w:rsidP="00450213">
      <w:pPr>
        <w:pStyle w:val="SingleTxtG"/>
        <w:ind w:left="2268" w:hanging="1134"/>
      </w:pPr>
      <w:r>
        <w:tab/>
        <w:t xml:space="preserve">Amend 10.4.3.7 (a) to </w:t>
      </w:r>
      <w:r w:rsidRPr="00D24888">
        <w:t>read as follows: “</w:t>
      </w:r>
      <w:r>
        <w:t>Complex articles may contain multiple</w:t>
      </w:r>
      <w:r w:rsidRPr="00D24888">
        <w:t xml:space="preserve"> substances and test types 7 (a) to (f) shall be completed for all main explosive load and boostering component substances, as appropriate, within the article to be classified in Division 1.6.”</w:t>
      </w:r>
    </w:p>
    <w:p w:rsidR="00450213" w:rsidRDefault="00450213" w:rsidP="00450213">
      <w:pPr>
        <w:pStyle w:val="SingleTxtG"/>
        <w:ind w:left="2268"/>
      </w:pPr>
      <w:r>
        <w:t>In (b), delete the comma after “boostering” and replace “Box 3” with “Box 9” and “Box 24” with “Box 21”.</w:t>
      </w:r>
    </w:p>
    <w:p w:rsidR="00450213" w:rsidRDefault="00450213" w:rsidP="00450213">
      <w:pPr>
        <w:pStyle w:val="SingleTxtG"/>
        <w:ind w:left="2268"/>
      </w:pPr>
      <w:r>
        <w:t xml:space="preserve">In (c), replace “Box 4” with “Box 3” </w:t>
      </w:r>
    </w:p>
    <w:p w:rsidR="00450213" w:rsidRDefault="00450213" w:rsidP="00450213">
      <w:pPr>
        <w:pStyle w:val="SingleTxtG"/>
        <w:ind w:left="2268"/>
      </w:pPr>
      <w:r>
        <w:t>In (d), replace</w:t>
      </w:r>
      <w:r w:rsidRPr="00202134">
        <w:t xml:space="preserve"> “Box </w:t>
      </w:r>
      <w:r>
        <w:t>6”</w:t>
      </w:r>
      <w:r w:rsidRPr="00202134">
        <w:t xml:space="preserve"> </w:t>
      </w:r>
      <w:r>
        <w:t>with “</w:t>
      </w:r>
      <w:r w:rsidRPr="00202134">
        <w:t xml:space="preserve">Box </w:t>
      </w:r>
      <w:r>
        <w:t xml:space="preserve">4”, </w:t>
      </w:r>
      <w:r w:rsidRPr="00202134">
        <w:t>“Box 7</w:t>
      </w:r>
      <w:r>
        <w:t>”</w:t>
      </w:r>
      <w:r w:rsidRPr="00202134">
        <w:t xml:space="preserve"> </w:t>
      </w:r>
      <w:r>
        <w:t>with</w:t>
      </w:r>
      <w:r w:rsidRPr="00202134">
        <w:t xml:space="preserve"> “Box 6</w:t>
      </w:r>
      <w:r>
        <w:t>”</w:t>
      </w:r>
      <w:r w:rsidRPr="00202134">
        <w:t xml:space="preserve"> </w:t>
      </w:r>
      <w:r>
        <w:t xml:space="preserve">and </w:t>
      </w:r>
      <w:r w:rsidRPr="00202134">
        <w:t>“Box 24</w:t>
      </w:r>
      <w:r>
        <w:t>”</w:t>
      </w:r>
      <w:r w:rsidRPr="00202134">
        <w:t xml:space="preserve"> </w:t>
      </w:r>
      <w:r>
        <w:t xml:space="preserve">with </w:t>
      </w:r>
      <w:r w:rsidRPr="00202134">
        <w:t>“Box 21</w:t>
      </w:r>
      <w:r>
        <w:t>”.</w:t>
      </w:r>
    </w:p>
    <w:p w:rsidR="00450213" w:rsidRDefault="00450213" w:rsidP="00450213">
      <w:pPr>
        <w:pStyle w:val="SingleTxtG"/>
        <w:ind w:left="2268"/>
      </w:pPr>
      <w:r>
        <w:t>In (e), replace “Box 8” with “Box 5” and “Box 24” with “Box 21”.</w:t>
      </w:r>
    </w:p>
    <w:p w:rsidR="00450213" w:rsidRDefault="00450213" w:rsidP="00450213">
      <w:pPr>
        <w:pStyle w:val="SingleTxtG"/>
        <w:ind w:left="2268" w:hanging="1134"/>
      </w:pPr>
      <w:r w:rsidRPr="00D24888">
        <w:t>10.4.3.8</w:t>
      </w:r>
      <w:r w:rsidRPr="00D24888">
        <w:tab/>
      </w:r>
      <w:r>
        <w:t>Amend the end of the first sentence to read:</w:t>
      </w:r>
      <w:r w:rsidRPr="00D24888">
        <w:t xml:space="preserve"> “</w:t>
      </w:r>
      <w:r>
        <w:t xml:space="preserve">may be </w:t>
      </w:r>
      <w:r w:rsidRPr="00D24888">
        <w:t>accepted as an oxidizing solid or liquid”</w:t>
      </w:r>
      <w:r>
        <w:t>.</w:t>
      </w:r>
    </w:p>
    <w:p w:rsidR="00450213" w:rsidRDefault="00450213" w:rsidP="00450213">
      <w:pPr>
        <w:pStyle w:val="SingleTxtG"/>
        <w:ind w:left="2268" w:hanging="1134"/>
      </w:pPr>
      <w:r>
        <w:tab/>
        <w:t>I</w:t>
      </w:r>
      <w:r w:rsidRPr="00D24888">
        <w:t xml:space="preserve">n the </w:t>
      </w:r>
      <w:r>
        <w:t>second sentence,</w:t>
      </w:r>
      <w:r w:rsidRPr="00D24888">
        <w:t xml:space="preserve"> replace “Class 1” with “the class of explosives”</w:t>
      </w:r>
      <w:r>
        <w:t>.</w:t>
      </w:r>
    </w:p>
    <w:p w:rsidR="00450213" w:rsidRPr="00D24888" w:rsidRDefault="00450213" w:rsidP="00450213">
      <w:pPr>
        <w:pStyle w:val="SingleTxtG"/>
        <w:ind w:left="2268" w:hanging="1134"/>
      </w:pPr>
      <w:r>
        <w:t>10.4.3.9</w:t>
      </w:r>
      <w:r>
        <w:tab/>
        <w:t xml:space="preserve">Delete the paragraph. </w:t>
      </w:r>
    </w:p>
    <w:p w:rsidR="00450213" w:rsidRDefault="00450213" w:rsidP="00450213">
      <w:pPr>
        <w:pStyle w:val="SingleTxtG"/>
        <w:ind w:left="2268" w:hanging="1134"/>
      </w:pPr>
      <w:r w:rsidRPr="00D24888">
        <w:t>10.5.1</w:t>
      </w:r>
      <w:r w:rsidRPr="00D24888">
        <w:tab/>
      </w:r>
      <w:r>
        <w:t>R</w:t>
      </w:r>
      <w:r w:rsidRPr="00D24888">
        <w:t>eplace “Class 1” with “the class of explosives”</w:t>
      </w:r>
      <w:r>
        <w:t xml:space="preserve"> and amend the end of the paragraph to read as follows: “assignment procedures to “hexanitrostilbene (UN No.0392) and musk xylene (UN No. 2956), are given in figures 10.6 (a) to (d) and 10.7 (a) to (d)”</w:t>
      </w:r>
      <w:r w:rsidRPr="00D24888">
        <w:t>.</w:t>
      </w:r>
    </w:p>
    <w:p w:rsidR="00450213" w:rsidRPr="00D24888" w:rsidRDefault="00450213" w:rsidP="00450213">
      <w:pPr>
        <w:pStyle w:val="SingleTxtG"/>
        <w:ind w:left="2268" w:hanging="1134"/>
      </w:pPr>
      <w:r>
        <w:t>10.5.2</w:t>
      </w:r>
      <w:r>
        <w:tab/>
        <w:t>Replace “Figure 10.10” with “Figure 10.8”.</w:t>
      </w:r>
    </w:p>
    <w:p w:rsidR="00450213" w:rsidRDefault="00450213" w:rsidP="00450213">
      <w:pPr>
        <w:pStyle w:val="SingleTxtG"/>
        <w:ind w:left="2268" w:hanging="1134"/>
      </w:pPr>
      <w:r w:rsidRPr="00D24888">
        <w:t>Figure 10.6</w:t>
      </w:r>
      <w:r>
        <w:tab/>
        <w:t>Insert the following new Figures 10.6 (a) to 10.6 (d):</w:t>
      </w:r>
    </w:p>
    <w:tbl>
      <w:tblPr>
        <w:tblW w:w="6379" w:type="dxa"/>
        <w:tblInd w:w="2122" w:type="dxa"/>
        <w:tblCellMar>
          <w:left w:w="70" w:type="dxa"/>
          <w:right w:w="70" w:type="dxa"/>
        </w:tblCellMar>
        <w:tblLook w:val="0000" w:firstRow="0" w:lastRow="0" w:firstColumn="0" w:lastColumn="0" w:noHBand="0" w:noVBand="0"/>
      </w:tblPr>
      <w:tblGrid>
        <w:gridCol w:w="2835"/>
        <w:gridCol w:w="3544"/>
      </w:tblGrid>
      <w:tr w:rsidR="00450213" w:rsidRPr="002D21BA" w:rsidTr="007E6A03">
        <w:trPr>
          <w:tblHeader/>
        </w:trPr>
        <w:tc>
          <w:tcPr>
            <w:tcW w:w="6379" w:type="dxa"/>
            <w:gridSpan w:val="2"/>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spacing w:after="120"/>
              <w:jc w:val="center"/>
            </w:pPr>
            <w:r w:rsidRPr="002D21BA">
              <w:t>“</w:t>
            </w:r>
            <w:r w:rsidRPr="002D21BA">
              <w:rPr>
                <w:b/>
                <w:bCs/>
              </w:rPr>
              <w:t xml:space="preserve">Figure 10.6 (a): </w:t>
            </w:r>
            <w:r>
              <w:rPr>
                <w:b/>
                <w:bCs/>
              </w:rPr>
              <w:br/>
            </w:r>
            <w:r w:rsidRPr="002D21BA">
              <w:rPr>
                <w:b/>
                <w:bCs/>
              </w:rPr>
              <w:t>RESULTS FROM THE APPLICATION OF THE PROVISIONAL ACCEPTANCE PROCEDURE IN THE CLASS OF EXPLOSIVES (FIGURE 10.2) TO HEXANITROSTILBENE</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rPr>
                <w:b/>
                <w:bCs/>
              </w:rPr>
              <w:t>1.</w:t>
            </w:r>
            <w:r w:rsidRPr="002D21BA">
              <w:rPr>
                <w:b/>
                <w:bCs/>
              </w:rPr>
              <w:tab/>
              <w:t>Name of substance</w:t>
            </w:r>
            <w:r w:rsidRPr="002D21BA">
              <w:t>:</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Hexanitrostilbene</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rPr>
                <w:b/>
                <w:bCs/>
              </w:rPr>
              <w:t>2.</w:t>
            </w:r>
            <w:r w:rsidRPr="002D21BA">
              <w:rPr>
                <w:b/>
                <w:bCs/>
              </w:rPr>
              <w:tab/>
              <w:t>General data</w:t>
            </w:r>
          </w:p>
        </w:tc>
        <w:tc>
          <w:tcPr>
            <w:tcW w:w="3544" w:type="dxa"/>
          </w:tcPr>
          <w:p w:rsidR="00450213" w:rsidRPr="002D21BA" w:rsidRDefault="00450213" w:rsidP="00450213">
            <w:pPr>
              <w:spacing w:before="6" w:after="6"/>
            </w:pP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2.1</w:t>
            </w:r>
            <w:r w:rsidRPr="002D21BA">
              <w:tab/>
              <w:t>Composition:</w:t>
            </w:r>
          </w:p>
        </w:tc>
        <w:tc>
          <w:tcPr>
            <w:tcW w:w="3544" w:type="dxa"/>
          </w:tcPr>
          <w:p w:rsidR="00450213" w:rsidRPr="002D21BA" w:rsidRDefault="00450213" w:rsidP="00450213">
            <w:pPr>
              <w:spacing w:before="6" w:after="6"/>
            </w:pPr>
            <w:r w:rsidRPr="002D21BA">
              <w:t>hexanitrostilbene</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2.2</w:t>
            </w:r>
            <w:r w:rsidRPr="002D21BA">
              <w:tab/>
              <w:t>Molecular formula:</w:t>
            </w:r>
          </w:p>
        </w:tc>
        <w:tc>
          <w:tcPr>
            <w:tcW w:w="3544" w:type="dxa"/>
          </w:tcPr>
          <w:p w:rsidR="00450213" w:rsidRPr="002D21BA" w:rsidRDefault="00450213" w:rsidP="00450213">
            <w:pPr>
              <w:spacing w:before="6" w:after="6"/>
            </w:pPr>
            <w:r w:rsidRPr="002D21BA">
              <w:t>C</w:t>
            </w:r>
            <w:r w:rsidRPr="002D21BA">
              <w:rPr>
                <w:vertAlign w:val="subscript"/>
              </w:rPr>
              <w:t>14</w:t>
            </w:r>
            <w:r w:rsidRPr="002D21BA">
              <w:t>H</w:t>
            </w:r>
            <w:r w:rsidRPr="002D21BA">
              <w:rPr>
                <w:vertAlign w:val="subscript"/>
              </w:rPr>
              <w:t>6</w:t>
            </w:r>
            <w:r w:rsidRPr="002D21BA">
              <w:t>N</w:t>
            </w:r>
            <w:r w:rsidRPr="002D21BA">
              <w:rPr>
                <w:vertAlign w:val="subscript"/>
              </w:rPr>
              <w:t>6</w:t>
            </w:r>
            <w:r w:rsidRPr="002D21BA">
              <w:t>O</w:t>
            </w:r>
            <w:r w:rsidRPr="002D21BA">
              <w:rPr>
                <w:vertAlign w:val="subscript"/>
              </w:rPr>
              <w:t>12</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2.3</w:t>
            </w:r>
            <w:r w:rsidRPr="002D21BA">
              <w:tab/>
              <w:t>Physical form:</w:t>
            </w:r>
          </w:p>
        </w:tc>
        <w:tc>
          <w:tcPr>
            <w:tcW w:w="3544" w:type="dxa"/>
          </w:tcPr>
          <w:p w:rsidR="00450213" w:rsidRPr="002D21BA" w:rsidRDefault="00450213" w:rsidP="00450213">
            <w:pPr>
              <w:spacing w:before="6" w:after="6"/>
            </w:pPr>
            <w:r w:rsidRPr="002D21BA">
              <w:t>powder</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2.4</w:t>
            </w:r>
            <w:r w:rsidRPr="002D21BA">
              <w:tab/>
              <w:t>Colour:</w:t>
            </w:r>
          </w:p>
        </w:tc>
        <w:tc>
          <w:tcPr>
            <w:tcW w:w="3544" w:type="dxa"/>
          </w:tcPr>
          <w:p w:rsidR="00450213" w:rsidRPr="002D21BA" w:rsidRDefault="00450213" w:rsidP="00450213">
            <w:pPr>
              <w:spacing w:before="6" w:after="6"/>
            </w:pPr>
            <w:r w:rsidRPr="002D21BA">
              <w:t>yellow orange</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2.5</w:t>
            </w:r>
            <w:r w:rsidRPr="002D21BA">
              <w:tab/>
              <w:t>Apparent density:</w:t>
            </w:r>
          </w:p>
        </w:tc>
        <w:tc>
          <w:tcPr>
            <w:tcW w:w="3544" w:type="dxa"/>
          </w:tcPr>
          <w:p w:rsidR="00450213" w:rsidRPr="002D21BA" w:rsidRDefault="00450213" w:rsidP="00450213">
            <w:pPr>
              <w:spacing w:before="6" w:after="6"/>
            </w:pPr>
            <w:r w:rsidRPr="002D21BA">
              <w:t>1700 kg /m</w:t>
            </w:r>
            <w:r w:rsidRPr="002D21BA">
              <w:rPr>
                <w:vertAlign w:val="superscript"/>
              </w:rPr>
              <w:t>3</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2.6</w:t>
            </w:r>
            <w:r w:rsidRPr="002D21BA">
              <w:tab/>
              <w:t>Particle size:</w:t>
            </w:r>
          </w:p>
        </w:tc>
        <w:tc>
          <w:tcPr>
            <w:tcW w:w="3544" w:type="dxa"/>
          </w:tcPr>
          <w:p w:rsidR="00450213" w:rsidRPr="002D21BA" w:rsidRDefault="00450213" w:rsidP="00450213">
            <w:pPr>
              <w:spacing w:before="6" w:after="6"/>
            </w:pPr>
            <w:r w:rsidRPr="002D21BA">
              <w:t>0.1 – 0.3 mm</w:t>
            </w:r>
          </w:p>
        </w:tc>
      </w:tr>
      <w:tr w:rsidR="00450213" w:rsidRPr="002D21BA" w:rsidTr="007E6A03">
        <w:tc>
          <w:tcPr>
            <w:tcW w:w="2835" w:type="dxa"/>
          </w:tcPr>
          <w:p w:rsidR="00450213" w:rsidRPr="002D21BA" w:rsidRDefault="00450213" w:rsidP="00450213">
            <w:pPr>
              <w:tabs>
                <w:tab w:val="left" w:pos="585"/>
                <w:tab w:val="left" w:pos="4368"/>
              </w:tabs>
              <w:spacing w:before="6" w:after="6"/>
            </w:pPr>
          </w:p>
        </w:tc>
        <w:tc>
          <w:tcPr>
            <w:tcW w:w="3544" w:type="dxa"/>
          </w:tcPr>
          <w:p w:rsidR="00450213" w:rsidRPr="002D21BA" w:rsidRDefault="00450213" w:rsidP="00450213">
            <w:pPr>
              <w:spacing w:before="6" w:after="6"/>
            </w:pP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rPr>
                <w:b/>
                <w:bCs/>
              </w:rPr>
              <w:t>3.</w:t>
            </w:r>
            <w:r w:rsidRPr="002D21BA">
              <w:rPr>
                <w:b/>
                <w:bCs/>
              </w:rPr>
              <w:tab/>
              <w:t>Box 2</w:t>
            </w:r>
            <w:r w:rsidRPr="002D21BA">
              <w:t>:</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Is the substance manufactured with the view to producing a practical explosive or pyrotechnic effect?</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3.1</w:t>
            </w:r>
            <w:r w:rsidRPr="002D21BA">
              <w:tab/>
              <w:t>Answer:</w:t>
            </w:r>
          </w:p>
        </w:tc>
        <w:tc>
          <w:tcPr>
            <w:tcW w:w="3544" w:type="dxa"/>
          </w:tcPr>
          <w:p w:rsidR="00450213" w:rsidRPr="002D21BA" w:rsidRDefault="00450213" w:rsidP="00450213">
            <w:pPr>
              <w:spacing w:before="6" w:after="6"/>
            </w:pPr>
            <w:r w:rsidRPr="002D21BA">
              <w:t>Yes</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3.2</w:t>
            </w:r>
            <w:r w:rsidRPr="002D21BA">
              <w:tab/>
              <w:t>Exit</w:t>
            </w:r>
          </w:p>
        </w:tc>
        <w:tc>
          <w:tcPr>
            <w:tcW w:w="3544" w:type="dxa"/>
          </w:tcPr>
          <w:p w:rsidR="00450213" w:rsidRPr="002D21BA" w:rsidRDefault="00450213" w:rsidP="00450213">
            <w:pPr>
              <w:spacing w:before="6" w:after="6"/>
            </w:pPr>
            <w:r w:rsidRPr="002D21BA">
              <w:t>Go to Box 10</w:t>
            </w:r>
          </w:p>
        </w:tc>
      </w:tr>
      <w:tr w:rsidR="00450213" w:rsidRPr="002D21BA" w:rsidTr="007E6A03">
        <w:tc>
          <w:tcPr>
            <w:tcW w:w="2835" w:type="dxa"/>
          </w:tcPr>
          <w:p w:rsidR="00450213" w:rsidRPr="002D21BA" w:rsidRDefault="00450213" w:rsidP="00450213">
            <w:pPr>
              <w:tabs>
                <w:tab w:val="left" w:pos="585"/>
                <w:tab w:val="left" w:pos="4368"/>
              </w:tabs>
              <w:spacing w:before="6" w:after="6"/>
            </w:pPr>
          </w:p>
        </w:tc>
        <w:tc>
          <w:tcPr>
            <w:tcW w:w="3544" w:type="dxa"/>
          </w:tcPr>
          <w:p w:rsidR="00450213" w:rsidRPr="002D21BA" w:rsidRDefault="00450213" w:rsidP="00450213">
            <w:pPr>
              <w:spacing w:before="6" w:after="6"/>
            </w:pPr>
          </w:p>
        </w:tc>
      </w:tr>
      <w:tr w:rsidR="00450213" w:rsidRPr="002D21BA" w:rsidTr="007E6A03">
        <w:tc>
          <w:tcPr>
            <w:tcW w:w="2835" w:type="dxa"/>
          </w:tcPr>
          <w:p w:rsidR="00450213" w:rsidRPr="002D21BA" w:rsidRDefault="00450213" w:rsidP="00450213">
            <w:pPr>
              <w:keepNext/>
              <w:keepLines/>
              <w:tabs>
                <w:tab w:val="left" w:pos="585"/>
                <w:tab w:val="left" w:pos="4368"/>
              </w:tabs>
              <w:spacing w:before="6" w:after="6"/>
              <w:rPr>
                <w:b/>
                <w:bCs/>
              </w:rPr>
            </w:pPr>
            <w:r w:rsidRPr="002D21BA">
              <w:rPr>
                <w:b/>
                <w:bCs/>
              </w:rPr>
              <w:t>4.</w:t>
            </w:r>
            <w:r w:rsidRPr="002D21BA">
              <w:rPr>
                <w:b/>
                <w:bCs/>
              </w:rPr>
              <w:tab/>
              <w:t>Box 10:</w:t>
            </w:r>
          </w:p>
        </w:tc>
        <w:tc>
          <w:tcPr>
            <w:tcW w:w="3544" w:type="dxa"/>
          </w:tcPr>
          <w:p w:rsidR="00450213" w:rsidRPr="002D21BA" w:rsidRDefault="00450213" w:rsidP="00450213">
            <w:pPr>
              <w:keepNext/>
              <w:keepLines/>
              <w:tabs>
                <w:tab w:val="left" w:pos="585"/>
                <w:tab w:val="left" w:pos="4368"/>
              </w:tabs>
              <w:spacing w:before="6" w:after="6"/>
              <w:rPr>
                <w:b/>
                <w:bCs/>
              </w:rPr>
            </w:pPr>
            <w:r w:rsidRPr="002D21BA">
              <w:rPr>
                <w:b/>
              </w:rPr>
              <w:t>Substance to be considered in this class</w:t>
            </w:r>
          </w:p>
        </w:tc>
      </w:tr>
      <w:tr w:rsidR="00450213" w:rsidRPr="002D21BA" w:rsidTr="007E6A03">
        <w:tc>
          <w:tcPr>
            <w:tcW w:w="2835" w:type="dxa"/>
          </w:tcPr>
          <w:p w:rsidR="00450213" w:rsidRPr="002D21BA" w:rsidRDefault="00450213" w:rsidP="00450213">
            <w:pPr>
              <w:tabs>
                <w:tab w:val="left" w:pos="585"/>
                <w:tab w:val="left" w:pos="4368"/>
              </w:tabs>
              <w:spacing w:before="6" w:after="6"/>
            </w:pPr>
          </w:p>
        </w:tc>
        <w:tc>
          <w:tcPr>
            <w:tcW w:w="3544" w:type="dxa"/>
          </w:tcPr>
          <w:p w:rsidR="00450213" w:rsidRPr="002D21BA" w:rsidRDefault="00450213" w:rsidP="00450213">
            <w:pPr>
              <w:spacing w:before="6" w:after="6"/>
            </w:pPr>
          </w:p>
        </w:tc>
      </w:tr>
      <w:tr w:rsidR="00450213" w:rsidRPr="002D21BA" w:rsidTr="007E6A03">
        <w:tc>
          <w:tcPr>
            <w:tcW w:w="2835" w:type="dxa"/>
          </w:tcPr>
          <w:p w:rsidR="00450213" w:rsidRPr="002D21BA" w:rsidRDefault="00450213" w:rsidP="00450213">
            <w:pPr>
              <w:keepNext/>
              <w:keepLines/>
              <w:tabs>
                <w:tab w:val="left" w:pos="585"/>
                <w:tab w:val="left" w:pos="4368"/>
              </w:tabs>
              <w:spacing w:before="6" w:after="6"/>
              <w:rPr>
                <w:b/>
                <w:bCs/>
              </w:rPr>
            </w:pPr>
            <w:r w:rsidRPr="002D21BA">
              <w:rPr>
                <w:b/>
                <w:bCs/>
              </w:rPr>
              <w:lastRenderedPageBreak/>
              <w:t>5.</w:t>
            </w:r>
            <w:r w:rsidRPr="002D21BA">
              <w:rPr>
                <w:b/>
                <w:bCs/>
              </w:rPr>
              <w:tab/>
              <w:t>Box 11:</w:t>
            </w:r>
          </w:p>
        </w:tc>
        <w:tc>
          <w:tcPr>
            <w:tcW w:w="3544" w:type="dxa"/>
          </w:tcPr>
          <w:p w:rsidR="00450213" w:rsidRPr="002D21BA" w:rsidRDefault="00450213" w:rsidP="00450213">
            <w:pPr>
              <w:keepNext/>
              <w:keepLines/>
              <w:tabs>
                <w:tab w:val="left" w:pos="585"/>
                <w:tab w:val="left" w:pos="4368"/>
              </w:tabs>
              <w:spacing w:before="6" w:after="6"/>
              <w:rPr>
                <w:b/>
                <w:bCs/>
              </w:rPr>
            </w:pPr>
            <w:r w:rsidRPr="002D21BA">
              <w:t>Test Series 3</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5.1</w:t>
            </w:r>
            <w:r w:rsidRPr="002D21BA">
              <w:tab/>
              <w:t>Thermal stability:</w:t>
            </w:r>
          </w:p>
        </w:tc>
        <w:tc>
          <w:tcPr>
            <w:tcW w:w="3544" w:type="dxa"/>
          </w:tcPr>
          <w:p w:rsidR="00450213" w:rsidRPr="002D21BA" w:rsidRDefault="00450213" w:rsidP="00450213">
            <w:pPr>
              <w:keepNext/>
              <w:keepLines/>
              <w:tabs>
                <w:tab w:val="left" w:pos="585"/>
                <w:tab w:val="left" w:pos="4368"/>
              </w:tabs>
              <w:spacing w:before="6" w:after="6"/>
            </w:pPr>
            <w:r w:rsidRPr="002D21BA">
              <w:t>75 °C/48 hour test (test 3 (c))</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5.2</w:t>
            </w:r>
            <w:r w:rsidRPr="002D21BA">
              <w:tab/>
              <w:t>Sample conditions:</w:t>
            </w:r>
          </w:p>
        </w:tc>
        <w:tc>
          <w:tcPr>
            <w:tcW w:w="3544" w:type="dxa"/>
          </w:tcPr>
          <w:p w:rsidR="00450213" w:rsidRPr="002D21BA" w:rsidRDefault="00450213" w:rsidP="00450213">
            <w:pPr>
              <w:spacing w:before="6" w:after="6"/>
            </w:pPr>
            <w:r w:rsidRPr="002D21BA">
              <w:t>100 g of substance at 75 °C</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5.3</w:t>
            </w:r>
            <w:r w:rsidRPr="002D21BA">
              <w:tab/>
              <w:t>Observations:</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No ignition, explosion, self-heating or visible decomposition</w:t>
            </w:r>
          </w:p>
        </w:tc>
      </w:tr>
      <w:tr w:rsidR="00450213" w:rsidRPr="002D21BA" w:rsidTr="007E6A03">
        <w:tc>
          <w:tcPr>
            <w:tcW w:w="2835" w:type="dxa"/>
          </w:tcPr>
          <w:p w:rsidR="00450213" w:rsidRPr="002D21BA" w:rsidRDefault="00450213" w:rsidP="00450213">
            <w:pPr>
              <w:tabs>
                <w:tab w:val="left" w:pos="585"/>
                <w:tab w:val="left" w:pos="4368"/>
              </w:tabs>
              <w:spacing w:before="6" w:after="6"/>
            </w:pPr>
            <w:r w:rsidRPr="002D21BA">
              <w:t>5.4</w:t>
            </w:r>
            <w:r w:rsidRPr="002D21BA">
              <w:tab/>
              <w:t>Result:</w:t>
            </w:r>
          </w:p>
        </w:tc>
        <w:tc>
          <w:tcPr>
            <w:tcW w:w="3544" w:type="dxa"/>
          </w:tcPr>
          <w:p w:rsidR="00450213" w:rsidRPr="002D21BA" w:rsidRDefault="00450213" w:rsidP="00450213">
            <w:pPr>
              <w:tabs>
                <w:tab w:val="left" w:pos="585"/>
                <w:tab w:val="left" w:pos="4368"/>
              </w:tabs>
              <w:spacing w:before="6" w:after="6"/>
            </w:pPr>
            <w:r w:rsidRPr="002D21BA">
              <w:t>"-", thermally stable</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5.5</w:t>
            </w:r>
            <w:r w:rsidRPr="002D21BA">
              <w:tab/>
              <w:t>Impact sensitivity:</w:t>
            </w:r>
          </w:p>
        </w:tc>
        <w:tc>
          <w:tcPr>
            <w:tcW w:w="3544" w:type="dxa"/>
          </w:tcPr>
          <w:p w:rsidR="00450213" w:rsidRPr="002D21BA" w:rsidRDefault="00450213" w:rsidP="00450213">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BAM fallhammer test (test 3 (a) (ii))</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5.6</w:t>
            </w:r>
            <w:r w:rsidRPr="002D21BA">
              <w:tab/>
              <w:t>Sample conditions:</w:t>
            </w:r>
          </w:p>
        </w:tc>
        <w:tc>
          <w:tcPr>
            <w:tcW w:w="3544" w:type="dxa"/>
          </w:tcPr>
          <w:p w:rsidR="00450213" w:rsidRPr="002D21BA" w:rsidRDefault="00450213" w:rsidP="00450213">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as received</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5.7</w:t>
            </w:r>
            <w:r w:rsidRPr="002D21BA">
              <w:tab/>
              <w:t>Observations:</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Limiting impact energy 5 J</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5.8</w:t>
            </w:r>
            <w:r w:rsidRPr="002D21BA">
              <w:tab/>
              <w:t>Result:</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 not unstable in </w:t>
            </w:r>
            <w:r>
              <w:t xml:space="preserve">the </w:t>
            </w:r>
            <w:r w:rsidRPr="002D21BA">
              <w:t xml:space="preserve">form </w:t>
            </w:r>
            <w:r>
              <w:t xml:space="preserve">it was </w:t>
            </w:r>
            <w:r w:rsidRPr="002D21BA">
              <w:t>tested</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5.9</w:t>
            </w:r>
            <w:r w:rsidRPr="002D21BA">
              <w:tab/>
              <w:t>Friction sensitivity:</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BAM friction test (test 3 (b) (i))</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5.10</w:t>
            </w:r>
            <w:r w:rsidRPr="002D21BA">
              <w:tab/>
              <w:t>Sample conditions:</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as received</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5.11</w:t>
            </w:r>
            <w:r w:rsidRPr="002D21BA">
              <w:tab/>
              <w:t>Observations:</w:t>
            </w:r>
          </w:p>
        </w:tc>
        <w:tc>
          <w:tcPr>
            <w:tcW w:w="3544" w:type="dxa"/>
          </w:tcPr>
          <w:p w:rsidR="00450213" w:rsidRPr="002D21BA" w:rsidRDefault="00E26FF8"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t xml:space="preserve">Limiting load &gt; 240 </w:t>
            </w:r>
            <w:r w:rsidR="00450213" w:rsidRPr="002D21BA">
              <w:t>N</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5.12</w:t>
            </w:r>
            <w:r w:rsidRPr="002D21BA">
              <w:tab/>
              <w:t>Result:</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 not unstable </w:t>
            </w:r>
            <w:r w:rsidRPr="002A3CA8">
              <w:rPr>
                <w:color w:val="000000" w:themeColor="text1"/>
              </w:rPr>
              <w:t xml:space="preserve">in </w:t>
            </w:r>
            <w:r>
              <w:rPr>
                <w:color w:val="000000" w:themeColor="text1"/>
              </w:rPr>
              <w:t xml:space="preserve">the </w:t>
            </w:r>
            <w:r w:rsidRPr="002A3CA8">
              <w:rPr>
                <w:color w:val="000000" w:themeColor="text1"/>
              </w:rPr>
              <w:t xml:space="preserve">form </w:t>
            </w:r>
            <w:r>
              <w:rPr>
                <w:color w:val="000000" w:themeColor="text1"/>
              </w:rPr>
              <w:t xml:space="preserve">it was </w:t>
            </w:r>
            <w:r w:rsidRPr="002A3CA8">
              <w:rPr>
                <w:color w:val="000000" w:themeColor="text1"/>
              </w:rPr>
              <w:t>tested</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567" w:hanging="567"/>
            </w:pPr>
            <w:r w:rsidRPr="002D21BA">
              <w:t>5.13</w:t>
            </w:r>
            <w:r w:rsidRPr="002D21BA">
              <w:tab/>
              <w:t>Ease of deflagration to detonation transition</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Small scale burning test (test 3 (d))</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5.14</w:t>
            </w:r>
            <w:r w:rsidRPr="002D21BA">
              <w:tab/>
              <w:t>Sample conditions:</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Ambient temperature</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5.15</w:t>
            </w:r>
            <w:r w:rsidRPr="002D21BA">
              <w:tab/>
              <w:t>Observations:</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Ignites and burns </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5.16</w:t>
            </w:r>
            <w:r w:rsidRPr="002D21BA">
              <w:tab/>
              <w:t>Result:</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 not unstable in </w:t>
            </w:r>
            <w:r>
              <w:t xml:space="preserve">the </w:t>
            </w:r>
            <w:r w:rsidRPr="002D21BA">
              <w:t xml:space="preserve">form </w:t>
            </w:r>
            <w:r>
              <w:t xml:space="preserve">it was </w:t>
            </w:r>
            <w:r w:rsidRPr="002D21BA">
              <w:t>tested</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5.17</w:t>
            </w:r>
            <w:r w:rsidRPr="002D21BA">
              <w:tab/>
              <w:t>Exit:</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Go to box 12</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rPr>
                <w:b/>
                <w:bCs/>
              </w:rPr>
              <w:t>6.</w:t>
            </w:r>
            <w:r w:rsidRPr="002D21BA">
              <w:rPr>
                <w:b/>
                <w:bCs/>
              </w:rPr>
              <w:tab/>
              <w:t>Box 12:</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Is it thermally stable?</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rPr>
            </w:pPr>
            <w:r w:rsidRPr="002D21BA">
              <w:t>6.1</w:t>
            </w:r>
            <w:r w:rsidRPr="002D21BA">
              <w:tab/>
              <w:t>Answer from test 3(c):</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Yes</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6.2</w:t>
            </w:r>
            <w:r w:rsidRPr="002D21BA">
              <w:tab/>
              <w:t>Exit:</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Go to box 13</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rPr>
                <w:b/>
                <w:bCs/>
              </w:rPr>
              <w:t>7.</w:t>
            </w:r>
            <w:r w:rsidRPr="002D21BA">
              <w:rPr>
                <w:b/>
                <w:bCs/>
              </w:rPr>
              <w:tab/>
              <w:t>Box 13:</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Is it unstable in the form it was tested?</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rPr>
            </w:pPr>
            <w:r w:rsidRPr="002D21BA">
              <w:t>7.1</w:t>
            </w:r>
            <w:r w:rsidRPr="002D21BA">
              <w:tab/>
              <w:t>Answer from Test Series 3:</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No</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7.2</w:t>
            </w:r>
            <w:r w:rsidRPr="002D21BA">
              <w:tab/>
              <w:t>Exit:</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Go to box 19</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rPr>
                <w:b/>
                <w:bCs/>
              </w:rPr>
              <w:t>8.</w:t>
            </w:r>
            <w:r w:rsidRPr="002D21BA">
              <w:rPr>
                <w:b/>
                <w:bCs/>
              </w:rPr>
              <w:tab/>
              <w:t>Conclusion:</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PROVISIONALLY ACCEPT INTO THIS CLASS </w:t>
            </w:r>
          </w:p>
        </w:tc>
      </w:tr>
      <w:tr w:rsidR="00450213" w:rsidRPr="002D21BA" w:rsidTr="007E6A03">
        <w:tc>
          <w:tcPr>
            <w:tcW w:w="2835" w:type="dxa"/>
          </w:tcPr>
          <w:p w:rsidR="00450213" w:rsidRPr="002D21BA" w:rsidRDefault="00450213" w:rsidP="00450213">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rPr>
            </w:pPr>
            <w:r w:rsidRPr="002D21BA">
              <w:t>8.1</w:t>
            </w:r>
            <w:r w:rsidRPr="002D21BA">
              <w:tab/>
              <w:t>Exit:</w:t>
            </w:r>
          </w:p>
        </w:tc>
        <w:tc>
          <w:tcPr>
            <w:tcW w:w="3544" w:type="dxa"/>
          </w:tcPr>
          <w:p w:rsidR="00450213" w:rsidRPr="002D21BA" w:rsidRDefault="00450213" w:rsidP="0045021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Apply procedure for assignment to a division of the class of explosives</w:t>
            </w:r>
          </w:p>
        </w:tc>
      </w:tr>
    </w:tbl>
    <w:p w:rsidR="00450213" w:rsidRDefault="00450213" w:rsidP="00450213">
      <w:pPr>
        <w:pStyle w:val="SingleTxtG"/>
        <w:ind w:left="2268" w:hanging="1134"/>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950C40"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450213"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r>
        <w:rPr>
          <w:b/>
          <w:bCs/>
          <w:szCs w:val="22"/>
        </w:rPr>
        <w:lastRenderedPageBreak/>
        <w:t>“</w:t>
      </w:r>
      <w:r w:rsidR="00450213" w:rsidRPr="00893711">
        <w:rPr>
          <w:b/>
          <w:bCs/>
          <w:szCs w:val="22"/>
        </w:rPr>
        <w:t>Figure 10.6 (b):</w:t>
      </w:r>
      <w:r w:rsidR="00450213" w:rsidRPr="00893711">
        <w:rPr>
          <w:b/>
          <w:bCs/>
          <w:szCs w:val="22"/>
        </w:rPr>
        <w:tab/>
      </w:r>
      <w:r w:rsidR="00450213">
        <w:rPr>
          <w:b/>
          <w:bCs/>
          <w:szCs w:val="22"/>
        </w:rPr>
        <w:t xml:space="preserve"> </w:t>
      </w:r>
      <w:r w:rsidR="00450213">
        <w:rPr>
          <w:b/>
          <w:bCs/>
          <w:szCs w:val="22"/>
        </w:rPr>
        <w:br/>
      </w:r>
      <w:r w:rsidR="00450213" w:rsidRPr="00893711">
        <w:rPr>
          <w:b/>
          <w:bCs/>
          <w:szCs w:val="22"/>
        </w:rPr>
        <w:t>FLOW CHART FOR THE PROVISIONAL ACCEPTANCE OF HEXANITROSTILBENE</w:t>
      </w:r>
      <w:r w:rsidR="00450213" w:rsidRPr="00893711" w:rsidDel="00CB143B">
        <w:rPr>
          <w:b/>
          <w:bCs/>
          <w:szCs w:val="22"/>
        </w:rPr>
        <w:t xml:space="preserve"> </w:t>
      </w:r>
      <w:r w:rsidR="00450213" w:rsidRPr="00893711">
        <w:rPr>
          <w:b/>
          <w:bCs/>
          <w:szCs w:val="22"/>
        </w:rPr>
        <w:t>IN THE CLASS OF EXPLOSIVES</w:t>
      </w:r>
    </w:p>
    <w:p w:rsidR="00950C40" w:rsidRPr="00893711" w:rsidRDefault="00950C40" w:rsidP="00450213">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p>
    <w:p w:rsidR="00450213" w:rsidRDefault="00450213" w:rsidP="00450213">
      <w:pPr>
        <w:pStyle w:val="SingleTxtG"/>
        <w:ind w:left="2268" w:hanging="1134"/>
      </w:pPr>
      <w:r>
        <w:object w:dxaOrig="8836" w:dyaOrig="11521">
          <v:shape id="_x0000_i1030" type="#_x0000_t75" style="width:440.4pt;height:8in" o:ole="">
            <v:imagedata r:id="rId19" o:title=""/>
          </v:shape>
          <o:OLEObject Type="Embed" ProgID="Visio.Drawing.15" ShapeID="_x0000_i1030" DrawAspect="Content" ObjectID="_1598361713" r:id="rId20"/>
        </w:object>
      </w:r>
    </w:p>
    <w:p w:rsidR="00450213" w:rsidRDefault="00950C40" w:rsidP="00450213">
      <w:pPr>
        <w:pStyle w:val="SingleTxtG"/>
        <w:ind w:left="2268"/>
      </w:pPr>
      <w:r>
        <w:t>”</w:t>
      </w:r>
    </w:p>
    <w:tbl>
      <w:tblPr>
        <w:tblW w:w="6378" w:type="dxa"/>
        <w:jc w:val="center"/>
        <w:tblLayout w:type="fixed"/>
        <w:tblCellMar>
          <w:left w:w="70" w:type="dxa"/>
          <w:right w:w="70" w:type="dxa"/>
        </w:tblCellMar>
        <w:tblLook w:val="0000" w:firstRow="0" w:lastRow="0" w:firstColumn="0" w:lastColumn="0" w:noHBand="0" w:noVBand="0"/>
      </w:tblPr>
      <w:tblGrid>
        <w:gridCol w:w="3828"/>
        <w:gridCol w:w="2550"/>
      </w:tblGrid>
      <w:tr w:rsidR="00CE5EDB" w:rsidRPr="00893711" w:rsidTr="00A413DC">
        <w:trPr>
          <w:jc w:val="center"/>
        </w:trPr>
        <w:tc>
          <w:tcPr>
            <w:tcW w:w="6378" w:type="dxa"/>
            <w:gridSpan w:val="2"/>
          </w:tcPr>
          <w:p w:rsidR="00CE5EDB" w:rsidRPr="00893711" w:rsidRDefault="00950C40" w:rsidP="004631AC">
            <w:pPr>
              <w:tabs>
                <w:tab w:val="left" w:pos="540"/>
              </w:tabs>
              <w:spacing w:before="6" w:after="120" w:line="240" w:lineRule="auto"/>
              <w:ind w:left="-74"/>
              <w:jc w:val="center"/>
            </w:pPr>
            <w:r>
              <w:rPr>
                <w:b/>
                <w:bCs/>
              </w:rPr>
              <w:lastRenderedPageBreak/>
              <w:t>“</w:t>
            </w:r>
            <w:r w:rsidR="00CE5EDB" w:rsidRPr="00893711">
              <w:rPr>
                <w:b/>
                <w:bCs/>
              </w:rPr>
              <w:t>Figure 10.6 (c):</w:t>
            </w:r>
            <w:r w:rsidR="00CE5EDB">
              <w:rPr>
                <w:b/>
                <w:bCs/>
              </w:rPr>
              <w:br/>
            </w:r>
            <w:r w:rsidR="00CE5EDB" w:rsidRPr="00893711">
              <w:rPr>
                <w:b/>
                <w:bCs/>
              </w:rPr>
              <w:t>RESULTS FROM APPLICATION OF THE PROCEDURE</w:t>
            </w:r>
            <w:r w:rsidR="00CE5EDB" w:rsidRPr="00893711">
              <w:t xml:space="preserve"> </w:t>
            </w:r>
            <w:r w:rsidR="00CE5EDB" w:rsidRPr="00893711">
              <w:rPr>
                <w:b/>
              </w:rPr>
              <w:t xml:space="preserve">FOR </w:t>
            </w:r>
            <w:r w:rsidR="00CE5EDB" w:rsidRPr="00893711">
              <w:rPr>
                <w:b/>
                <w:bCs/>
              </w:rPr>
              <w:t>ASSIGNMENT TO A DIVISION OF THE CLASS OF EXPLOSIVES (FIGURE 10.3) TO HEXANITROSTILBENE</w:t>
            </w:r>
          </w:p>
        </w:tc>
      </w:tr>
      <w:tr w:rsidR="00CE5EDB" w:rsidRPr="00893711" w:rsidTr="00A413DC">
        <w:trPr>
          <w:jc w:val="center"/>
        </w:trPr>
        <w:tc>
          <w:tcPr>
            <w:tcW w:w="3828" w:type="dxa"/>
          </w:tcPr>
          <w:p w:rsidR="00CE5EDB" w:rsidRPr="00893711" w:rsidRDefault="00CE5EDB" w:rsidP="004631AC">
            <w:pPr>
              <w:tabs>
                <w:tab w:val="left" w:pos="269"/>
                <w:tab w:val="left" w:pos="4140"/>
              </w:tabs>
              <w:spacing w:before="6" w:after="6"/>
              <w:ind w:left="-73"/>
            </w:pPr>
            <w:r w:rsidRPr="00893711">
              <w:rPr>
                <w:b/>
                <w:bCs/>
              </w:rPr>
              <w:t>1.Box 26:</w:t>
            </w:r>
          </w:p>
        </w:tc>
        <w:tc>
          <w:tcPr>
            <w:tcW w:w="2550" w:type="dxa"/>
          </w:tcPr>
          <w:p w:rsidR="00CE5EDB" w:rsidRPr="00893711" w:rsidRDefault="00CE5EDB" w:rsidP="004631AC">
            <w:pPr>
              <w:tabs>
                <w:tab w:val="left" w:pos="540"/>
              </w:tabs>
              <w:spacing w:before="6" w:after="6"/>
              <w:ind w:left="-73"/>
            </w:pPr>
            <w:r w:rsidRPr="00893711">
              <w:t>Is the substance a candidate for Division 1.5?</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1.1</w:t>
            </w:r>
            <w:r>
              <w:t xml:space="preserve"> </w:t>
            </w:r>
            <w:r w:rsidRPr="00893711">
              <w:t>Answer:</w:t>
            </w:r>
          </w:p>
        </w:tc>
        <w:tc>
          <w:tcPr>
            <w:tcW w:w="2550" w:type="dxa"/>
          </w:tcPr>
          <w:p w:rsidR="00CE5EDB" w:rsidRPr="00893711" w:rsidRDefault="00CE5EDB" w:rsidP="004631AC">
            <w:pPr>
              <w:tabs>
                <w:tab w:val="left" w:pos="540"/>
                <w:tab w:val="left" w:pos="4140"/>
              </w:tabs>
              <w:spacing w:before="6" w:after="6"/>
              <w:ind w:left="-73"/>
            </w:pPr>
            <w:r w:rsidRPr="00893711">
              <w:t>No</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1.2</w:t>
            </w:r>
            <w:r>
              <w:t xml:space="preserve"> </w:t>
            </w:r>
            <w:r w:rsidRPr="00893711">
              <w:t>Result:</w:t>
            </w:r>
          </w:p>
        </w:tc>
        <w:tc>
          <w:tcPr>
            <w:tcW w:w="2550" w:type="dxa"/>
          </w:tcPr>
          <w:p w:rsidR="00CE5EDB" w:rsidRPr="00893711" w:rsidRDefault="00CE5EDB" w:rsidP="004631AC">
            <w:pPr>
              <w:tabs>
                <w:tab w:val="left" w:pos="540"/>
                <w:tab w:val="left" w:pos="4140"/>
              </w:tabs>
              <w:spacing w:before="6" w:after="6"/>
              <w:ind w:left="-73"/>
            </w:pPr>
            <w:r w:rsidRPr="00893711">
              <w:t>Package the substance (box 30)</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1.3</w:t>
            </w:r>
            <w:r>
              <w:t xml:space="preserve"> </w:t>
            </w:r>
            <w:r w:rsidRPr="00893711">
              <w:t>Exit:</w:t>
            </w:r>
          </w:p>
        </w:tc>
        <w:tc>
          <w:tcPr>
            <w:tcW w:w="2550" w:type="dxa"/>
          </w:tcPr>
          <w:p w:rsidR="00CE5EDB" w:rsidRPr="00893711" w:rsidRDefault="00CE5EDB" w:rsidP="004631AC">
            <w:pPr>
              <w:tabs>
                <w:tab w:val="left" w:pos="540"/>
                <w:tab w:val="left" w:pos="4140"/>
              </w:tabs>
              <w:spacing w:before="6" w:after="6"/>
              <w:ind w:left="-73"/>
            </w:pPr>
            <w:r w:rsidRPr="00893711">
              <w:t>Go to box 31</w:t>
            </w:r>
          </w:p>
        </w:tc>
      </w:tr>
      <w:tr w:rsidR="00CE5EDB" w:rsidRPr="00893711" w:rsidTr="00A413DC">
        <w:trPr>
          <w:jc w:val="center"/>
        </w:trPr>
        <w:tc>
          <w:tcPr>
            <w:tcW w:w="3828" w:type="dxa"/>
          </w:tcPr>
          <w:p w:rsidR="00CE5EDB" w:rsidRPr="00893711" w:rsidRDefault="00CE5EDB" w:rsidP="004631AC">
            <w:pPr>
              <w:tabs>
                <w:tab w:val="left" w:pos="279"/>
              </w:tabs>
              <w:ind w:left="-73"/>
            </w:pPr>
          </w:p>
        </w:tc>
        <w:tc>
          <w:tcPr>
            <w:tcW w:w="2550" w:type="dxa"/>
          </w:tcPr>
          <w:p w:rsidR="00CE5EDB" w:rsidRPr="00893711" w:rsidRDefault="00CE5EDB" w:rsidP="004631AC">
            <w:pPr>
              <w:ind w:left="-73"/>
            </w:pP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rPr>
                <w:b/>
                <w:bCs/>
              </w:rPr>
              <w:t>2.</w:t>
            </w:r>
            <w:r>
              <w:rPr>
                <w:b/>
                <w:bCs/>
              </w:rPr>
              <w:t xml:space="preserve"> </w:t>
            </w:r>
            <w:r w:rsidRPr="00893711">
              <w:rPr>
                <w:b/>
                <w:bCs/>
              </w:rPr>
              <w:t xml:space="preserve">Box </w:t>
            </w:r>
            <w:r w:rsidRPr="00893711">
              <w:rPr>
                <w:b/>
              </w:rPr>
              <w:t>31</w:t>
            </w:r>
            <w:r w:rsidRPr="00893711">
              <w:t>:</w:t>
            </w:r>
          </w:p>
        </w:tc>
        <w:tc>
          <w:tcPr>
            <w:tcW w:w="2550" w:type="dxa"/>
          </w:tcPr>
          <w:p w:rsidR="00CE5EDB" w:rsidRPr="00893711" w:rsidRDefault="00CE5EDB" w:rsidP="004631AC">
            <w:pPr>
              <w:tabs>
                <w:tab w:val="left" w:pos="540"/>
                <w:tab w:val="left" w:pos="4140"/>
              </w:tabs>
              <w:spacing w:before="6" w:after="6"/>
              <w:ind w:left="-73"/>
            </w:pPr>
            <w:r w:rsidRPr="00893711">
              <w:t>Test Series 6</w:t>
            </w:r>
          </w:p>
        </w:tc>
      </w:tr>
      <w:tr w:rsidR="00CE5EDB" w:rsidRPr="00893711" w:rsidTr="00A413DC">
        <w:trPr>
          <w:jc w:val="center"/>
        </w:trPr>
        <w:tc>
          <w:tcPr>
            <w:tcW w:w="3828" w:type="dxa"/>
          </w:tcPr>
          <w:p w:rsidR="00CE5EDB" w:rsidRPr="00893711" w:rsidRDefault="00CE5EDB" w:rsidP="004631AC">
            <w:pPr>
              <w:tabs>
                <w:tab w:val="left" w:pos="27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2.1</w:t>
            </w:r>
            <w:r>
              <w:t xml:space="preserve"> </w:t>
            </w:r>
            <w:r w:rsidRPr="00893711">
              <w:t>Effect of initiation in the package:</w:t>
            </w:r>
          </w:p>
        </w:tc>
        <w:tc>
          <w:tcPr>
            <w:tcW w:w="2550" w:type="dxa"/>
          </w:tcPr>
          <w:p w:rsidR="00CE5EDB" w:rsidRPr="00893711" w:rsidRDefault="00CE5EDB" w:rsidP="004631AC">
            <w:pPr>
              <w:tabs>
                <w:tab w:val="left" w:pos="540"/>
                <w:tab w:val="left" w:pos="4140"/>
              </w:tabs>
              <w:spacing w:before="6" w:after="6"/>
              <w:ind w:left="-73"/>
            </w:pPr>
            <w:r w:rsidRPr="00893711">
              <w:t>Test 6 (a) with detonator</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2.2</w:t>
            </w:r>
            <w:r>
              <w:t xml:space="preserve"> </w:t>
            </w:r>
            <w:r w:rsidRPr="00893711">
              <w:t>Sample conditions:</w:t>
            </w:r>
          </w:p>
        </w:tc>
        <w:tc>
          <w:tcPr>
            <w:tcW w:w="2550" w:type="dxa"/>
          </w:tcPr>
          <w:p w:rsidR="00CE5EDB" w:rsidRPr="00893711" w:rsidRDefault="00CE5EDB" w:rsidP="004631AC">
            <w:pPr>
              <w:tabs>
                <w:tab w:val="left" w:pos="540"/>
                <w:tab w:val="left" w:pos="4140"/>
              </w:tabs>
              <w:spacing w:before="6" w:after="6"/>
              <w:ind w:left="-73"/>
            </w:pPr>
            <w:r w:rsidRPr="00893711">
              <w:t>Ambient temperature, 50 kg fibreboard drum</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2.3</w:t>
            </w:r>
            <w:r>
              <w:t xml:space="preserve"> </w:t>
            </w:r>
            <w:r w:rsidRPr="00893711">
              <w:t>Observations:</w:t>
            </w:r>
          </w:p>
        </w:tc>
        <w:tc>
          <w:tcPr>
            <w:tcW w:w="2550" w:type="dxa"/>
          </w:tcPr>
          <w:p w:rsidR="00CE5EDB" w:rsidRPr="00893711" w:rsidRDefault="00CE5EDB" w:rsidP="004631AC">
            <w:pPr>
              <w:tabs>
                <w:tab w:val="left" w:pos="540"/>
                <w:tab w:val="left" w:pos="4140"/>
              </w:tabs>
              <w:spacing w:before="6" w:after="6"/>
              <w:ind w:left="-73"/>
            </w:pPr>
            <w:r w:rsidRPr="00893711">
              <w:t>Detonation, crater</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2.4</w:t>
            </w:r>
            <w:r>
              <w:t xml:space="preserve"> </w:t>
            </w:r>
            <w:r w:rsidRPr="00893711">
              <w:t>Result:</w:t>
            </w:r>
          </w:p>
        </w:tc>
        <w:tc>
          <w:tcPr>
            <w:tcW w:w="2550" w:type="dxa"/>
          </w:tcPr>
          <w:p w:rsidR="00CE5EDB" w:rsidRPr="00893711" w:rsidRDefault="00CE5EDB" w:rsidP="004631AC">
            <w:pPr>
              <w:tabs>
                <w:tab w:val="left" w:pos="540"/>
                <w:tab w:val="left" w:pos="4140"/>
              </w:tabs>
              <w:spacing w:before="6" w:after="6"/>
              <w:ind w:left="-73"/>
            </w:pPr>
            <w:r w:rsidRPr="00893711">
              <w:t>Mass explosion</w:t>
            </w:r>
          </w:p>
        </w:tc>
      </w:tr>
      <w:tr w:rsidR="00CE5EDB" w:rsidRPr="00893711" w:rsidTr="00A413DC">
        <w:trPr>
          <w:jc w:val="center"/>
        </w:trPr>
        <w:tc>
          <w:tcPr>
            <w:tcW w:w="3828" w:type="dxa"/>
          </w:tcPr>
          <w:p w:rsidR="00CE5EDB" w:rsidRPr="00893711" w:rsidRDefault="00CE5EDB" w:rsidP="004631AC">
            <w:pPr>
              <w:tabs>
                <w:tab w:val="left" w:pos="27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2.5</w:t>
            </w:r>
            <w:r>
              <w:t xml:space="preserve"> </w:t>
            </w:r>
            <w:r w:rsidRPr="00893711">
              <w:t>Effect of ignition between packages:</w:t>
            </w:r>
          </w:p>
        </w:tc>
        <w:tc>
          <w:tcPr>
            <w:tcW w:w="2550" w:type="dxa"/>
          </w:tcPr>
          <w:p w:rsidR="00CE5EDB" w:rsidRPr="00893711" w:rsidRDefault="00CE5EDB" w:rsidP="004631AC">
            <w:pPr>
              <w:tabs>
                <w:tab w:val="left" w:pos="426"/>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Test 6 (b) with detonator</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2.6</w:t>
            </w:r>
            <w:r>
              <w:t xml:space="preserve"> </w:t>
            </w:r>
            <w:r w:rsidRPr="00893711">
              <w:t>Sample conditions:</w:t>
            </w:r>
          </w:p>
        </w:tc>
        <w:tc>
          <w:tcPr>
            <w:tcW w:w="2550" w:type="dxa"/>
          </w:tcPr>
          <w:p w:rsidR="00CE5EDB" w:rsidRPr="00893711" w:rsidRDefault="00CE5EDB" w:rsidP="004631AC">
            <w:pPr>
              <w:tabs>
                <w:tab w:val="left" w:pos="540"/>
                <w:tab w:val="left" w:pos="4140"/>
              </w:tabs>
              <w:spacing w:before="6" w:after="6"/>
              <w:ind w:left="-73"/>
            </w:pPr>
            <w:r w:rsidRPr="00893711">
              <w:t>Ambient temperature, 3 fibreboard drums</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2.7</w:t>
            </w:r>
            <w:r>
              <w:t xml:space="preserve"> </w:t>
            </w:r>
            <w:r w:rsidRPr="00893711">
              <w:t>Observations:</w:t>
            </w:r>
          </w:p>
        </w:tc>
        <w:tc>
          <w:tcPr>
            <w:tcW w:w="2550" w:type="dxa"/>
          </w:tcPr>
          <w:p w:rsidR="00CE5EDB" w:rsidRPr="00893711" w:rsidRDefault="00CE5EDB" w:rsidP="004631AC">
            <w:pPr>
              <w:tabs>
                <w:tab w:val="left" w:pos="540"/>
                <w:tab w:val="left" w:pos="4140"/>
              </w:tabs>
              <w:spacing w:before="6" w:after="6"/>
              <w:ind w:left="-73"/>
            </w:pPr>
            <w:r w:rsidRPr="00893711">
              <w:t>Detonation, crater</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2.8</w:t>
            </w:r>
            <w:r>
              <w:t xml:space="preserve"> </w:t>
            </w:r>
            <w:r w:rsidRPr="00893711">
              <w:t>Result:</w:t>
            </w:r>
          </w:p>
        </w:tc>
        <w:tc>
          <w:tcPr>
            <w:tcW w:w="2550" w:type="dxa"/>
          </w:tcPr>
          <w:p w:rsidR="00CE5EDB" w:rsidRPr="00893711" w:rsidRDefault="00CE5EDB" w:rsidP="004631AC">
            <w:pPr>
              <w:tabs>
                <w:tab w:val="left" w:pos="540"/>
                <w:tab w:val="left" w:pos="4140"/>
              </w:tabs>
              <w:spacing w:before="6" w:after="6"/>
              <w:ind w:left="-73"/>
            </w:pPr>
            <w:r w:rsidRPr="00893711">
              <w:t>Mass explosion</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2.9</w:t>
            </w:r>
            <w:r>
              <w:t xml:space="preserve"> </w:t>
            </w:r>
            <w:r w:rsidRPr="00893711">
              <w:t>Effect of fire engulfment:</w:t>
            </w:r>
          </w:p>
        </w:tc>
        <w:tc>
          <w:tcPr>
            <w:tcW w:w="2550" w:type="dxa"/>
          </w:tcPr>
          <w:p w:rsidR="00CE5EDB" w:rsidRPr="00893711" w:rsidRDefault="00CE5EDB" w:rsidP="004631AC">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 xml:space="preserve">Test 6 (c) not required </w:t>
            </w:r>
          </w:p>
        </w:tc>
      </w:tr>
      <w:tr w:rsidR="00CE5EDB" w:rsidRPr="00893711" w:rsidTr="00A413DC">
        <w:trPr>
          <w:jc w:val="center"/>
        </w:trPr>
        <w:tc>
          <w:tcPr>
            <w:tcW w:w="3828" w:type="dxa"/>
          </w:tcPr>
          <w:p w:rsidR="00CE5EDB" w:rsidRPr="00893711" w:rsidRDefault="00CE5EDB" w:rsidP="004631AC">
            <w:pPr>
              <w:tabs>
                <w:tab w:val="left" w:pos="279"/>
                <w:tab w:val="left" w:pos="4140"/>
              </w:tabs>
              <w:ind w:left="-73"/>
            </w:pPr>
          </w:p>
        </w:tc>
        <w:tc>
          <w:tcPr>
            <w:tcW w:w="2550" w:type="dxa"/>
          </w:tcPr>
          <w:p w:rsidR="00CE5EDB" w:rsidRPr="00893711" w:rsidRDefault="00CE5EDB" w:rsidP="004631AC">
            <w:pPr>
              <w:tabs>
                <w:tab w:val="left" w:pos="540"/>
                <w:tab w:val="left" w:pos="4140"/>
              </w:tabs>
              <w:ind w:left="-73"/>
            </w:pP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rPr>
                <w:b/>
                <w:bCs/>
              </w:rPr>
              <w:t>3.</w:t>
            </w:r>
            <w:r>
              <w:rPr>
                <w:b/>
                <w:bCs/>
              </w:rPr>
              <w:t xml:space="preserve"> </w:t>
            </w:r>
            <w:r w:rsidRPr="00893711">
              <w:rPr>
                <w:b/>
                <w:bCs/>
              </w:rPr>
              <w:t>Box 32</w:t>
            </w:r>
            <w:r w:rsidRPr="00893711">
              <w:t>:</w:t>
            </w:r>
          </w:p>
        </w:tc>
        <w:tc>
          <w:tcPr>
            <w:tcW w:w="2550" w:type="dxa"/>
          </w:tcPr>
          <w:p w:rsidR="00CE5EDB" w:rsidRPr="00893711" w:rsidRDefault="00CE5EDB" w:rsidP="004631AC">
            <w:pPr>
              <w:tabs>
                <w:tab w:val="left" w:pos="540"/>
                <w:tab w:val="left" w:pos="4140"/>
              </w:tabs>
              <w:spacing w:before="6" w:after="6"/>
              <w:ind w:left="-73"/>
            </w:pPr>
            <w:r w:rsidRPr="00893711">
              <w:t>Is the result a mass explosion?</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3.1</w:t>
            </w:r>
            <w:r>
              <w:t xml:space="preserve"> </w:t>
            </w:r>
            <w:r w:rsidRPr="00893711">
              <w:t>Answer from Test Series 6</w:t>
            </w:r>
          </w:p>
        </w:tc>
        <w:tc>
          <w:tcPr>
            <w:tcW w:w="2550" w:type="dxa"/>
          </w:tcPr>
          <w:p w:rsidR="00CE5EDB" w:rsidRPr="00893711" w:rsidRDefault="00CE5EDB" w:rsidP="004631AC">
            <w:pPr>
              <w:tabs>
                <w:tab w:val="left" w:pos="540"/>
                <w:tab w:val="left" w:pos="4140"/>
              </w:tabs>
              <w:spacing w:before="6" w:after="6"/>
              <w:ind w:left="-73"/>
            </w:pPr>
            <w:r w:rsidRPr="00893711">
              <w:t>Yes</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r w:rsidRPr="00893711">
              <w:t>3.2</w:t>
            </w:r>
            <w:r>
              <w:t xml:space="preserve"> </w:t>
            </w:r>
            <w:r w:rsidRPr="00893711">
              <w:t>Exit</w:t>
            </w:r>
          </w:p>
        </w:tc>
        <w:tc>
          <w:tcPr>
            <w:tcW w:w="2550" w:type="dxa"/>
          </w:tcPr>
          <w:p w:rsidR="00CE5EDB" w:rsidRPr="00893711" w:rsidRDefault="00CE5EDB" w:rsidP="004631AC">
            <w:pPr>
              <w:tabs>
                <w:tab w:val="left" w:pos="540"/>
                <w:tab w:val="left" w:pos="4140"/>
              </w:tabs>
              <w:spacing w:before="6" w:after="6"/>
              <w:ind w:left="-73"/>
            </w:pPr>
            <w:r w:rsidRPr="00893711">
              <w:t>Go to box 44</w:t>
            </w:r>
          </w:p>
        </w:tc>
      </w:tr>
      <w:tr w:rsidR="00CE5EDB" w:rsidRPr="00893711" w:rsidTr="00A413DC">
        <w:trPr>
          <w:jc w:val="center"/>
        </w:trPr>
        <w:tc>
          <w:tcPr>
            <w:tcW w:w="3828" w:type="dxa"/>
          </w:tcPr>
          <w:p w:rsidR="00CE5EDB" w:rsidRPr="00893711" w:rsidRDefault="00CE5EDB" w:rsidP="004631AC">
            <w:pPr>
              <w:tabs>
                <w:tab w:val="left" w:pos="279"/>
                <w:tab w:val="left" w:pos="4140"/>
              </w:tabs>
              <w:spacing w:before="6" w:after="6"/>
              <w:ind w:left="-73"/>
            </w:pPr>
          </w:p>
        </w:tc>
        <w:tc>
          <w:tcPr>
            <w:tcW w:w="2550" w:type="dxa"/>
          </w:tcPr>
          <w:p w:rsidR="00CE5EDB" w:rsidRPr="00893711" w:rsidRDefault="00CE5EDB" w:rsidP="004631AC">
            <w:pPr>
              <w:tabs>
                <w:tab w:val="left" w:pos="540"/>
                <w:tab w:val="left" w:pos="4140"/>
              </w:tabs>
              <w:spacing w:before="6" w:after="6"/>
              <w:ind w:left="-73"/>
            </w:pPr>
          </w:p>
        </w:tc>
      </w:tr>
      <w:tr w:rsidR="00CE5EDB" w:rsidRPr="00893711" w:rsidTr="00A413DC">
        <w:trPr>
          <w:jc w:val="center"/>
        </w:trPr>
        <w:tc>
          <w:tcPr>
            <w:tcW w:w="3828" w:type="dxa"/>
          </w:tcPr>
          <w:p w:rsidR="00CE5EDB" w:rsidRPr="00893711" w:rsidRDefault="00CE5EDB" w:rsidP="004631AC">
            <w:pPr>
              <w:tabs>
                <w:tab w:val="left" w:pos="279"/>
                <w:tab w:val="left" w:pos="4140"/>
              </w:tabs>
              <w:ind w:left="-73"/>
            </w:pPr>
            <w:r w:rsidRPr="00893711">
              <w:rPr>
                <w:b/>
                <w:bCs/>
              </w:rPr>
              <w:t>4.</w:t>
            </w:r>
            <w:r>
              <w:rPr>
                <w:b/>
                <w:bCs/>
              </w:rPr>
              <w:t xml:space="preserve"> </w:t>
            </w:r>
            <w:r w:rsidRPr="00893711">
              <w:rPr>
                <w:b/>
                <w:bCs/>
              </w:rPr>
              <w:t>Conclusion</w:t>
            </w:r>
          </w:p>
        </w:tc>
        <w:tc>
          <w:tcPr>
            <w:tcW w:w="2550" w:type="dxa"/>
          </w:tcPr>
          <w:p w:rsidR="00CE5EDB" w:rsidRPr="00893711" w:rsidRDefault="00CE5EDB" w:rsidP="004631AC">
            <w:pPr>
              <w:tabs>
                <w:tab w:val="left" w:pos="540"/>
                <w:tab w:val="left" w:pos="4140"/>
              </w:tabs>
              <w:ind w:left="-73"/>
            </w:pPr>
            <w:r w:rsidRPr="00893711">
              <w:rPr>
                <w:bCs/>
              </w:rPr>
              <w:t>Assign to</w:t>
            </w:r>
            <w:r w:rsidRPr="00893711">
              <w:rPr>
                <w:b/>
                <w:bCs/>
              </w:rPr>
              <w:t xml:space="preserve"> </w:t>
            </w:r>
            <w:r w:rsidRPr="00893711">
              <w:rPr>
                <w:bCs/>
              </w:rPr>
              <w:t>Division 1.1</w:t>
            </w:r>
          </w:p>
        </w:tc>
      </w:tr>
    </w:tbl>
    <w:p w:rsidR="00216E16" w:rsidRDefault="00216E16" w:rsidP="004631AC">
      <w:pPr>
        <w:pStyle w:val="SingleTxtG"/>
        <w:rPr>
          <w:i/>
          <w:iCs/>
        </w:rPr>
      </w:pPr>
    </w:p>
    <w:p w:rsidR="00950C40" w:rsidRDefault="00950C40" w:rsidP="004631AC">
      <w:pPr>
        <w:pStyle w:val="SingleTxtG"/>
        <w:jc w:val="center"/>
        <w:rPr>
          <w:b/>
          <w:bCs/>
        </w:rPr>
      </w:pPr>
      <w:r>
        <w:rPr>
          <w:b/>
          <w:bCs/>
        </w:rPr>
        <w:t>”</w:t>
      </w:r>
    </w:p>
    <w:p w:rsidR="00950C40" w:rsidRDefault="00950C40" w:rsidP="004631AC">
      <w:pPr>
        <w:pStyle w:val="SingleTxtG"/>
        <w:jc w:val="center"/>
        <w:rPr>
          <w:b/>
          <w:bCs/>
        </w:rPr>
      </w:pPr>
    </w:p>
    <w:p w:rsidR="00950C40" w:rsidRDefault="00950C40" w:rsidP="004631AC">
      <w:pPr>
        <w:pStyle w:val="SingleTxtG"/>
        <w:jc w:val="center"/>
        <w:rPr>
          <w:b/>
          <w:bCs/>
        </w:rPr>
      </w:pPr>
    </w:p>
    <w:p w:rsidR="00950C40" w:rsidRDefault="00950C40" w:rsidP="004631AC">
      <w:pPr>
        <w:pStyle w:val="SingleTxtG"/>
        <w:jc w:val="center"/>
        <w:rPr>
          <w:b/>
          <w:bCs/>
        </w:rPr>
      </w:pPr>
    </w:p>
    <w:p w:rsidR="00950C40" w:rsidRDefault="00950C40" w:rsidP="004631AC">
      <w:pPr>
        <w:pStyle w:val="SingleTxtG"/>
        <w:jc w:val="center"/>
        <w:rPr>
          <w:b/>
          <w:bCs/>
        </w:rPr>
      </w:pPr>
    </w:p>
    <w:p w:rsidR="00950C40" w:rsidRDefault="00950C40" w:rsidP="004631AC">
      <w:pPr>
        <w:pStyle w:val="SingleTxtG"/>
        <w:jc w:val="center"/>
        <w:rPr>
          <w:b/>
          <w:bCs/>
        </w:rPr>
      </w:pPr>
    </w:p>
    <w:p w:rsidR="00950C40" w:rsidRDefault="00950C40" w:rsidP="004631AC">
      <w:pPr>
        <w:pStyle w:val="SingleTxtG"/>
        <w:jc w:val="center"/>
        <w:rPr>
          <w:b/>
          <w:bCs/>
        </w:rPr>
      </w:pPr>
    </w:p>
    <w:p w:rsidR="00950C40" w:rsidRDefault="00950C40" w:rsidP="004631AC">
      <w:pPr>
        <w:pStyle w:val="SingleTxtG"/>
        <w:jc w:val="center"/>
        <w:rPr>
          <w:b/>
          <w:bCs/>
        </w:rPr>
      </w:pPr>
    </w:p>
    <w:p w:rsidR="00950C40" w:rsidRDefault="00950C40" w:rsidP="004631AC">
      <w:pPr>
        <w:pStyle w:val="SingleTxtG"/>
        <w:jc w:val="center"/>
        <w:rPr>
          <w:b/>
          <w:bCs/>
        </w:rPr>
      </w:pPr>
    </w:p>
    <w:p w:rsidR="00950C40" w:rsidRDefault="00950C40" w:rsidP="004631AC">
      <w:pPr>
        <w:pStyle w:val="SingleTxtG"/>
        <w:jc w:val="center"/>
        <w:rPr>
          <w:b/>
          <w:bCs/>
        </w:rPr>
      </w:pPr>
    </w:p>
    <w:p w:rsidR="00950C40" w:rsidRDefault="00950C40" w:rsidP="004631AC">
      <w:pPr>
        <w:pStyle w:val="SingleTxtG"/>
        <w:jc w:val="center"/>
        <w:rPr>
          <w:b/>
          <w:bCs/>
        </w:rPr>
      </w:pPr>
    </w:p>
    <w:p w:rsidR="00950C40" w:rsidRDefault="00950C40" w:rsidP="004631AC">
      <w:pPr>
        <w:pStyle w:val="SingleTxtG"/>
        <w:jc w:val="center"/>
        <w:rPr>
          <w:b/>
          <w:bCs/>
        </w:rPr>
      </w:pPr>
    </w:p>
    <w:p w:rsidR="00950C40" w:rsidRDefault="00950C40" w:rsidP="004631AC">
      <w:pPr>
        <w:pStyle w:val="SingleTxtG"/>
        <w:jc w:val="center"/>
        <w:rPr>
          <w:b/>
          <w:bCs/>
        </w:rPr>
      </w:pPr>
    </w:p>
    <w:p w:rsidR="00CE5EDB" w:rsidRDefault="00950C40" w:rsidP="004631AC">
      <w:pPr>
        <w:pStyle w:val="SingleTxtG"/>
        <w:jc w:val="center"/>
        <w:rPr>
          <w:bCs/>
        </w:rPr>
      </w:pPr>
      <w:r>
        <w:rPr>
          <w:b/>
          <w:bCs/>
        </w:rPr>
        <w:lastRenderedPageBreak/>
        <w:t>“</w:t>
      </w:r>
      <w:r w:rsidR="00CE5EDB" w:rsidRPr="00893711">
        <w:rPr>
          <w:b/>
          <w:bCs/>
        </w:rPr>
        <w:t xml:space="preserve">Figure 10.6 (d): </w:t>
      </w:r>
      <w:r w:rsidR="00CE5EDB">
        <w:rPr>
          <w:b/>
          <w:bCs/>
        </w:rPr>
        <w:br/>
      </w:r>
      <w:r w:rsidR="00CE5EDB" w:rsidRPr="00893711">
        <w:rPr>
          <w:b/>
          <w:bCs/>
        </w:rPr>
        <w:t>FLOW CHART FOR ASSIGNMENT TO A DIVISION OF THE CLASS OF EXPLOSIVES OF HEXANITROSTILBENE</w:t>
      </w:r>
    </w:p>
    <w:p w:rsidR="00CE5EDB" w:rsidRPr="004631AC" w:rsidRDefault="00950C40" w:rsidP="004631AC">
      <w:pPr>
        <w:pStyle w:val="SingleTxtG"/>
        <w:jc w:val="center"/>
        <w:rPr>
          <w:i/>
          <w:iCs/>
        </w:rPr>
      </w:pPr>
      <w:r>
        <w:object w:dxaOrig="10740" w:dyaOrig="14236">
          <v:shape id="_x0000_i1031" type="#_x0000_t75" style="width:428.75pt;height:568.5pt" o:ole="">
            <v:imagedata r:id="rId21" o:title=""/>
          </v:shape>
          <o:OLEObject Type="Embed" ProgID="Visio.Drawing.15" ShapeID="_x0000_i1031" DrawAspect="Content" ObjectID="_1598361714" r:id="rId22"/>
        </w:object>
      </w:r>
    </w:p>
    <w:p w:rsidR="00950C40" w:rsidRDefault="00950C40" w:rsidP="00CE5EDB">
      <w:pPr>
        <w:ind w:left="1134" w:right="1134"/>
      </w:pPr>
      <w:r>
        <w:t>”</w:t>
      </w:r>
    </w:p>
    <w:p w:rsidR="00CE5EDB" w:rsidRDefault="00DE0726" w:rsidP="00CE5EDB">
      <w:pPr>
        <w:ind w:left="1134" w:right="1134"/>
      </w:pPr>
      <w:r>
        <w:lastRenderedPageBreak/>
        <w:tab/>
      </w:r>
      <w:r w:rsidR="00CE5EDB" w:rsidRPr="009F058B">
        <w:rPr>
          <w:rStyle w:val="SingleTxtGChar"/>
        </w:rPr>
        <w:t>Figure 10.7 (a)</w:t>
      </w:r>
      <w:r w:rsidR="00CE5EDB" w:rsidRPr="009F058B">
        <w:rPr>
          <w:rStyle w:val="SingleTxtGChar"/>
        </w:rPr>
        <w:tab/>
        <w:t xml:space="preserve">Current Figure 10.6 becomes Figure 10.7(a), as amended to read as follows: </w:t>
      </w:r>
    </w:p>
    <w:tbl>
      <w:tblPr>
        <w:tblW w:w="6379" w:type="dxa"/>
        <w:tblInd w:w="1631" w:type="dxa"/>
        <w:tblCellMar>
          <w:left w:w="70" w:type="dxa"/>
          <w:right w:w="70" w:type="dxa"/>
        </w:tblCellMar>
        <w:tblLook w:val="0000" w:firstRow="0" w:lastRow="0" w:firstColumn="0" w:lastColumn="0" w:noHBand="0" w:noVBand="0"/>
      </w:tblPr>
      <w:tblGrid>
        <w:gridCol w:w="2835"/>
        <w:gridCol w:w="3544"/>
      </w:tblGrid>
      <w:tr w:rsidR="00CE5EDB" w:rsidRPr="002A3CA8" w:rsidTr="00A413DC">
        <w:trPr>
          <w:tblHeader/>
        </w:trPr>
        <w:tc>
          <w:tcPr>
            <w:tcW w:w="6379" w:type="dxa"/>
            <w:gridSpan w:val="2"/>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spacing w:after="120"/>
              <w:jc w:val="center"/>
              <w:rPr>
                <w:color w:val="000000" w:themeColor="text1"/>
              </w:rPr>
            </w:pPr>
            <w:bookmarkStart w:id="16" w:name="_Hlk522785593"/>
            <w:r>
              <w:rPr>
                <w:b/>
                <w:bCs/>
                <w:color w:val="000000" w:themeColor="text1"/>
              </w:rPr>
              <w:t>“</w:t>
            </w:r>
            <w:r w:rsidRPr="002A3CA8">
              <w:rPr>
                <w:b/>
                <w:bCs/>
                <w:color w:val="000000" w:themeColor="text1"/>
              </w:rPr>
              <w:t>Figure 10.7  (a):</w:t>
            </w:r>
            <w:r>
              <w:rPr>
                <w:b/>
                <w:bCs/>
                <w:color w:val="000000" w:themeColor="text1"/>
              </w:rPr>
              <w:br/>
            </w:r>
            <w:r w:rsidRPr="002A3CA8">
              <w:rPr>
                <w:b/>
                <w:bCs/>
                <w:color w:val="000000" w:themeColor="text1"/>
              </w:rPr>
              <w:t>RESULTS FROM THE APPLICATION OF THE PROVISIONAL ACCEPTANCE PROCEDURE IN THE CLASS OF EXPLOSIVES (FIGURE 10.2) TO MUSK XYLENE</w:t>
            </w:r>
            <w:bookmarkEnd w:id="16"/>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b/>
                <w:bCs/>
                <w:color w:val="000000" w:themeColor="text1"/>
              </w:rPr>
              <w:t>1.</w:t>
            </w:r>
            <w:r w:rsidRPr="002A3CA8">
              <w:rPr>
                <w:b/>
                <w:bCs/>
                <w:color w:val="000000" w:themeColor="text1"/>
              </w:rPr>
              <w:tab/>
              <w:t>Name of substance</w:t>
            </w:r>
            <w:r w:rsidRPr="002A3CA8">
              <w:rPr>
                <w:color w:val="000000" w:themeColor="text1"/>
              </w:rPr>
              <w:t>:</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5-tert-BUTYL-2,4,6-TRINITRO-m-XYLENE (MUSK XYLENE)</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b/>
                <w:bCs/>
                <w:color w:val="000000" w:themeColor="text1"/>
              </w:rPr>
              <w:t>2.</w:t>
            </w:r>
            <w:r w:rsidRPr="002A3CA8">
              <w:rPr>
                <w:b/>
                <w:bCs/>
                <w:color w:val="000000" w:themeColor="text1"/>
              </w:rPr>
              <w:tab/>
              <w:t>General data</w:t>
            </w:r>
          </w:p>
        </w:tc>
        <w:tc>
          <w:tcPr>
            <w:tcW w:w="3544" w:type="dxa"/>
          </w:tcPr>
          <w:p w:rsidR="00CE5EDB" w:rsidRPr="002A3CA8" w:rsidRDefault="00CE5EDB" w:rsidP="004631AC">
            <w:pPr>
              <w:spacing w:before="6" w:after="6"/>
              <w:rPr>
                <w:color w:val="000000" w:themeColor="text1"/>
              </w:rPr>
            </w:pP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2.1</w:t>
            </w:r>
            <w:r w:rsidRPr="002A3CA8">
              <w:rPr>
                <w:color w:val="000000" w:themeColor="text1"/>
              </w:rPr>
              <w:tab/>
              <w:t>Composition:</w:t>
            </w:r>
          </w:p>
        </w:tc>
        <w:tc>
          <w:tcPr>
            <w:tcW w:w="3544" w:type="dxa"/>
          </w:tcPr>
          <w:p w:rsidR="00CE5EDB" w:rsidRPr="002A3CA8" w:rsidRDefault="00CE5EDB" w:rsidP="004631AC">
            <w:pPr>
              <w:spacing w:before="6" w:after="6"/>
              <w:rPr>
                <w:color w:val="000000" w:themeColor="text1"/>
              </w:rPr>
            </w:pPr>
            <w:r w:rsidRPr="002A3CA8">
              <w:rPr>
                <w:color w:val="000000" w:themeColor="text1"/>
              </w:rPr>
              <w:t>99% tert-butyl-2,4,6-trinitro-m-xylene</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2.2</w:t>
            </w:r>
            <w:r w:rsidRPr="002A3CA8">
              <w:rPr>
                <w:color w:val="000000" w:themeColor="text1"/>
              </w:rPr>
              <w:tab/>
              <w:t>Molecular formula:</w:t>
            </w:r>
          </w:p>
        </w:tc>
        <w:tc>
          <w:tcPr>
            <w:tcW w:w="3544" w:type="dxa"/>
          </w:tcPr>
          <w:p w:rsidR="00CE5EDB" w:rsidRPr="002A3CA8" w:rsidRDefault="00CE5EDB" w:rsidP="004631AC">
            <w:pPr>
              <w:spacing w:before="6" w:after="6"/>
              <w:rPr>
                <w:color w:val="000000" w:themeColor="text1"/>
              </w:rPr>
            </w:pPr>
            <w:r w:rsidRPr="002A3CA8">
              <w:rPr>
                <w:color w:val="000000" w:themeColor="text1"/>
              </w:rPr>
              <w:t>C</w:t>
            </w:r>
            <w:r w:rsidRPr="002A3CA8">
              <w:rPr>
                <w:color w:val="000000" w:themeColor="text1"/>
                <w:vertAlign w:val="subscript"/>
              </w:rPr>
              <w:t>12</w:t>
            </w:r>
            <w:r w:rsidRPr="002A3CA8">
              <w:rPr>
                <w:color w:val="000000" w:themeColor="text1"/>
              </w:rPr>
              <w:t>H</w:t>
            </w:r>
            <w:r w:rsidRPr="002A3CA8">
              <w:rPr>
                <w:color w:val="000000" w:themeColor="text1"/>
                <w:vertAlign w:val="subscript"/>
              </w:rPr>
              <w:t>15</w:t>
            </w:r>
            <w:r w:rsidRPr="002A3CA8">
              <w:rPr>
                <w:color w:val="000000" w:themeColor="text1"/>
              </w:rPr>
              <w:t>N</w:t>
            </w:r>
            <w:r w:rsidRPr="002A3CA8">
              <w:rPr>
                <w:color w:val="000000" w:themeColor="text1"/>
                <w:vertAlign w:val="subscript"/>
              </w:rPr>
              <w:t>3</w:t>
            </w:r>
            <w:r w:rsidRPr="002A3CA8">
              <w:rPr>
                <w:color w:val="000000" w:themeColor="text1"/>
              </w:rPr>
              <w:t>O</w:t>
            </w:r>
            <w:r w:rsidRPr="002A3CA8">
              <w:rPr>
                <w:color w:val="000000" w:themeColor="text1"/>
                <w:vertAlign w:val="subscript"/>
              </w:rPr>
              <w:t>6</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2.3</w:t>
            </w:r>
            <w:r w:rsidRPr="002A3CA8">
              <w:rPr>
                <w:color w:val="000000" w:themeColor="text1"/>
              </w:rPr>
              <w:tab/>
              <w:t>Physical form:</w:t>
            </w:r>
          </w:p>
        </w:tc>
        <w:tc>
          <w:tcPr>
            <w:tcW w:w="3544" w:type="dxa"/>
          </w:tcPr>
          <w:p w:rsidR="00CE5EDB" w:rsidRPr="002A3CA8" w:rsidRDefault="00CE5EDB" w:rsidP="004631AC">
            <w:pPr>
              <w:spacing w:before="6" w:after="6"/>
              <w:rPr>
                <w:color w:val="000000" w:themeColor="text1"/>
              </w:rPr>
            </w:pPr>
            <w:r w:rsidRPr="002A3CA8">
              <w:rPr>
                <w:color w:val="000000" w:themeColor="text1"/>
              </w:rPr>
              <w:t>Fine crystalline powder</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2.4</w:t>
            </w:r>
            <w:r w:rsidRPr="002A3CA8">
              <w:rPr>
                <w:color w:val="000000" w:themeColor="text1"/>
              </w:rPr>
              <w:tab/>
              <w:t>Colour:</w:t>
            </w:r>
          </w:p>
        </w:tc>
        <w:tc>
          <w:tcPr>
            <w:tcW w:w="3544" w:type="dxa"/>
          </w:tcPr>
          <w:p w:rsidR="00CE5EDB" w:rsidRPr="002A3CA8" w:rsidRDefault="00CE5EDB" w:rsidP="004631AC">
            <w:pPr>
              <w:spacing w:before="6" w:after="6"/>
              <w:rPr>
                <w:color w:val="000000" w:themeColor="text1"/>
              </w:rPr>
            </w:pPr>
            <w:r w:rsidRPr="002A3CA8">
              <w:rPr>
                <w:color w:val="000000" w:themeColor="text1"/>
              </w:rPr>
              <w:t>Pale yellow</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2.5</w:t>
            </w:r>
            <w:r w:rsidRPr="002A3CA8">
              <w:rPr>
                <w:color w:val="000000" w:themeColor="text1"/>
              </w:rPr>
              <w:tab/>
              <w:t>Apparent density:</w:t>
            </w:r>
          </w:p>
        </w:tc>
        <w:tc>
          <w:tcPr>
            <w:tcW w:w="3544" w:type="dxa"/>
          </w:tcPr>
          <w:p w:rsidR="00CE5EDB" w:rsidRPr="002A3CA8" w:rsidRDefault="00CE5EDB" w:rsidP="004631AC">
            <w:pPr>
              <w:spacing w:before="6" w:after="6"/>
              <w:rPr>
                <w:color w:val="000000" w:themeColor="text1"/>
              </w:rPr>
            </w:pPr>
            <w:r w:rsidRPr="002A3CA8">
              <w:rPr>
                <w:color w:val="000000" w:themeColor="text1"/>
              </w:rPr>
              <w:t>840 kg /m</w:t>
            </w:r>
            <w:r w:rsidRPr="002A3CA8">
              <w:rPr>
                <w:color w:val="000000" w:themeColor="text1"/>
                <w:vertAlign w:val="superscript"/>
              </w:rPr>
              <w:t>3</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2.6</w:t>
            </w:r>
            <w:r w:rsidRPr="002A3CA8">
              <w:rPr>
                <w:color w:val="000000" w:themeColor="text1"/>
              </w:rPr>
              <w:tab/>
              <w:t>Particle size:</w:t>
            </w:r>
          </w:p>
        </w:tc>
        <w:tc>
          <w:tcPr>
            <w:tcW w:w="3544" w:type="dxa"/>
          </w:tcPr>
          <w:p w:rsidR="00CE5EDB" w:rsidRPr="002A3CA8" w:rsidRDefault="00CE5EDB" w:rsidP="004631AC">
            <w:pPr>
              <w:spacing w:before="6" w:after="6"/>
              <w:rPr>
                <w:color w:val="000000" w:themeColor="text1"/>
              </w:rPr>
            </w:pPr>
            <w:r w:rsidRPr="002A3CA8">
              <w:rPr>
                <w:color w:val="000000" w:themeColor="text1"/>
              </w:rPr>
              <w:t>&lt; 1.7 mm</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p>
        </w:tc>
        <w:tc>
          <w:tcPr>
            <w:tcW w:w="3544" w:type="dxa"/>
          </w:tcPr>
          <w:p w:rsidR="00CE5EDB" w:rsidRPr="002A3CA8" w:rsidRDefault="00CE5EDB" w:rsidP="004631AC">
            <w:pPr>
              <w:spacing w:before="6" w:after="6"/>
              <w:rPr>
                <w:color w:val="000000" w:themeColor="text1"/>
              </w:rPr>
            </w:pP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b/>
                <w:bCs/>
                <w:color w:val="000000" w:themeColor="text1"/>
              </w:rPr>
              <w:t>3.</w:t>
            </w:r>
            <w:r w:rsidRPr="002A3CA8">
              <w:rPr>
                <w:b/>
                <w:bCs/>
                <w:color w:val="000000" w:themeColor="text1"/>
              </w:rPr>
              <w:tab/>
              <w:t>Box 2</w:t>
            </w:r>
            <w:r w:rsidRPr="002A3CA8">
              <w:rPr>
                <w:color w:val="000000" w:themeColor="text1"/>
              </w:rPr>
              <w:t>:</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Is the substance manufactured with the view to producing a practical explosive or pyrotechnic effect?</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3.1</w:t>
            </w:r>
            <w:r w:rsidRPr="002A3CA8">
              <w:rPr>
                <w:color w:val="000000" w:themeColor="text1"/>
              </w:rPr>
              <w:tab/>
              <w:t>Answer:</w:t>
            </w:r>
          </w:p>
        </w:tc>
        <w:tc>
          <w:tcPr>
            <w:tcW w:w="3544" w:type="dxa"/>
          </w:tcPr>
          <w:p w:rsidR="00CE5EDB" w:rsidRPr="002A3CA8" w:rsidRDefault="00CE5EDB" w:rsidP="004631AC">
            <w:pPr>
              <w:spacing w:before="6" w:after="6"/>
              <w:rPr>
                <w:color w:val="000000" w:themeColor="text1"/>
              </w:rPr>
            </w:pPr>
            <w:r w:rsidRPr="002A3CA8">
              <w:rPr>
                <w:color w:val="000000" w:themeColor="text1"/>
              </w:rPr>
              <w:t>No</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3.2</w:t>
            </w:r>
            <w:r w:rsidRPr="002A3CA8">
              <w:rPr>
                <w:color w:val="000000" w:themeColor="text1"/>
              </w:rPr>
              <w:tab/>
              <w:t>Exit</w:t>
            </w:r>
          </w:p>
        </w:tc>
        <w:tc>
          <w:tcPr>
            <w:tcW w:w="3544" w:type="dxa"/>
          </w:tcPr>
          <w:p w:rsidR="00CE5EDB" w:rsidRPr="002A3CA8" w:rsidRDefault="00CE5EDB" w:rsidP="004631AC">
            <w:pPr>
              <w:spacing w:before="6" w:after="6"/>
              <w:rPr>
                <w:color w:val="000000" w:themeColor="text1"/>
              </w:rPr>
            </w:pPr>
            <w:r w:rsidRPr="002A3CA8">
              <w:rPr>
                <w:color w:val="000000" w:themeColor="text1"/>
              </w:rPr>
              <w:t>Go to Box 3</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p>
        </w:tc>
        <w:tc>
          <w:tcPr>
            <w:tcW w:w="3544" w:type="dxa"/>
          </w:tcPr>
          <w:p w:rsidR="00CE5EDB" w:rsidRPr="002A3CA8" w:rsidRDefault="00CE5EDB" w:rsidP="004631AC">
            <w:pPr>
              <w:spacing w:before="6" w:after="6"/>
              <w:rPr>
                <w:color w:val="000000" w:themeColor="text1"/>
              </w:rPr>
            </w:pPr>
          </w:p>
        </w:tc>
      </w:tr>
      <w:tr w:rsidR="00CE5EDB" w:rsidRPr="002A3CA8" w:rsidTr="00A413DC">
        <w:tc>
          <w:tcPr>
            <w:tcW w:w="2835" w:type="dxa"/>
          </w:tcPr>
          <w:p w:rsidR="00CE5EDB" w:rsidRPr="002A3CA8" w:rsidRDefault="00CE5EDB" w:rsidP="004631AC">
            <w:pPr>
              <w:keepNext/>
              <w:keepLines/>
              <w:tabs>
                <w:tab w:val="left" w:pos="585"/>
                <w:tab w:val="left" w:pos="4368"/>
              </w:tabs>
              <w:spacing w:before="6" w:after="6"/>
              <w:rPr>
                <w:b/>
                <w:bCs/>
                <w:color w:val="000000" w:themeColor="text1"/>
              </w:rPr>
            </w:pPr>
            <w:r w:rsidRPr="002A3CA8">
              <w:rPr>
                <w:b/>
                <w:bCs/>
                <w:color w:val="000000" w:themeColor="text1"/>
              </w:rPr>
              <w:t>4.</w:t>
            </w:r>
            <w:r w:rsidRPr="002A3CA8">
              <w:rPr>
                <w:b/>
                <w:bCs/>
                <w:color w:val="000000" w:themeColor="text1"/>
              </w:rPr>
              <w:tab/>
              <w:t>Box 3:</w:t>
            </w:r>
          </w:p>
        </w:tc>
        <w:tc>
          <w:tcPr>
            <w:tcW w:w="3544" w:type="dxa"/>
          </w:tcPr>
          <w:p w:rsidR="00CE5EDB" w:rsidRPr="002A3CA8" w:rsidRDefault="00CE5EDB" w:rsidP="004631AC">
            <w:pPr>
              <w:keepNext/>
              <w:keepLines/>
              <w:tabs>
                <w:tab w:val="left" w:pos="585"/>
                <w:tab w:val="left" w:pos="4368"/>
              </w:tabs>
              <w:spacing w:before="6" w:after="6"/>
              <w:rPr>
                <w:b/>
                <w:bCs/>
                <w:color w:val="000000" w:themeColor="text1"/>
              </w:rPr>
            </w:pPr>
            <w:r w:rsidRPr="002A3CA8">
              <w:rPr>
                <w:color w:val="000000" w:themeColor="text1"/>
              </w:rPr>
              <w:t>Is it a candidate for ammonium nitrate emulsion, suspension or gel, intermediate for blasting explosives, ANE?</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4.1</w:t>
            </w:r>
            <w:r w:rsidRPr="002A3CA8">
              <w:rPr>
                <w:color w:val="000000" w:themeColor="text1"/>
              </w:rPr>
              <w:tab/>
              <w:t>Answer:</w:t>
            </w:r>
          </w:p>
        </w:tc>
        <w:tc>
          <w:tcPr>
            <w:tcW w:w="3544" w:type="dxa"/>
          </w:tcPr>
          <w:p w:rsidR="00CE5EDB" w:rsidRPr="002A3CA8" w:rsidRDefault="00CE5EDB" w:rsidP="004631AC">
            <w:pPr>
              <w:keepNext/>
              <w:keepLines/>
              <w:tabs>
                <w:tab w:val="left" w:pos="585"/>
                <w:tab w:val="left" w:pos="4368"/>
              </w:tabs>
              <w:spacing w:before="6" w:after="6"/>
              <w:rPr>
                <w:color w:val="000000" w:themeColor="text1"/>
              </w:rPr>
            </w:pPr>
            <w:r w:rsidRPr="002A3CA8">
              <w:rPr>
                <w:color w:val="000000" w:themeColor="text1"/>
              </w:rPr>
              <w:t>No</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4.2</w:t>
            </w:r>
            <w:r w:rsidRPr="002A3CA8">
              <w:rPr>
                <w:color w:val="000000" w:themeColor="text1"/>
              </w:rPr>
              <w:tab/>
              <w:t>Exit:</w:t>
            </w:r>
          </w:p>
        </w:tc>
        <w:tc>
          <w:tcPr>
            <w:tcW w:w="3544" w:type="dxa"/>
          </w:tcPr>
          <w:p w:rsidR="00CE5EDB" w:rsidRPr="002A3CA8" w:rsidRDefault="00CE5EDB" w:rsidP="004631AC">
            <w:pPr>
              <w:spacing w:before="6" w:after="6"/>
              <w:rPr>
                <w:color w:val="000000" w:themeColor="text1"/>
              </w:rPr>
            </w:pPr>
            <w:r w:rsidRPr="002A3CA8">
              <w:rPr>
                <w:color w:val="000000" w:themeColor="text1"/>
              </w:rPr>
              <w:t>Go to Box 4</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p>
        </w:tc>
        <w:tc>
          <w:tcPr>
            <w:tcW w:w="3544" w:type="dxa"/>
          </w:tcPr>
          <w:p w:rsidR="00CE5EDB" w:rsidRPr="002A3CA8" w:rsidRDefault="00CE5EDB" w:rsidP="004631AC">
            <w:pPr>
              <w:spacing w:before="6" w:after="6"/>
              <w:rPr>
                <w:color w:val="000000" w:themeColor="text1"/>
              </w:rPr>
            </w:pP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b/>
                <w:bCs/>
                <w:color w:val="000000" w:themeColor="text1"/>
              </w:rPr>
              <w:t>5.</w:t>
            </w:r>
            <w:r w:rsidRPr="002A3CA8">
              <w:rPr>
                <w:b/>
                <w:bCs/>
                <w:color w:val="000000" w:themeColor="text1"/>
              </w:rPr>
              <w:tab/>
              <w:t>Box 4:</w:t>
            </w:r>
          </w:p>
        </w:tc>
        <w:tc>
          <w:tcPr>
            <w:tcW w:w="3544" w:type="dxa"/>
          </w:tcPr>
          <w:p w:rsidR="00CE5EDB" w:rsidRPr="002A3CA8" w:rsidRDefault="00CE5EDB" w:rsidP="004631AC">
            <w:pPr>
              <w:spacing w:before="6" w:after="6"/>
              <w:rPr>
                <w:color w:val="000000" w:themeColor="text1"/>
              </w:rPr>
            </w:pPr>
            <w:r w:rsidRPr="002A3CA8">
              <w:rPr>
                <w:color w:val="000000" w:themeColor="text1"/>
              </w:rPr>
              <w:t>Test Series 1</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bookmarkStart w:id="17" w:name="_Hlk493063331"/>
            <w:r w:rsidRPr="002A3CA8">
              <w:rPr>
                <w:color w:val="000000" w:themeColor="text1"/>
              </w:rPr>
              <w:t>5</w:t>
            </w:r>
            <w:bookmarkEnd w:id="17"/>
            <w:r w:rsidRPr="002A3CA8">
              <w:rPr>
                <w:color w:val="000000" w:themeColor="text1"/>
              </w:rPr>
              <w:t>.1</w:t>
            </w:r>
            <w:r w:rsidRPr="002A3CA8">
              <w:rPr>
                <w:color w:val="000000" w:themeColor="text1"/>
              </w:rPr>
              <w:tab/>
              <w:t>Propagation of detonation:</w:t>
            </w:r>
          </w:p>
        </w:tc>
        <w:tc>
          <w:tcPr>
            <w:tcW w:w="3544" w:type="dxa"/>
          </w:tcPr>
          <w:p w:rsidR="00CE5EDB" w:rsidRPr="002A3CA8" w:rsidRDefault="00CE5EDB" w:rsidP="004631AC">
            <w:pPr>
              <w:spacing w:before="6" w:after="6"/>
              <w:rPr>
                <w:color w:val="000000" w:themeColor="text1"/>
              </w:rPr>
            </w:pPr>
            <w:r w:rsidRPr="002A3CA8">
              <w:rPr>
                <w:color w:val="000000" w:themeColor="text1"/>
              </w:rPr>
              <w:t>UN gap test (test 1(a))</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5.2</w:t>
            </w:r>
            <w:r w:rsidRPr="002A3CA8">
              <w:rPr>
                <w:color w:val="000000" w:themeColor="text1"/>
              </w:rPr>
              <w:tab/>
              <w:t>Sample conditions:</w:t>
            </w:r>
          </w:p>
        </w:tc>
        <w:tc>
          <w:tcPr>
            <w:tcW w:w="3544" w:type="dxa"/>
          </w:tcPr>
          <w:p w:rsidR="00CE5EDB" w:rsidRPr="002A3CA8" w:rsidRDefault="00CE5EDB" w:rsidP="004631AC">
            <w:pPr>
              <w:spacing w:before="6" w:after="6"/>
              <w:rPr>
                <w:color w:val="000000" w:themeColor="text1"/>
              </w:rPr>
            </w:pPr>
            <w:r w:rsidRPr="002A3CA8">
              <w:rPr>
                <w:color w:val="000000" w:themeColor="text1"/>
              </w:rPr>
              <w:t>Ambient temperature</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5.3</w:t>
            </w:r>
            <w:r w:rsidRPr="002A3CA8">
              <w:rPr>
                <w:color w:val="000000" w:themeColor="text1"/>
              </w:rPr>
              <w:tab/>
              <w:t>Observations:</w:t>
            </w:r>
          </w:p>
        </w:tc>
        <w:tc>
          <w:tcPr>
            <w:tcW w:w="3544" w:type="dxa"/>
          </w:tcPr>
          <w:p w:rsidR="00CE5EDB" w:rsidRPr="002A3CA8" w:rsidRDefault="00CE5EDB" w:rsidP="004631AC">
            <w:pPr>
              <w:spacing w:before="6" w:after="6"/>
              <w:rPr>
                <w:color w:val="000000" w:themeColor="text1"/>
              </w:rPr>
            </w:pPr>
            <w:r w:rsidRPr="002A3CA8">
              <w:rPr>
                <w:color w:val="000000" w:themeColor="text1"/>
              </w:rPr>
              <w:t>Fragmentation length 40 cm</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5.4</w:t>
            </w:r>
            <w:r w:rsidRPr="002A3CA8">
              <w:rPr>
                <w:color w:val="000000" w:themeColor="text1"/>
              </w:rPr>
              <w:tab/>
              <w:t>Result:</w:t>
            </w:r>
          </w:p>
        </w:tc>
        <w:tc>
          <w:tcPr>
            <w:tcW w:w="3544" w:type="dxa"/>
          </w:tcPr>
          <w:p w:rsidR="00CE5EDB" w:rsidRPr="002A3CA8" w:rsidRDefault="00CE5EDB" w:rsidP="004631AC">
            <w:pPr>
              <w:spacing w:before="6" w:after="6"/>
              <w:rPr>
                <w:color w:val="000000" w:themeColor="text1"/>
              </w:rPr>
            </w:pPr>
            <w:r w:rsidRPr="002A3CA8">
              <w:rPr>
                <w:color w:val="000000" w:themeColor="text1"/>
              </w:rPr>
              <w:t>"+", propagation of detonation</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5.5</w:t>
            </w:r>
            <w:r w:rsidRPr="002A3CA8">
              <w:rPr>
                <w:color w:val="000000" w:themeColor="text1"/>
              </w:rPr>
              <w:tab/>
              <w:t>Effect of heating under confinement:</w:t>
            </w:r>
          </w:p>
        </w:tc>
        <w:tc>
          <w:tcPr>
            <w:tcW w:w="3544" w:type="dxa"/>
          </w:tcPr>
          <w:p w:rsidR="00CE5EDB" w:rsidRPr="002A3CA8" w:rsidRDefault="00CE5EDB" w:rsidP="004631AC">
            <w:pPr>
              <w:spacing w:before="6" w:after="6"/>
              <w:rPr>
                <w:color w:val="000000" w:themeColor="text1"/>
              </w:rPr>
            </w:pPr>
            <w:r w:rsidRPr="002A3CA8">
              <w:rPr>
                <w:color w:val="000000" w:themeColor="text1"/>
              </w:rPr>
              <w:t>Koenen test (test 1(b))</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5.6</w:t>
            </w:r>
            <w:r w:rsidRPr="002A3CA8">
              <w:rPr>
                <w:color w:val="000000" w:themeColor="text1"/>
              </w:rPr>
              <w:tab/>
              <w:t>Sample conditions:</w:t>
            </w:r>
          </w:p>
        </w:tc>
        <w:tc>
          <w:tcPr>
            <w:tcW w:w="3544" w:type="dxa"/>
          </w:tcPr>
          <w:p w:rsidR="00CE5EDB" w:rsidRPr="002A3CA8" w:rsidRDefault="00CE5EDB" w:rsidP="004631AC">
            <w:pPr>
              <w:spacing w:before="6" w:after="6"/>
              <w:rPr>
                <w:color w:val="000000" w:themeColor="text1"/>
              </w:rPr>
            </w:pPr>
            <w:r w:rsidRPr="002A3CA8">
              <w:rPr>
                <w:color w:val="000000" w:themeColor="text1"/>
              </w:rPr>
              <w:t>Mass 22.6 g</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5.7</w:t>
            </w:r>
            <w:r w:rsidRPr="002A3CA8">
              <w:rPr>
                <w:color w:val="000000" w:themeColor="text1"/>
              </w:rPr>
              <w:tab/>
              <w:t>Observations:</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Limiting diameter  5.0 mm</w:t>
            </w:r>
          </w:p>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Fragmentation type "F" (time to reaction 52 s, duration of reaction 27 s)</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5.8</w:t>
            </w:r>
            <w:r w:rsidRPr="002A3CA8">
              <w:rPr>
                <w:color w:val="000000" w:themeColor="text1"/>
              </w:rPr>
              <w:tab/>
              <w:t>Result:</w:t>
            </w:r>
          </w:p>
        </w:tc>
        <w:tc>
          <w:tcPr>
            <w:tcW w:w="3544" w:type="dxa"/>
          </w:tcPr>
          <w:p w:rsidR="00CE5EDB" w:rsidRPr="002A3CA8" w:rsidRDefault="00CE5EDB" w:rsidP="004631AC">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shows some explosive effects on heating under confinement</w:t>
            </w:r>
          </w:p>
        </w:tc>
      </w:tr>
      <w:tr w:rsidR="00CE5EDB" w:rsidRPr="002A3CA8" w:rsidTr="00A413DC">
        <w:tc>
          <w:tcPr>
            <w:tcW w:w="2835" w:type="dxa"/>
          </w:tcPr>
          <w:p w:rsidR="007E6A03" w:rsidRDefault="00A413DC"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Pr>
                <w:color w:val="000000" w:themeColor="text1"/>
              </w:rPr>
              <w:t xml:space="preserve">5.9  </w:t>
            </w:r>
            <w:r w:rsidR="007E6A03">
              <w:rPr>
                <w:color w:val="000000" w:themeColor="text1"/>
              </w:rPr>
              <w:t xml:space="preserve">     </w:t>
            </w:r>
            <w:r w:rsidR="00CE5EDB" w:rsidRPr="002A3CA8">
              <w:rPr>
                <w:color w:val="000000" w:themeColor="text1"/>
              </w:rPr>
              <w:t>Effect of ignition under</w:t>
            </w:r>
          </w:p>
          <w:p w:rsidR="00CE5EDB" w:rsidRPr="002A3CA8" w:rsidRDefault="007E6A03"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Pr>
                <w:color w:val="000000" w:themeColor="text1"/>
              </w:rPr>
              <w:t xml:space="preserve">          </w:t>
            </w:r>
            <w:r w:rsidR="00CE5EDB" w:rsidRPr="002A3CA8">
              <w:rPr>
                <w:color w:val="000000" w:themeColor="text1"/>
              </w:rPr>
              <w:t xml:space="preserve"> </w:t>
            </w:r>
            <w:r>
              <w:rPr>
                <w:color w:val="000000" w:themeColor="text1"/>
              </w:rPr>
              <w:t xml:space="preserve"> </w:t>
            </w:r>
            <w:r w:rsidR="00CE5EDB" w:rsidRPr="002A3CA8">
              <w:rPr>
                <w:color w:val="000000" w:themeColor="text1"/>
              </w:rPr>
              <w:t>confinement:</w:t>
            </w:r>
          </w:p>
        </w:tc>
        <w:tc>
          <w:tcPr>
            <w:tcW w:w="3544" w:type="dxa"/>
          </w:tcPr>
          <w:p w:rsidR="00CE5EDB" w:rsidRPr="002A3CA8" w:rsidRDefault="00CE5EDB" w:rsidP="004631AC">
            <w:pPr>
              <w:spacing w:before="6" w:after="6"/>
              <w:rPr>
                <w:color w:val="000000" w:themeColor="text1"/>
              </w:rPr>
            </w:pPr>
            <w:r w:rsidRPr="002A3CA8">
              <w:rPr>
                <w:color w:val="000000" w:themeColor="text1"/>
              </w:rPr>
              <w:t>Time/pressure test (test 1 (c) (i))</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5.10</w:t>
            </w:r>
            <w:r w:rsidRPr="002A3CA8">
              <w:rPr>
                <w:color w:val="000000" w:themeColor="text1"/>
              </w:rPr>
              <w:tab/>
              <w:t>Sample conditions:</w:t>
            </w:r>
          </w:p>
        </w:tc>
        <w:tc>
          <w:tcPr>
            <w:tcW w:w="3544" w:type="dxa"/>
          </w:tcPr>
          <w:p w:rsidR="00CE5EDB" w:rsidRPr="002A3CA8" w:rsidRDefault="00CE5EDB" w:rsidP="004631AC">
            <w:pPr>
              <w:spacing w:before="6" w:after="6"/>
              <w:rPr>
                <w:color w:val="000000" w:themeColor="text1"/>
              </w:rPr>
            </w:pPr>
            <w:r w:rsidRPr="002A3CA8">
              <w:rPr>
                <w:color w:val="000000" w:themeColor="text1"/>
              </w:rPr>
              <w:t>Ambient temperature</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 xml:space="preserve">5.11 </w:t>
            </w:r>
            <w:r w:rsidRPr="002A3CA8">
              <w:rPr>
                <w:color w:val="000000" w:themeColor="text1"/>
              </w:rPr>
              <w:tab/>
              <w:t>Observations:</w:t>
            </w:r>
          </w:p>
        </w:tc>
        <w:tc>
          <w:tcPr>
            <w:tcW w:w="3544" w:type="dxa"/>
          </w:tcPr>
          <w:p w:rsidR="00CE5EDB" w:rsidRPr="002A3CA8" w:rsidRDefault="00CE5EDB" w:rsidP="004631AC">
            <w:pPr>
              <w:spacing w:before="6" w:after="6"/>
              <w:rPr>
                <w:color w:val="000000" w:themeColor="text1"/>
              </w:rPr>
            </w:pPr>
            <w:r w:rsidRPr="002A3CA8">
              <w:rPr>
                <w:color w:val="000000" w:themeColor="text1"/>
              </w:rPr>
              <w:t>No ignition</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5.12</w:t>
            </w:r>
            <w:r w:rsidRPr="002A3CA8">
              <w:rPr>
                <w:color w:val="000000" w:themeColor="text1"/>
              </w:rPr>
              <w:tab/>
              <w:t>Result:</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no effect on ignition under confinement</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 xml:space="preserve">5.13 </w:t>
            </w:r>
            <w:r w:rsidRPr="002A3CA8">
              <w:rPr>
                <w:color w:val="000000" w:themeColor="text1"/>
              </w:rPr>
              <w:tab/>
              <w:t>Exit:</w:t>
            </w:r>
          </w:p>
        </w:tc>
        <w:tc>
          <w:tcPr>
            <w:tcW w:w="3544" w:type="dxa"/>
          </w:tcPr>
          <w:p w:rsidR="00CE5EDB" w:rsidRPr="002A3CA8" w:rsidRDefault="00CE5EDB" w:rsidP="004631AC">
            <w:pPr>
              <w:spacing w:before="6" w:after="6"/>
              <w:rPr>
                <w:color w:val="000000" w:themeColor="text1"/>
              </w:rPr>
            </w:pPr>
            <w:r w:rsidRPr="002A3CA8">
              <w:rPr>
                <w:color w:val="000000" w:themeColor="text1"/>
              </w:rPr>
              <w:t xml:space="preserve">Go to Box </w:t>
            </w:r>
            <w:r w:rsidRPr="002A3CA8">
              <w:rPr>
                <w:b/>
                <w:color w:val="000000" w:themeColor="text1"/>
              </w:rPr>
              <w:t>5</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p>
        </w:tc>
        <w:tc>
          <w:tcPr>
            <w:tcW w:w="3544" w:type="dxa"/>
          </w:tcPr>
          <w:p w:rsidR="00CE5EDB" w:rsidRPr="002A3CA8" w:rsidRDefault="00CE5EDB" w:rsidP="004631AC">
            <w:pPr>
              <w:spacing w:before="6" w:after="6"/>
              <w:rPr>
                <w:color w:val="000000" w:themeColor="text1"/>
              </w:rPr>
            </w:pP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b/>
                <w:bCs/>
                <w:color w:val="000000" w:themeColor="text1"/>
              </w:rPr>
              <w:t>6.</w:t>
            </w:r>
            <w:r w:rsidRPr="002A3CA8">
              <w:rPr>
                <w:b/>
                <w:bCs/>
                <w:color w:val="000000" w:themeColor="text1"/>
              </w:rPr>
              <w:tab/>
              <w:t xml:space="preserve">Box </w:t>
            </w:r>
            <w:r w:rsidRPr="002A3CA8">
              <w:rPr>
                <w:b/>
                <w:color w:val="000000" w:themeColor="text1"/>
              </w:rPr>
              <w:t>5</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Does it have explosive properties?</w:t>
            </w:r>
          </w:p>
        </w:tc>
      </w:tr>
      <w:tr w:rsidR="00CE5EDB" w:rsidRPr="002A3CA8" w:rsidTr="00A413DC">
        <w:tc>
          <w:tcPr>
            <w:tcW w:w="6379" w:type="dxa"/>
            <w:gridSpan w:val="2"/>
          </w:tcPr>
          <w:p w:rsidR="00CE5EDB" w:rsidRPr="004631AC" w:rsidRDefault="00CE5EDB" w:rsidP="004631AC">
            <w:pPr>
              <w:spacing w:before="6" w:after="6"/>
              <w:jc w:val="center"/>
              <w:rPr>
                <w:b/>
                <w:bCs/>
                <w:color w:val="000000" w:themeColor="text1"/>
              </w:rPr>
            </w:pPr>
            <w:r>
              <w:lastRenderedPageBreak/>
              <w:tab/>
            </w:r>
            <w:r>
              <w:tab/>
            </w:r>
            <w:r w:rsidRPr="004631AC">
              <w:rPr>
                <w:b/>
                <w:bCs/>
                <w:color w:val="000000" w:themeColor="text1"/>
              </w:rPr>
              <w:t xml:space="preserve"> </w:t>
            </w:r>
          </w:p>
        </w:tc>
      </w:tr>
      <w:tr w:rsidR="00CE5EDB" w:rsidRPr="002A3CA8" w:rsidTr="00A413DC">
        <w:tc>
          <w:tcPr>
            <w:tcW w:w="2835" w:type="dxa"/>
          </w:tcPr>
          <w:p w:rsidR="00A413DC" w:rsidRDefault="00CE5EDB" w:rsidP="004631AC">
            <w:pPr>
              <w:tabs>
                <w:tab w:val="left" w:pos="585"/>
                <w:tab w:val="left" w:pos="4368"/>
              </w:tabs>
              <w:spacing w:before="6" w:after="6"/>
              <w:rPr>
                <w:color w:val="000000" w:themeColor="text1"/>
              </w:rPr>
            </w:pPr>
            <w:r w:rsidRPr="002A3CA8">
              <w:rPr>
                <w:color w:val="000000" w:themeColor="text1"/>
              </w:rPr>
              <w:t>6.1</w:t>
            </w:r>
            <w:r w:rsidRPr="002A3CA8">
              <w:rPr>
                <w:color w:val="000000" w:themeColor="text1"/>
              </w:rPr>
              <w:tab/>
              <w:t xml:space="preserve">Answer from Test </w:t>
            </w:r>
          </w:p>
          <w:p w:rsidR="00A413DC" w:rsidRDefault="00A413DC" w:rsidP="004631AC">
            <w:pPr>
              <w:tabs>
                <w:tab w:val="left" w:pos="585"/>
                <w:tab w:val="left" w:pos="4368"/>
              </w:tabs>
              <w:spacing w:before="6" w:after="6"/>
              <w:rPr>
                <w:color w:val="000000" w:themeColor="text1"/>
              </w:rPr>
            </w:pPr>
          </w:p>
          <w:p w:rsidR="00CE5EDB" w:rsidRPr="002A3CA8" w:rsidRDefault="00CE5EDB" w:rsidP="004631AC">
            <w:pPr>
              <w:tabs>
                <w:tab w:val="left" w:pos="585"/>
                <w:tab w:val="left" w:pos="4368"/>
              </w:tabs>
              <w:spacing w:before="6" w:after="6"/>
              <w:rPr>
                <w:color w:val="000000" w:themeColor="text1"/>
              </w:rPr>
            </w:pPr>
            <w:r w:rsidRPr="002A3CA8">
              <w:rPr>
                <w:color w:val="000000" w:themeColor="text1"/>
              </w:rPr>
              <w:t>Series 1:</w:t>
            </w:r>
          </w:p>
        </w:tc>
        <w:tc>
          <w:tcPr>
            <w:tcW w:w="3544" w:type="dxa"/>
          </w:tcPr>
          <w:p w:rsidR="00CE5EDB" w:rsidRPr="002A3CA8" w:rsidRDefault="00CE5EDB" w:rsidP="004631AC">
            <w:pPr>
              <w:spacing w:before="6" w:after="6"/>
              <w:rPr>
                <w:color w:val="000000" w:themeColor="text1"/>
              </w:rPr>
            </w:pPr>
            <w:r w:rsidRPr="002A3CA8">
              <w:rPr>
                <w:color w:val="000000" w:themeColor="text1"/>
              </w:rPr>
              <w:t>Yes</w:t>
            </w:r>
          </w:p>
        </w:tc>
      </w:tr>
      <w:tr w:rsidR="00CE5EDB" w:rsidRPr="002A3CA8" w:rsidTr="00A413DC">
        <w:tc>
          <w:tcPr>
            <w:tcW w:w="2835" w:type="dxa"/>
          </w:tcPr>
          <w:p w:rsidR="00A413DC" w:rsidRDefault="00A413DC" w:rsidP="004631AC">
            <w:pPr>
              <w:tabs>
                <w:tab w:val="left" w:pos="585"/>
                <w:tab w:val="left" w:pos="4368"/>
              </w:tabs>
              <w:spacing w:before="6" w:after="6"/>
              <w:rPr>
                <w:color w:val="000000" w:themeColor="text1"/>
              </w:rPr>
            </w:pPr>
          </w:p>
          <w:p w:rsidR="00CE5EDB" w:rsidRPr="002A3CA8" w:rsidRDefault="00CE5EDB" w:rsidP="004631AC">
            <w:pPr>
              <w:tabs>
                <w:tab w:val="left" w:pos="585"/>
                <w:tab w:val="left" w:pos="4368"/>
              </w:tabs>
              <w:spacing w:before="6" w:after="6"/>
              <w:rPr>
                <w:color w:val="000000" w:themeColor="text1"/>
              </w:rPr>
            </w:pPr>
            <w:r w:rsidRPr="002A3CA8">
              <w:rPr>
                <w:color w:val="000000" w:themeColor="text1"/>
              </w:rPr>
              <w:t>6.2</w:t>
            </w:r>
            <w:r w:rsidRPr="002A3CA8">
              <w:rPr>
                <w:color w:val="000000" w:themeColor="text1"/>
              </w:rPr>
              <w:tab/>
              <w:t>Exit:</w:t>
            </w:r>
          </w:p>
        </w:tc>
        <w:tc>
          <w:tcPr>
            <w:tcW w:w="3544" w:type="dxa"/>
          </w:tcPr>
          <w:p w:rsidR="00A413DC" w:rsidRDefault="00A413DC"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Go to box 6</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p>
        </w:tc>
        <w:tc>
          <w:tcPr>
            <w:tcW w:w="3544" w:type="dxa"/>
          </w:tcPr>
          <w:p w:rsidR="00CE5EDB" w:rsidRPr="002A3CA8" w:rsidRDefault="00CE5EDB" w:rsidP="004631AC">
            <w:pPr>
              <w:spacing w:before="6" w:after="6"/>
              <w:rPr>
                <w:color w:val="000000" w:themeColor="text1"/>
              </w:rPr>
            </w:pP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b/>
                <w:bCs/>
                <w:color w:val="000000" w:themeColor="text1"/>
              </w:rPr>
              <w:t>7.</w:t>
            </w:r>
            <w:r w:rsidRPr="002A3CA8">
              <w:rPr>
                <w:b/>
                <w:bCs/>
                <w:color w:val="000000" w:themeColor="text1"/>
              </w:rPr>
              <w:tab/>
              <w:t xml:space="preserve">Box </w:t>
            </w:r>
            <w:r>
              <w:rPr>
                <w:b/>
                <w:bCs/>
                <w:color w:val="000000" w:themeColor="text1"/>
              </w:rPr>
              <w:t>6</w:t>
            </w:r>
          </w:p>
        </w:tc>
        <w:tc>
          <w:tcPr>
            <w:tcW w:w="3544" w:type="dxa"/>
          </w:tcPr>
          <w:p w:rsidR="00CE5EDB" w:rsidRPr="002A3CA8" w:rsidRDefault="00CE5EDB" w:rsidP="004631AC">
            <w:pPr>
              <w:spacing w:before="6" w:after="6"/>
              <w:rPr>
                <w:color w:val="000000" w:themeColor="text1"/>
              </w:rPr>
            </w:pPr>
            <w:r w:rsidRPr="002A3CA8">
              <w:rPr>
                <w:color w:val="000000" w:themeColor="text1"/>
              </w:rPr>
              <w:t>Test Series 2</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7.1</w:t>
            </w:r>
            <w:r w:rsidRPr="002A3CA8">
              <w:rPr>
                <w:color w:val="000000" w:themeColor="text1"/>
              </w:rPr>
              <w:tab/>
              <w:t>Sensitivity to shock:</w:t>
            </w:r>
          </w:p>
        </w:tc>
        <w:tc>
          <w:tcPr>
            <w:tcW w:w="3544" w:type="dxa"/>
          </w:tcPr>
          <w:p w:rsidR="00CE5EDB" w:rsidRPr="002A3CA8" w:rsidRDefault="00CE5EDB" w:rsidP="004631AC">
            <w:pPr>
              <w:spacing w:before="6" w:after="6"/>
              <w:rPr>
                <w:color w:val="000000" w:themeColor="text1"/>
              </w:rPr>
            </w:pPr>
            <w:r w:rsidRPr="002A3CA8">
              <w:rPr>
                <w:color w:val="000000" w:themeColor="text1"/>
              </w:rPr>
              <w:t>UN gap test (test 2(a))</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 xml:space="preserve">7.2 </w:t>
            </w:r>
            <w:r w:rsidR="00A413DC">
              <w:rPr>
                <w:color w:val="000000" w:themeColor="text1"/>
              </w:rPr>
              <w:t xml:space="preserve">      </w:t>
            </w:r>
            <w:r w:rsidRPr="002A3CA8">
              <w:rPr>
                <w:color w:val="000000" w:themeColor="text1"/>
              </w:rPr>
              <w:t>Sample conditions:</w:t>
            </w:r>
          </w:p>
        </w:tc>
        <w:tc>
          <w:tcPr>
            <w:tcW w:w="3544" w:type="dxa"/>
          </w:tcPr>
          <w:p w:rsidR="00CE5EDB" w:rsidRPr="002A3CA8" w:rsidRDefault="00CE5EDB" w:rsidP="004631AC">
            <w:pPr>
              <w:spacing w:before="6" w:after="6"/>
              <w:rPr>
                <w:color w:val="000000" w:themeColor="text1"/>
              </w:rPr>
            </w:pPr>
            <w:r w:rsidRPr="002A3CA8">
              <w:rPr>
                <w:color w:val="000000" w:themeColor="text1"/>
              </w:rPr>
              <w:t>Ambient temperature</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7.3</w:t>
            </w:r>
            <w:r w:rsidRPr="002A3CA8">
              <w:rPr>
                <w:color w:val="000000" w:themeColor="text1"/>
              </w:rPr>
              <w:tab/>
              <w:t>Observations:</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No propagation</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7.4</w:t>
            </w:r>
            <w:r w:rsidRPr="002A3CA8">
              <w:rPr>
                <w:color w:val="000000" w:themeColor="text1"/>
              </w:rPr>
              <w:tab/>
              <w:t>Result:</w:t>
            </w:r>
          </w:p>
        </w:tc>
        <w:tc>
          <w:tcPr>
            <w:tcW w:w="3544" w:type="dxa"/>
          </w:tcPr>
          <w:p w:rsidR="00CE5EDB" w:rsidRPr="002A3CA8" w:rsidRDefault="00CE5EDB" w:rsidP="004631AC">
            <w:pPr>
              <w:spacing w:before="6" w:after="6"/>
              <w:rPr>
                <w:color w:val="000000" w:themeColor="text1"/>
              </w:rPr>
            </w:pPr>
            <w:r w:rsidRPr="002A3CA8">
              <w:rPr>
                <w:color w:val="000000" w:themeColor="text1"/>
              </w:rPr>
              <w:t>"-", not sensitive to shock</w:t>
            </w:r>
          </w:p>
        </w:tc>
      </w:tr>
      <w:tr w:rsidR="00CE5EDB" w:rsidRPr="002A3CA8" w:rsidTr="00A413DC">
        <w:tc>
          <w:tcPr>
            <w:tcW w:w="2835" w:type="dxa"/>
          </w:tcPr>
          <w:p w:rsidR="00A413DC" w:rsidRDefault="00CE5EDB" w:rsidP="004631AC">
            <w:pPr>
              <w:tabs>
                <w:tab w:val="left" w:pos="585"/>
                <w:tab w:val="left" w:pos="4368"/>
              </w:tabs>
              <w:spacing w:before="6" w:after="6"/>
              <w:rPr>
                <w:color w:val="000000" w:themeColor="text1"/>
              </w:rPr>
            </w:pPr>
            <w:r w:rsidRPr="002A3CA8">
              <w:rPr>
                <w:color w:val="000000" w:themeColor="text1"/>
              </w:rPr>
              <w:t>7.5</w:t>
            </w:r>
            <w:r w:rsidRPr="002A3CA8">
              <w:rPr>
                <w:color w:val="000000" w:themeColor="text1"/>
              </w:rPr>
              <w:tab/>
              <w:t>Effect of heating under</w:t>
            </w:r>
          </w:p>
          <w:p w:rsidR="00CE5EDB" w:rsidRPr="002A3CA8" w:rsidRDefault="00A413DC" w:rsidP="004631AC">
            <w:pPr>
              <w:tabs>
                <w:tab w:val="left" w:pos="585"/>
                <w:tab w:val="left" w:pos="4368"/>
              </w:tabs>
              <w:spacing w:before="6" w:after="6"/>
              <w:rPr>
                <w:color w:val="000000" w:themeColor="text1"/>
              </w:rPr>
            </w:pPr>
            <w:r>
              <w:rPr>
                <w:color w:val="000000" w:themeColor="text1"/>
              </w:rPr>
              <w:t xml:space="preserve">          </w:t>
            </w:r>
            <w:r w:rsidR="00CE5EDB" w:rsidRPr="002A3CA8">
              <w:rPr>
                <w:color w:val="000000" w:themeColor="text1"/>
              </w:rPr>
              <w:t xml:space="preserve"> confinement:</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Koenen test (test 2(b))</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7.6</w:t>
            </w:r>
            <w:r w:rsidRPr="002A3CA8">
              <w:rPr>
                <w:color w:val="000000" w:themeColor="text1"/>
              </w:rPr>
              <w:tab/>
              <w:t>Sample conditions:</w:t>
            </w:r>
          </w:p>
        </w:tc>
        <w:tc>
          <w:tcPr>
            <w:tcW w:w="3544" w:type="dxa"/>
          </w:tcPr>
          <w:p w:rsidR="00CE5EDB" w:rsidRPr="002A3CA8" w:rsidRDefault="00CE5EDB" w:rsidP="004631AC">
            <w:pPr>
              <w:spacing w:before="6" w:after="6"/>
              <w:rPr>
                <w:color w:val="000000" w:themeColor="text1"/>
              </w:rPr>
            </w:pPr>
            <w:r w:rsidRPr="002A3CA8">
              <w:rPr>
                <w:color w:val="000000" w:themeColor="text1"/>
              </w:rPr>
              <w:t>Mass 22.6 g</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7.7</w:t>
            </w:r>
            <w:r w:rsidRPr="002A3CA8">
              <w:rPr>
                <w:color w:val="000000" w:themeColor="text1"/>
              </w:rPr>
              <w:tab/>
              <w:t>Observations:</w:t>
            </w:r>
          </w:p>
        </w:tc>
        <w:tc>
          <w:tcPr>
            <w:tcW w:w="3544" w:type="dxa"/>
          </w:tcPr>
          <w:p w:rsidR="00CE5EDB" w:rsidRPr="002A3CA8" w:rsidRDefault="00E26FF8" w:rsidP="004631AC">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Pr>
                <w:color w:val="000000" w:themeColor="text1"/>
              </w:rPr>
              <w:t xml:space="preserve">Limiting diameter </w:t>
            </w:r>
            <w:r w:rsidR="00CE5EDB" w:rsidRPr="002A3CA8">
              <w:rPr>
                <w:color w:val="000000" w:themeColor="text1"/>
              </w:rPr>
              <w:t>5.0 mm</w:t>
            </w:r>
          </w:p>
          <w:p w:rsidR="00CE5EDB" w:rsidRPr="002A3CA8" w:rsidRDefault="00CE5EDB" w:rsidP="004631AC">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Fragmentation type "F" (time to reaction 52 s, duration of reaction 27 s)</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7.8</w:t>
            </w:r>
            <w:r w:rsidRPr="002A3CA8">
              <w:rPr>
                <w:color w:val="000000" w:themeColor="text1"/>
              </w:rPr>
              <w:tab/>
              <w:t>Result:</w:t>
            </w:r>
          </w:p>
        </w:tc>
        <w:tc>
          <w:tcPr>
            <w:tcW w:w="3544" w:type="dxa"/>
          </w:tcPr>
          <w:p w:rsidR="00CE5EDB" w:rsidRPr="002A3CA8" w:rsidRDefault="00CE5EDB" w:rsidP="004631AC">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violent effect on heating under confinement</w:t>
            </w:r>
          </w:p>
        </w:tc>
      </w:tr>
      <w:tr w:rsidR="00CE5EDB" w:rsidRPr="002A3CA8" w:rsidTr="00A413DC">
        <w:tc>
          <w:tcPr>
            <w:tcW w:w="2835" w:type="dxa"/>
          </w:tcPr>
          <w:p w:rsidR="00A413DC" w:rsidRDefault="00A413DC" w:rsidP="004631AC">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Pr>
                <w:color w:val="000000" w:themeColor="text1"/>
              </w:rPr>
              <w:t xml:space="preserve">7.9       </w:t>
            </w:r>
            <w:r w:rsidR="00CE5EDB" w:rsidRPr="002A3CA8">
              <w:rPr>
                <w:color w:val="000000" w:themeColor="text1"/>
              </w:rPr>
              <w:t>Effect of ignition under</w:t>
            </w:r>
          </w:p>
          <w:p w:rsidR="00CE5EDB" w:rsidRPr="002A3CA8" w:rsidRDefault="00A413DC" w:rsidP="004631AC">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Pr>
                <w:color w:val="000000" w:themeColor="text1"/>
              </w:rPr>
              <w:t xml:space="preserve">          </w:t>
            </w:r>
            <w:r w:rsidR="00CE5EDB" w:rsidRPr="002A3CA8">
              <w:rPr>
                <w:color w:val="000000" w:themeColor="text1"/>
              </w:rPr>
              <w:t xml:space="preserve"> </w:t>
            </w:r>
            <w:r>
              <w:rPr>
                <w:color w:val="000000" w:themeColor="text1"/>
              </w:rPr>
              <w:t xml:space="preserve"> </w:t>
            </w:r>
            <w:r w:rsidR="00CE5EDB" w:rsidRPr="002A3CA8">
              <w:rPr>
                <w:color w:val="000000" w:themeColor="text1"/>
              </w:rPr>
              <w:t>confinement</w:t>
            </w:r>
          </w:p>
        </w:tc>
        <w:tc>
          <w:tcPr>
            <w:tcW w:w="3544" w:type="dxa"/>
          </w:tcPr>
          <w:p w:rsidR="00CE5EDB" w:rsidRPr="002A3CA8" w:rsidRDefault="00CE5EDB" w:rsidP="004631AC">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Time/pressure test (test 2 (c) (i))</w:t>
            </w:r>
          </w:p>
          <w:p w:rsidR="00CE5EDB" w:rsidRPr="002A3CA8" w:rsidRDefault="00CE5EDB" w:rsidP="004631AC">
            <w:pPr>
              <w:spacing w:before="6" w:after="6"/>
              <w:rPr>
                <w:color w:val="000000" w:themeColor="text1"/>
              </w:rPr>
            </w:pP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7.10</w:t>
            </w:r>
            <w:r w:rsidRPr="002A3CA8">
              <w:rPr>
                <w:color w:val="000000" w:themeColor="text1"/>
              </w:rPr>
              <w:tab/>
              <w:t>Sample conditions:</w:t>
            </w:r>
          </w:p>
        </w:tc>
        <w:tc>
          <w:tcPr>
            <w:tcW w:w="3544" w:type="dxa"/>
          </w:tcPr>
          <w:p w:rsidR="00CE5EDB" w:rsidRPr="002A3CA8" w:rsidRDefault="00CE5EDB" w:rsidP="004631AC">
            <w:pPr>
              <w:spacing w:before="6" w:after="6"/>
              <w:rPr>
                <w:color w:val="000000" w:themeColor="text1"/>
              </w:rPr>
            </w:pPr>
            <w:r w:rsidRPr="002A3CA8">
              <w:rPr>
                <w:color w:val="000000" w:themeColor="text1"/>
              </w:rPr>
              <w:t>Ambient temperature</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7.11</w:t>
            </w:r>
            <w:r w:rsidRPr="002A3CA8">
              <w:rPr>
                <w:color w:val="000000" w:themeColor="text1"/>
              </w:rPr>
              <w:tab/>
              <w:t>Observations:</w:t>
            </w:r>
          </w:p>
        </w:tc>
        <w:tc>
          <w:tcPr>
            <w:tcW w:w="3544" w:type="dxa"/>
          </w:tcPr>
          <w:p w:rsidR="00CE5EDB" w:rsidRPr="002A3CA8" w:rsidRDefault="00CE5EDB" w:rsidP="004631AC">
            <w:pPr>
              <w:spacing w:before="6" w:after="6"/>
              <w:rPr>
                <w:color w:val="000000" w:themeColor="text1"/>
              </w:rPr>
            </w:pPr>
            <w:r w:rsidRPr="002A3CA8">
              <w:rPr>
                <w:color w:val="000000" w:themeColor="text1"/>
              </w:rPr>
              <w:t>No ignition</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7.12</w:t>
            </w:r>
            <w:r w:rsidRPr="002A3CA8">
              <w:rPr>
                <w:color w:val="000000" w:themeColor="text1"/>
              </w:rPr>
              <w:tab/>
              <w:t>Result:</w:t>
            </w:r>
          </w:p>
        </w:tc>
        <w:tc>
          <w:tcPr>
            <w:tcW w:w="3544" w:type="dxa"/>
          </w:tcPr>
          <w:p w:rsidR="00CE5EDB" w:rsidRPr="002A3CA8" w:rsidRDefault="00CE5EDB" w:rsidP="004631AC">
            <w:pPr>
              <w:spacing w:before="6" w:after="6"/>
              <w:rPr>
                <w:color w:val="000000" w:themeColor="text1"/>
              </w:rPr>
            </w:pPr>
            <w:r w:rsidRPr="002A3CA8">
              <w:rPr>
                <w:color w:val="000000" w:themeColor="text1"/>
              </w:rPr>
              <w:t>"-", no effect on ignition under confinement</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7.13</w:t>
            </w:r>
            <w:r w:rsidRPr="002A3CA8">
              <w:rPr>
                <w:color w:val="000000" w:themeColor="text1"/>
              </w:rPr>
              <w:tab/>
              <w:t>Exit:</w:t>
            </w:r>
          </w:p>
        </w:tc>
        <w:tc>
          <w:tcPr>
            <w:tcW w:w="3544" w:type="dxa"/>
          </w:tcPr>
          <w:p w:rsidR="00CE5EDB" w:rsidRPr="002A3CA8" w:rsidRDefault="00CE5EDB" w:rsidP="004631AC">
            <w:pPr>
              <w:spacing w:before="6" w:after="6"/>
              <w:rPr>
                <w:color w:val="000000" w:themeColor="text1"/>
              </w:rPr>
            </w:pPr>
            <w:r w:rsidRPr="002A3CA8">
              <w:rPr>
                <w:color w:val="000000" w:themeColor="text1"/>
              </w:rPr>
              <w:t>Go to Box 7</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p>
        </w:tc>
        <w:tc>
          <w:tcPr>
            <w:tcW w:w="3544" w:type="dxa"/>
          </w:tcPr>
          <w:p w:rsidR="00CE5EDB" w:rsidRPr="002A3CA8" w:rsidRDefault="00CE5EDB" w:rsidP="004631AC">
            <w:pPr>
              <w:spacing w:before="6" w:after="6"/>
              <w:rPr>
                <w:color w:val="000000" w:themeColor="text1"/>
              </w:rPr>
            </w:pP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8.</w:t>
            </w:r>
            <w:r w:rsidRPr="002A3CA8">
              <w:rPr>
                <w:color w:val="000000" w:themeColor="text1"/>
              </w:rPr>
              <w:tab/>
            </w:r>
            <w:r w:rsidRPr="002A3CA8">
              <w:rPr>
                <w:b/>
                <w:bCs/>
                <w:color w:val="000000" w:themeColor="text1"/>
              </w:rPr>
              <w:t xml:space="preserve">Box </w:t>
            </w:r>
            <w:r w:rsidRPr="002A3CA8">
              <w:rPr>
                <w:b/>
                <w:color w:val="000000" w:themeColor="text1"/>
              </w:rPr>
              <w:t>7:</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Is it too insensitive for acceptance into this class?</w:t>
            </w:r>
          </w:p>
        </w:tc>
      </w:tr>
      <w:tr w:rsidR="00CE5EDB" w:rsidRPr="002A3CA8" w:rsidTr="00A413DC">
        <w:tc>
          <w:tcPr>
            <w:tcW w:w="2835" w:type="dxa"/>
          </w:tcPr>
          <w:p w:rsidR="00A413DC" w:rsidRDefault="00CE5EDB" w:rsidP="004631AC">
            <w:pPr>
              <w:tabs>
                <w:tab w:val="left" w:pos="540"/>
              </w:tabs>
              <w:spacing w:before="6" w:after="6"/>
              <w:rPr>
                <w:color w:val="000000" w:themeColor="text1"/>
              </w:rPr>
            </w:pPr>
            <w:r w:rsidRPr="002A3CA8">
              <w:rPr>
                <w:color w:val="000000" w:themeColor="text1"/>
              </w:rPr>
              <w:t>8.1</w:t>
            </w:r>
            <w:r w:rsidRPr="002A3CA8">
              <w:rPr>
                <w:color w:val="000000" w:themeColor="text1"/>
              </w:rPr>
              <w:tab/>
              <w:t xml:space="preserve">Answer from Test </w:t>
            </w:r>
          </w:p>
          <w:p w:rsidR="00A413DC" w:rsidRDefault="00A413DC" w:rsidP="004631AC">
            <w:pPr>
              <w:tabs>
                <w:tab w:val="left" w:pos="540"/>
              </w:tabs>
              <w:spacing w:before="6" w:after="6"/>
              <w:rPr>
                <w:color w:val="000000" w:themeColor="text1"/>
              </w:rPr>
            </w:pPr>
          </w:p>
          <w:p w:rsidR="00CE5EDB" w:rsidRPr="002A3CA8" w:rsidRDefault="00CE5EDB" w:rsidP="004631AC">
            <w:pPr>
              <w:tabs>
                <w:tab w:val="left" w:pos="540"/>
              </w:tabs>
              <w:spacing w:before="6" w:after="6"/>
              <w:rPr>
                <w:color w:val="000000" w:themeColor="text1"/>
              </w:rPr>
            </w:pPr>
            <w:r w:rsidRPr="002A3CA8">
              <w:rPr>
                <w:color w:val="000000" w:themeColor="text1"/>
              </w:rPr>
              <w:t>Series 2:</w:t>
            </w:r>
          </w:p>
        </w:tc>
        <w:tc>
          <w:tcPr>
            <w:tcW w:w="3544" w:type="dxa"/>
          </w:tcPr>
          <w:p w:rsidR="00CE5EDB" w:rsidRPr="002A3CA8" w:rsidRDefault="00CE5EDB" w:rsidP="004631AC">
            <w:pPr>
              <w:spacing w:before="6" w:after="6"/>
              <w:rPr>
                <w:color w:val="000000" w:themeColor="text1"/>
              </w:rPr>
            </w:pPr>
            <w:r w:rsidRPr="002A3CA8">
              <w:rPr>
                <w:color w:val="000000" w:themeColor="text1"/>
              </w:rPr>
              <w:t>No</w:t>
            </w:r>
          </w:p>
        </w:tc>
      </w:tr>
      <w:tr w:rsidR="00CE5EDB" w:rsidRPr="002A3CA8" w:rsidTr="00A413DC">
        <w:tc>
          <w:tcPr>
            <w:tcW w:w="2835" w:type="dxa"/>
          </w:tcPr>
          <w:p w:rsidR="00A413DC" w:rsidRDefault="00A413DC" w:rsidP="004631AC">
            <w:pPr>
              <w:tabs>
                <w:tab w:val="left" w:pos="585"/>
                <w:tab w:val="left" w:pos="4368"/>
              </w:tabs>
              <w:spacing w:before="6" w:after="6"/>
              <w:rPr>
                <w:color w:val="000000" w:themeColor="text1"/>
              </w:rPr>
            </w:pPr>
          </w:p>
          <w:p w:rsidR="00CE5EDB" w:rsidRPr="002A3CA8" w:rsidRDefault="00CE5EDB" w:rsidP="004631AC">
            <w:pPr>
              <w:tabs>
                <w:tab w:val="left" w:pos="585"/>
                <w:tab w:val="left" w:pos="4368"/>
              </w:tabs>
              <w:spacing w:before="6" w:after="6"/>
              <w:rPr>
                <w:color w:val="000000" w:themeColor="text1"/>
              </w:rPr>
            </w:pPr>
            <w:r w:rsidRPr="002A3CA8">
              <w:rPr>
                <w:color w:val="000000" w:themeColor="text1"/>
              </w:rPr>
              <w:t>8.2</w:t>
            </w:r>
            <w:r w:rsidRPr="002A3CA8">
              <w:rPr>
                <w:color w:val="000000" w:themeColor="text1"/>
              </w:rPr>
              <w:tab/>
              <w:t>Conclusion</w:t>
            </w:r>
          </w:p>
        </w:tc>
        <w:tc>
          <w:tcPr>
            <w:tcW w:w="3544" w:type="dxa"/>
          </w:tcPr>
          <w:p w:rsidR="00A413DC" w:rsidRDefault="00A413DC" w:rsidP="004631AC">
            <w:pPr>
              <w:tabs>
                <w:tab w:val="left" w:pos="585"/>
              </w:tabs>
              <w:spacing w:before="6" w:after="6"/>
              <w:rPr>
                <w:color w:val="000000" w:themeColor="text1"/>
              </w:rPr>
            </w:pPr>
          </w:p>
          <w:p w:rsidR="00CE5EDB" w:rsidRPr="002A3CA8" w:rsidRDefault="00CE5EDB" w:rsidP="004631AC">
            <w:pPr>
              <w:tabs>
                <w:tab w:val="left" w:pos="585"/>
              </w:tabs>
              <w:spacing w:before="6" w:after="6"/>
              <w:rPr>
                <w:color w:val="000000" w:themeColor="text1"/>
              </w:rPr>
            </w:pPr>
            <w:r w:rsidRPr="002A3CA8">
              <w:rPr>
                <w:color w:val="000000" w:themeColor="text1"/>
              </w:rPr>
              <w:t>Substance to be considered in this Class (box 10)</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8.3</w:t>
            </w:r>
            <w:r w:rsidRPr="002A3CA8">
              <w:rPr>
                <w:color w:val="000000" w:themeColor="text1"/>
              </w:rPr>
              <w:tab/>
              <w:t>Exit:</w:t>
            </w:r>
          </w:p>
        </w:tc>
        <w:tc>
          <w:tcPr>
            <w:tcW w:w="3544" w:type="dxa"/>
          </w:tcPr>
          <w:p w:rsidR="00CE5EDB" w:rsidRPr="002A3CA8" w:rsidRDefault="00CE5EDB" w:rsidP="004631AC">
            <w:pPr>
              <w:spacing w:before="6" w:after="6"/>
              <w:rPr>
                <w:color w:val="000000" w:themeColor="text1"/>
              </w:rPr>
            </w:pPr>
            <w:r w:rsidRPr="002A3CA8">
              <w:rPr>
                <w:color w:val="000000" w:themeColor="text1"/>
              </w:rPr>
              <w:t>Go to Box 11</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p>
        </w:tc>
        <w:tc>
          <w:tcPr>
            <w:tcW w:w="3544" w:type="dxa"/>
          </w:tcPr>
          <w:p w:rsidR="00CE5EDB" w:rsidRPr="002A3CA8" w:rsidRDefault="00CE5EDB" w:rsidP="004631AC">
            <w:pPr>
              <w:spacing w:before="6" w:after="6"/>
              <w:rPr>
                <w:color w:val="000000" w:themeColor="text1"/>
              </w:rPr>
            </w:pP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9.</w:t>
            </w:r>
            <w:r w:rsidRPr="002A3CA8">
              <w:rPr>
                <w:color w:val="000000" w:themeColor="text1"/>
              </w:rPr>
              <w:tab/>
              <w:t>Box 11:</w:t>
            </w:r>
          </w:p>
        </w:tc>
        <w:tc>
          <w:tcPr>
            <w:tcW w:w="3544" w:type="dxa"/>
          </w:tcPr>
          <w:p w:rsidR="00CE5EDB" w:rsidRPr="002A3CA8" w:rsidRDefault="00CE5EDB" w:rsidP="004631AC">
            <w:pPr>
              <w:spacing w:before="6" w:after="6"/>
              <w:rPr>
                <w:color w:val="000000" w:themeColor="text1"/>
              </w:rPr>
            </w:pPr>
            <w:r w:rsidRPr="002A3CA8">
              <w:rPr>
                <w:color w:val="000000" w:themeColor="text1"/>
              </w:rPr>
              <w:t>Test Series 3</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bookmarkStart w:id="18" w:name="_Hlk493063705"/>
            <w:r w:rsidRPr="002A3CA8">
              <w:rPr>
                <w:color w:val="000000" w:themeColor="text1"/>
              </w:rPr>
              <w:t>9</w:t>
            </w:r>
            <w:bookmarkEnd w:id="18"/>
            <w:r w:rsidRPr="002A3CA8">
              <w:rPr>
                <w:color w:val="000000" w:themeColor="text1"/>
              </w:rPr>
              <w:t>.1</w:t>
            </w:r>
            <w:r w:rsidRPr="002A3CA8">
              <w:rPr>
                <w:color w:val="000000" w:themeColor="text1"/>
              </w:rPr>
              <w:tab/>
              <w:t>Thermal stability:</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75 °C/48 hour test (test 3 (c))</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9.2</w:t>
            </w:r>
            <w:r w:rsidRPr="002A3CA8">
              <w:rPr>
                <w:color w:val="000000" w:themeColor="text1"/>
              </w:rPr>
              <w:tab/>
              <w:t>Sample conditions:</w:t>
            </w:r>
          </w:p>
        </w:tc>
        <w:tc>
          <w:tcPr>
            <w:tcW w:w="3544" w:type="dxa"/>
          </w:tcPr>
          <w:p w:rsidR="00CE5EDB" w:rsidRPr="002A3CA8" w:rsidRDefault="00CE5EDB" w:rsidP="004631AC">
            <w:pPr>
              <w:spacing w:before="6" w:after="6"/>
              <w:rPr>
                <w:color w:val="000000" w:themeColor="text1"/>
              </w:rPr>
            </w:pPr>
            <w:r w:rsidRPr="002A3CA8">
              <w:rPr>
                <w:color w:val="000000" w:themeColor="text1"/>
              </w:rPr>
              <w:t>100 g of substance at 75 °C</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9.3</w:t>
            </w:r>
            <w:r w:rsidRPr="002A3CA8">
              <w:rPr>
                <w:color w:val="000000" w:themeColor="text1"/>
              </w:rPr>
              <w:tab/>
              <w:t>Observations:</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No ignition, explosion, self-heating or visible decomposition</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9.4</w:t>
            </w:r>
            <w:r w:rsidRPr="002A3CA8">
              <w:rPr>
                <w:color w:val="000000" w:themeColor="text1"/>
              </w:rPr>
              <w:tab/>
              <w:t>Result:</w:t>
            </w:r>
          </w:p>
        </w:tc>
        <w:tc>
          <w:tcPr>
            <w:tcW w:w="3544" w:type="dxa"/>
          </w:tcPr>
          <w:p w:rsidR="00CE5EDB" w:rsidRPr="002A3CA8" w:rsidRDefault="00CE5EDB" w:rsidP="004631AC">
            <w:pPr>
              <w:tabs>
                <w:tab w:val="left" w:pos="585"/>
              </w:tabs>
              <w:spacing w:before="6" w:after="6"/>
              <w:rPr>
                <w:color w:val="000000" w:themeColor="text1"/>
              </w:rPr>
            </w:pPr>
            <w:r w:rsidRPr="002A3CA8">
              <w:rPr>
                <w:color w:val="000000" w:themeColor="text1"/>
              </w:rPr>
              <w:t>"-", thermally stable</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9.5</w:t>
            </w:r>
            <w:r w:rsidRPr="002A3CA8">
              <w:rPr>
                <w:color w:val="000000" w:themeColor="text1"/>
              </w:rPr>
              <w:tab/>
              <w:t>Impact sensitivity:</w:t>
            </w:r>
            <w:r w:rsidRPr="002A3CA8">
              <w:rPr>
                <w:color w:val="000000" w:themeColor="text1"/>
              </w:rPr>
              <w:tab/>
            </w:r>
          </w:p>
        </w:tc>
        <w:tc>
          <w:tcPr>
            <w:tcW w:w="3544" w:type="dxa"/>
          </w:tcPr>
          <w:p w:rsidR="00CE5EDB" w:rsidRPr="002A3CA8" w:rsidRDefault="00CE5EDB" w:rsidP="004631AC">
            <w:pPr>
              <w:spacing w:before="6" w:after="6"/>
              <w:rPr>
                <w:color w:val="000000" w:themeColor="text1"/>
              </w:rPr>
            </w:pPr>
            <w:r w:rsidRPr="002A3CA8">
              <w:rPr>
                <w:color w:val="000000" w:themeColor="text1"/>
              </w:rPr>
              <w:t>BAM fallhammer test (test 3 (a) (ii))</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9.6</w:t>
            </w:r>
            <w:r w:rsidRPr="002A3CA8">
              <w:rPr>
                <w:color w:val="000000" w:themeColor="text1"/>
              </w:rPr>
              <w:tab/>
              <w:t>Sample conditions:</w:t>
            </w:r>
          </w:p>
        </w:tc>
        <w:tc>
          <w:tcPr>
            <w:tcW w:w="3544" w:type="dxa"/>
          </w:tcPr>
          <w:p w:rsidR="00CE5EDB" w:rsidRPr="002A3CA8" w:rsidRDefault="00CE5EDB" w:rsidP="004631AC">
            <w:pPr>
              <w:spacing w:before="6" w:after="6"/>
              <w:rPr>
                <w:color w:val="000000" w:themeColor="text1"/>
              </w:rPr>
            </w:pPr>
            <w:r w:rsidRPr="002A3CA8">
              <w:rPr>
                <w:color w:val="000000" w:themeColor="text1"/>
              </w:rPr>
              <w:t>as received</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lastRenderedPageBreak/>
              <w:t>9.7</w:t>
            </w:r>
            <w:r w:rsidRPr="002A3CA8">
              <w:rPr>
                <w:color w:val="000000" w:themeColor="text1"/>
              </w:rPr>
              <w:tab/>
              <w:t>Observations:</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Limiting impact energy 25 J</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9.8</w:t>
            </w:r>
            <w:r w:rsidRPr="002A3CA8">
              <w:rPr>
                <w:color w:val="000000" w:themeColor="text1"/>
              </w:rPr>
              <w:tab/>
              <w:t>Result:</w:t>
            </w:r>
          </w:p>
        </w:tc>
        <w:tc>
          <w:tcPr>
            <w:tcW w:w="3544" w:type="dxa"/>
          </w:tcPr>
          <w:p w:rsidR="00CE5EDB" w:rsidRPr="002A3CA8" w:rsidRDefault="00CE5EDB"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bookmarkStart w:id="19" w:name="_Hlk493063844"/>
            <w:r w:rsidRPr="002A3CA8">
              <w:rPr>
                <w:color w:val="000000" w:themeColor="text1"/>
              </w:rPr>
              <w:t xml:space="preserve">"-", not unstable in </w:t>
            </w:r>
            <w:r>
              <w:rPr>
                <w:color w:val="000000" w:themeColor="text1"/>
              </w:rPr>
              <w:t xml:space="preserve">the </w:t>
            </w:r>
            <w:r w:rsidRPr="002A3CA8">
              <w:rPr>
                <w:color w:val="000000" w:themeColor="text1"/>
              </w:rPr>
              <w:t xml:space="preserve">form </w:t>
            </w:r>
            <w:r>
              <w:rPr>
                <w:color w:val="000000" w:themeColor="text1"/>
              </w:rPr>
              <w:t xml:space="preserve">it was </w:t>
            </w:r>
            <w:r w:rsidRPr="002A3CA8">
              <w:rPr>
                <w:color w:val="000000" w:themeColor="text1"/>
              </w:rPr>
              <w:t>tested</w:t>
            </w:r>
            <w:bookmarkEnd w:id="19"/>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9.9</w:t>
            </w:r>
            <w:r w:rsidRPr="002A3CA8">
              <w:rPr>
                <w:color w:val="000000" w:themeColor="text1"/>
              </w:rPr>
              <w:tab/>
              <w:t>Friction sensitivity:</w:t>
            </w:r>
          </w:p>
        </w:tc>
        <w:tc>
          <w:tcPr>
            <w:tcW w:w="3544" w:type="dxa"/>
          </w:tcPr>
          <w:p w:rsidR="00CE5EDB" w:rsidRPr="002A3CA8" w:rsidRDefault="00CE5EDB" w:rsidP="004631AC">
            <w:pPr>
              <w:spacing w:before="6" w:after="6"/>
              <w:rPr>
                <w:color w:val="000000" w:themeColor="text1"/>
              </w:rPr>
            </w:pPr>
            <w:r w:rsidRPr="002A3CA8">
              <w:rPr>
                <w:color w:val="000000" w:themeColor="text1"/>
              </w:rPr>
              <w:t>BAM friction test (test 3 (b) (i))</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9.10</w:t>
            </w:r>
            <w:r w:rsidRPr="002A3CA8">
              <w:rPr>
                <w:color w:val="000000" w:themeColor="text1"/>
              </w:rPr>
              <w:tab/>
              <w:t>Sample conditions:</w:t>
            </w:r>
          </w:p>
        </w:tc>
        <w:tc>
          <w:tcPr>
            <w:tcW w:w="3544" w:type="dxa"/>
          </w:tcPr>
          <w:p w:rsidR="00CE5EDB" w:rsidRPr="002A3CA8" w:rsidRDefault="00CE5EDB" w:rsidP="004631AC">
            <w:pPr>
              <w:spacing w:before="6" w:after="6"/>
              <w:rPr>
                <w:color w:val="000000" w:themeColor="text1"/>
              </w:rPr>
            </w:pPr>
            <w:r w:rsidRPr="002A3CA8">
              <w:rPr>
                <w:color w:val="000000" w:themeColor="text1"/>
              </w:rPr>
              <w:t>as received</w:t>
            </w:r>
          </w:p>
        </w:tc>
      </w:tr>
      <w:tr w:rsidR="00CE5EDB" w:rsidRPr="002A3CA8" w:rsidTr="00A413DC">
        <w:tc>
          <w:tcPr>
            <w:tcW w:w="2835" w:type="dxa"/>
          </w:tcPr>
          <w:p w:rsidR="00CE5EDB" w:rsidRPr="002A3CA8" w:rsidRDefault="00CE5EDB" w:rsidP="004631AC">
            <w:pPr>
              <w:tabs>
                <w:tab w:val="left" w:pos="585"/>
                <w:tab w:val="left" w:pos="4368"/>
              </w:tabs>
              <w:spacing w:before="6" w:after="6"/>
              <w:rPr>
                <w:color w:val="000000" w:themeColor="text1"/>
              </w:rPr>
            </w:pPr>
            <w:r w:rsidRPr="002A3CA8">
              <w:rPr>
                <w:color w:val="000000" w:themeColor="text1"/>
              </w:rPr>
              <w:t>9.11</w:t>
            </w:r>
            <w:r w:rsidRPr="002A3CA8">
              <w:rPr>
                <w:color w:val="000000" w:themeColor="text1"/>
              </w:rPr>
              <w:tab/>
              <w:t>Observations:</w:t>
            </w:r>
          </w:p>
        </w:tc>
        <w:tc>
          <w:tcPr>
            <w:tcW w:w="3544" w:type="dxa"/>
          </w:tcPr>
          <w:p w:rsidR="00CE5EDB" w:rsidRPr="002A3CA8" w:rsidRDefault="00CE5EDB" w:rsidP="004631AC">
            <w:pPr>
              <w:spacing w:before="6" w:after="6"/>
              <w:rPr>
                <w:color w:val="000000" w:themeColor="text1"/>
              </w:rPr>
            </w:pPr>
            <w:r w:rsidRPr="002A3CA8">
              <w:rPr>
                <w:color w:val="000000" w:themeColor="text1"/>
              </w:rPr>
              <w:t>Limiting load &gt; 360 N</w:t>
            </w:r>
          </w:p>
        </w:tc>
      </w:tr>
      <w:tr w:rsidR="00900C30" w:rsidRPr="002A3CA8" w:rsidTr="00A413DC">
        <w:tc>
          <w:tcPr>
            <w:tcW w:w="2835" w:type="dxa"/>
          </w:tcPr>
          <w:p w:rsidR="00900C30" w:rsidRPr="002A3CA8" w:rsidRDefault="00900C30" w:rsidP="004631AC">
            <w:pPr>
              <w:tabs>
                <w:tab w:val="left" w:pos="585"/>
                <w:tab w:val="left" w:pos="4368"/>
              </w:tabs>
              <w:spacing w:before="6" w:after="6"/>
              <w:rPr>
                <w:color w:val="000000" w:themeColor="text1"/>
              </w:rPr>
            </w:pPr>
            <w:r w:rsidRPr="002A3CA8">
              <w:rPr>
                <w:color w:val="000000" w:themeColor="text1"/>
              </w:rPr>
              <w:t>9.12</w:t>
            </w:r>
            <w:r w:rsidRPr="002A3CA8">
              <w:rPr>
                <w:color w:val="000000" w:themeColor="text1"/>
              </w:rPr>
              <w:tab/>
              <w:t>Result:</w:t>
            </w:r>
          </w:p>
        </w:tc>
        <w:tc>
          <w:tcPr>
            <w:tcW w:w="3544" w:type="dxa"/>
          </w:tcPr>
          <w:p w:rsidR="00900C30" w:rsidRPr="002A3CA8"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xml:space="preserve">"-", not unstable in </w:t>
            </w:r>
            <w:r>
              <w:rPr>
                <w:color w:val="000000" w:themeColor="text1"/>
              </w:rPr>
              <w:t xml:space="preserve">the </w:t>
            </w:r>
            <w:r w:rsidRPr="002A3CA8">
              <w:rPr>
                <w:color w:val="000000" w:themeColor="text1"/>
              </w:rPr>
              <w:t xml:space="preserve">form </w:t>
            </w:r>
            <w:r>
              <w:rPr>
                <w:color w:val="000000" w:themeColor="text1"/>
              </w:rPr>
              <w:t xml:space="preserve">it was </w:t>
            </w:r>
            <w:r w:rsidRPr="002A3CA8">
              <w:rPr>
                <w:color w:val="000000" w:themeColor="text1"/>
              </w:rPr>
              <w:t>tested</w:t>
            </w:r>
          </w:p>
        </w:tc>
      </w:tr>
      <w:tr w:rsidR="00900C30" w:rsidRPr="002A3CA8" w:rsidTr="00A413DC">
        <w:tc>
          <w:tcPr>
            <w:tcW w:w="2835" w:type="dxa"/>
          </w:tcPr>
          <w:p w:rsidR="00A413DC" w:rsidRDefault="00900C30" w:rsidP="00A413DC">
            <w:pPr>
              <w:tabs>
                <w:tab w:val="left" w:pos="585"/>
                <w:tab w:val="left" w:pos="4368"/>
              </w:tabs>
              <w:snapToGrid w:val="0"/>
              <w:spacing w:line="240" w:lineRule="auto"/>
              <w:rPr>
                <w:color w:val="000000" w:themeColor="text1"/>
              </w:rPr>
            </w:pPr>
            <w:r w:rsidRPr="002A3CA8">
              <w:rPr>
                <w:color w:val="000000" w:themeColor="text1"/>
              </w:rPr>
              <w:t>9.13</w:t>
            </w:r>
            <w:r w:rsidRPr="002A3CA8">
              <w:rPr>
                <w:color w:val="000000" w:themeColor="text1"/>
              </w:rPr>
              <w:tab/>
              <w:t xml:space="preserve">Ease of deflagration to </w:t>
            </w:r>
          </w:p>
          <w:p w:rsidR="00900C30" w:rsidRPr="002A3CA8" w:rsidRDefault="00A413DC" w:rsidP="00A413DC">
            <w:pPr>
              <w:tabs>
                <w:tab w:val="left" w:pos="585"/>
                <w:tab w:val="left" w:pos="4368"/>
              </w:tabs>
              <w:spacing w:after="100" w:afterAutospacing="1" w:line="240" w:lineRule="auto"/>
              <w:rPr>
                <w:color w:val="000000" w:themeColor="text1"/>
              </w:rPr>
            </w:pPr>
            <w:r>
              <w:rPr>
                <w:color w:val="000000" w:themeColor="text1"/>
              </w:rPr>
              <w:t xml:space="preserve">            </w:t>
            </w:r>
            <w:r w:rsidR="00900C30" w:rsidRPr="002A3CA8">
              <w:rPr>
                <w:color w:val="000000" w:themeColor="text1"/>
              </w:rPr>
              <w:t>detonation transition</w:t>
            </w:r>
          </w:p>
        </w:tc>
        <w:tc>
          <w:tcPr>
            <w:tcW w:w="3544" w:type="dxa"/>
          </w:tcPr>
          <w:p w:rsidR="00900C30" w:rsidRPr="002A3CA8" w:rsidRDefault="00900C30" w:rsidP="00A413D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Small scale burning test (test 3 (d))</w:t>
            </w:r>
          </w:p>
        </w:tc>
      </w:tr>
      <w:tr w:rsidR="00900C30" w:rsidRPr="002A3CA8" w:rsidTr="00A413DC">
        <w:tc>
          <w:tcPr>
            <w:tcW w:w="2835" w:type="dxa"/>
          </w:tcPr>
          <w:p w:rsidR="00900C30" w:rsidRPr="002A3CA8" w:rsidRDefault="00900C30" w:rsidP="004631AC">
            <w:pPr>
              <w:tabs>
                <w:tab w:val="left" w:pos="585"/>
                <w:tab w:val="left" w:pos="4368"/>
              </w:tabs>
              <w:spacing w:before="6" w:after="6"/>
              <w:rPr>
                <w:color w:val="000000" w:themeColor="text1"/>
              </w:rPr>
            </w:pPr>
            <w:r w:rsidRPr="002A3CA8">
              <w:rPr>
                <w:color w:val="000000" w:themeColor="text1"/>
              </w:rPr>
              <w:t>9.14</w:t>
            </w:r>
            <w:r w:rsidRPr="002A3CA8">
              <w:rPr>
                <w:color w:val="000000" w:themeColor="text1"/>
              </w:rPr>
              <w:tab/>
              <w:t>Sample conditions:</w:t>
            </w:r>
          </w:p>
        </w:tc>
        <w:tc>
          <w:tcPr>
            <w:tcW w:w="3544" w:type="dxa"/>
          </w:tcPr>
          <w:p w:rsidR="00900C30" w:rsidRPr="002A3CA8" w:rsidRDefault="00900C30" w:rsidP="004631AC">
            <w:pPr>
              <w:spacing w:before="6" w:after="6"/>
              <w:rPr>
                <w:color w:val="000000" w:themeColor="text1"/>
              </w:rPr>
            </w:pPr>
            <w:r w:rsidRPr="002A3CA8">
              <w:rPr>
                <w:color w:val="000000" w:themeColor="text1"/>
              </w:rPr>
              <w:t>Ambient temperature</w:t>
            </w:r>
          </w:p>
        </w:tc>
      </w:tr>
      <w:tr w:rsidR="00900C30" w:rsidRPr="002A3CA8" w:rsidTr="00A413DC">
        <w:tc>
          <w:tcPr>
            <w:tcW w:w="2835" w:type="dxa"/>
          </w:tcPr>
          <w:p w:rsidR="00900C30" w:rsidRPr="002A3CA8" w:rsidRDefault="00900C30" w:rsidP="004631AC">
            <w:pPr>
              <w:tabs>
                <w:tab w:val="left" w:pos="585"/>
                <w:tab w:val="left" w:pos="4368"/>
              </w:tabs>
              <w:spacing w:before="6" w:after="6"/>
              <w:rPr>
                <w:color w:val="000000" w:themeColor="text1"/>
              </w:rPr>
            </w:pPr>
            <w:r w:rsidRPr="002A3CA8">
              <w:rPr>
                <w:color w:val="000000" w:themeColor="text1"/>
              </w:rPr>
              <w:t>9.15</w:t>
            </w:r>
            <w:r w:rsidRPr="002A3CA8">
              <w:rPr>
                <w:color w:val="000000" w:themeColor="text1"/>
              </w:rPr>
              <w:tab/>
              <w:t>Observations:</w:t>
            </w:r>
          </w:p>
        </w:tc>
        <w:tc>
          <w:tcPr>
            <w:tcW w:w="3544" w:type="dxa"/>
          </w:tcPr>
          <w:p w:rsidR="00900C30" w:rsidRPr="002A3CA8"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Ignites and burns slowly</w:t>
            </w:r>
          </w:p>
        </w:tc>
      </w:tr>
      <w:tr w:rsidR="00900C30" w:rsidRPr="002A3CA8" w:rsidTr="00A413DC">
        <w:tc>
          <w:tcPr>
            <w:tcW w:w="2835" w:type="dxa"/>
          </w:tcPr>
          <w:p w:rsidR="00900C30" w:rsidRPr="002A3CA8" w:rsidRDefault="00900C30" w:rsidP="004631AC">
            <w:pPr>
              <w:tabs>
                <w:tab w:val="left" w:pos="585"/>
                <w:tab w:val="left" w:pos="4368"/>
              </w:tabs>
              <w:spacing w:before="6" w:after="6"/>
              <w:rPr>
                <w:color w:val="000000" w:themeColor="text1"/>
              </w:rPr>
            </w:pPr>
            <w:r w:rsidRPr="002A3CA8">
              <w:rPr>
                <w:color w:val="000000" w:themeColor="text1"/>
              </w:rPr>
              <w:t>9.16</w:t>
            </w:r>
            <w:r w:rsidRPr="002A3CA8">
              <w:rPr>
                <w:color w:val="000000" w:themeColor="text1"/>
              </w:rPr>
              <w:tab/>
              <w:t>Result:</w:t>
            </w:r>
          </w:p>
        </w:tc>
        <w:tc>
          <w:tcPr>
            <w:tcW w:w="3544" w:type="dxa"/>
          </w:tcPr>
          <w:p w:rsidR="00900C30" w:rsidRPr="002A3CA8" w:rsidRDefault="00900C30" w:rsidP="004631AC">
            <w:pPr>
              <w:tabs>
                <w:tab w:val="left" w:pos="1000"/>
              </w:tabs>
              <w:spacing w:before="6" w:after="6"/>
              <w:rPr>
                <w:color w:val="000000" w:themeColor="text1"/>
              </w:rPr>
            </w:pPr>
            <w:r w:rsidRPr="002A3CA8">
              <w:rPr>
                <w:color w:val="000000" w:themeColor="text1"/>
              </w:rPr>
              <w:t xml:space="preserve">"-", not unstable in </w:t>
            </w:r>
            <w:r>
              <w:rPr>
                <w:color w:val="000000" w:themeColor="text1"/>
              </w:rPr>
              <w:t xml:space="preserve">the </w:t>
            </w:r>
            <w:r w:rsidRPr="002A3CA8">
              <w:rPr>
                <w:color w:val="000000" w:themeColor="text1"/>
              </w:rPr>
              <w:t xml:space="preserve">form </w:t>
            </w:r>
            <w:r>
              <w:rPr>
                <w:color w:val="000000" w:themeColor="text1"/>
              </w:rPr>
              <w:t xml:space="preserve">it was </w:t>
            </w:r>
            <w:r w:rsidRPr="002A3CA8">
              <w:rPr>
                <w:color w:val="000000" w:themeColor="text1"/>
              </w:rPr>
              <w:t>tested</w:t>
            </w:r>
          </w:p>
        </w:tc>
      </w:tr>
      <w:tr w:rsidR="00900C30" w:rsidRPr="002A3CA8" w:rsidTr="00A413DC">
        <w:tc>
          <w:tcPr>
            <w:tcW w:w="2835" w:type="dxa"/>
          </w:tcPr>
          <w:p w:rsidR="00900C30" w:rsidRPr="002A3CA8" w:rsidRDefault="00900C30" w:rsidP="004631AC">
            <w:pPr>
              <w:tabs>
                <w:tab w:val="left" w:pos="585"/>
                <w:tab w:val="left" w:pos="4368"/>
              </w:tabs>
              <w:spacing w:before="6" w:after="6"/>
              <w:rPr>
                <w:color w:val="000000" w:themeColor="text1"/>
              </w:rPr>
            </w:pPr>
            <w:r w:rsidRPr="002A3CA8">
              <w:rPr>
                <w:color w:val="000000" w:themeColor="text1"/>
              </w:rPr>
              <w:t>9.17</w:t>
            </w:r>
            <w:r w:rsidRPr="002A3CA8">
              <w:rPr>
                <w:color w:val="000000" w:themeColor="text1"/>
              </w:rPr>
              <w:tab/>
              <w:t>Exit:</w:t>
            </w:r>
          </w:p>
        </w:tc>
        <w:tc>
          <w:tcPr>
            <w:tcW w:w="3544" w:type="dxa"/>
          </w:tcPr>
          <w:p w:rsidR="00900C30" w:rsidRPr="002A3CA8" w:rsidRDefault="00900C30" w:rsidP="004631AC">
            <w:pPr>
              <w:spacing w:before="6" w:after="6"/>
              <w:rPr>
                <w:color w:val="000000" w:themeColor="text1"/>
              </w:rPr>
            </w:pPr>
            <w:r w:rsidRPr="002A3CA8">
              <w:rPr>
                <w:color w:val="000000" w:themeColor="text1"/>
              </w:rPr>
              <w:t>Go to box 12</w:t>
            </w:r>
          </w:p>
        </w:tc>
      </w:tr>
      <w:tr w:rsidR="00900C30" w:rsidRPr="002A3CA8" w:rsidTr="00A413DC">
        <w:tc>
          <w:tcPr>
            <w:tcW w:w="2835" w:type="dxa"/>
          </w:tcPr>
          <w:p w:rsidR="00900C30" w:rsidRPr="002A3CA8" w:rsidRDefault="00900C30" w:rsidP="004631AC">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c>
          <w:tcPr>
            <w:tcW w:w="3544" w:type="dxa"/>
          </w:tcPr>
          <w:p w:rsidR="00900C30" w:rsidRPr="002A3CA8"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r>
      <w:tr w:rsidR="00900C30" w:rsidRPr="002A3CA8" w:rsidTr="00A413DC">
        <w:tc>
          <w:tcPr>
            <w:tcW w:w="2835" w:type="dxa"/>
          </w:tcPr>
          <w:p w:rsidR="00900C30" w:rsidRPr="002A3CA8" w:rsidRDefault="00900C30" w:rsidP="004631AC">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b/>
                <w:bCs/>
                <w:color w:val="000000" w:themeColor="text1"/>
              </w:rPr>
              <w:t>10.</w:t>
            </w:r>
            <w:r w:rsidRPr="002A3CA8">
              <w:rPr>
                <w:b/>
                <w:bCs/>
                <w:color w:val="000000" w:themeColor="text1"/>
              </w:rPr>
              <w:tab/>
              <w:t>Box 12:</w:t>
            </w:r>
          </w:p>
        </w:tc>
        <w:tc>
          <w:tcPr>
            <w:tcW w:w="3544" w:type="dxa"/>
          </w:tcPr>
          <w:p w:rsidR="00900C30" w:rsidRPr="002A3CA8"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t>Is it thermally stable?</w:t>
            </w:r>
          </w:p>
        </w:tc>
      </w:tr>
      <w:tr w:rsidR="00900C30" w:rsidRPr="002A3CA8" w:rsidTr="00A413DC">
        <w:tc>
          <w:tcPr>
            <w:tcW w:w="2835" w:type="dxa"/>
          </w:tcPr>
          <w:p w:rsidR="00900C30" w:rsidRPr="002A3CA8" w:rsidRDefault="00900C30" w:rsidP="004631AC">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color w:val="000000" w:themeColor="text1"/>
              </w:rPr>
            </w:pPr>
            <w:r>
              <w:rPr>
                <w:color w:val="000000" w:themeColor="text1"/>
              </w:rPr>
              <w:t>10</w:t>
            </w:r>
            <w:r w:rsidRPr="002A3CA8">
              <w:rPr>
                <w:color w:val="000000" w:themeColor="text1"/>
              </w:rPr>
              <w:t>.1</w:t>
            </w:r>
            <w:r w:rsidRPr="002A3CA8">
              <w:rPr>
                <w:color w:val="000000" w:themeColor="text1"/>
              </w:rPr>
              <w:tab/>
              <w:t>Answer from test 3(c):</w:t>
            </w:r>
          </w:p>
        </w:tc>
        <w:tc>
          <w:tcPr>
            <w:tcW w:w="3544" w:type="dxa"/>
          </w:tcPr>
          <w:p w:rsidR="00900C30" w:rsidRPr="002A3CA8"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Yes</w:t>
            </w:r>
          </w:p>
        </w:tc>
      </w:tr>
      <w:tr w:rsidR="00900C30" w:rsidRPr="002A3CA8" w:rsidTr="00A413DC">
        <w:tc>
          <w:tcPr>
            <w:tcW w:w="2835" w:type="dxa"/>
          </w:tcPr>
          <w:p w:rsidR="00900C30" w:rsidRPr="002A3CA8" w:rsidRDefault="00900C30" w:rsidP="004631AC">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Pr>
                <w:color w:val="000000" w:themeColor="text1"/>
              </w:rPr>
              <w:t>10</w:t>
            </w:r>
            <w:r w:rsidRPr="002A3CA8">
              <w:rPr>
                <w:color w:val="000000" w:themeColor="text1"/>
              </w:rPr>
              <w:t>.2</w:t>
            </w:r>
            <w:r w:rsidRPr="002A3CA8">
              <w:rPr>
                <w:color w:val="000000" w:themeColor="text1"/>
              </w:rPr>
              <w:tab/>
              <w:t>Exit:</w:t>
            </w:r>
          </w:p>
        </w:tc>
        <w:tc>
          <w:tcPr>
            <w:tcW w:w="3544" w:type="dxa"/>
          </w:tcPr>
          <w:p w:rsidR="00900C30" w:rsidRPr="002A3CA8"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Go to box 13</w:t>
            </w:r>
          </w:p>
        </w:tc>
      </w:tr>
      <w:tr w:rsidR="00900C30" w:rsidRPr="002A3CA8" w:rsidTr="00A413DC">
        <w:tc>
          <w:tcPr>
            <w:tcW w:w="2835" w:type="dxa"/>
          </w:tcPr>
          <w:p w:rsidR="00900C30" w:rsidRPr="002A3CA8" w:rsidRDefault="00900C30" w:rsidP="004631AC">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c>
          <w:tcPr>
            <w:tcW w:w="3544" w:type="dxa"/>
          </w:tcPr>
          <w:p w:rsidR="00900C30" w:rsidRPr="002A3CA8"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r>
      <w:tr w:rsidR="00900C30" w:rsidRPr="002A3CA8" w:rsidTr="00A413DC">
        <w:tc>
          <w:tcPr>
            <w:tcW w:w="2835" w:type="dxa"/>
          </w:tcPr>
          <w:p w:rsidR="00900C30" w:rsidRPr="002A3CA8" w:rsidRDefault="00900C30" w:rsidP="004631AC">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b/>
                <w:bCs/>
                <w:color w:val="000000" w:themeColor="text1"/>
              </w:rPr>
              <w:t>11.</w:t>
            </w:r>
            <w:r w:rsidRPr="002A3CA8">
              <w:rPr>
                <w:b/>
                <w:bCs/>
                <w:color w:val="000000" w:themeColor="text1"/>
              </w:rPr>
              <w:tab/>
              <w:t>Box 13:</w:t>
            </w:r>
          </w:p>
        </w:tc>
        <w:tc>
          <w:tcPr>
            <w:tcW w:w="3544" w:type="dxa"/>
          </w:tcPr>
          <w:p w:rsidR="00900C30" w:rsidRPr="002A3CA8" w:rsidRDefault="00900C30" w:rsidP="004631AC">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Is it unstable in the form it was tested?</w:t>
            </w:r>
          </w:p>
        </w:tc>
      </w:tr>
      <w:tr w:rsidR="00900C30" w:rsidRPr="002A3CA8" w:rsidTr="00A413DC">
        <w:tc>
          <w:tcPr>
            <w:tcW w:w="2835" w:type="dxa"/>
          </w:tcPr>
          <w:p w:rsidR="00900C30" w:rsidRPr="002A3CA8" w:rsidRDefault="00900C30" w:rsidP="004631AC">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color w:val="000000" w:themeColor="text1"/>
              </w:rPr>
            </w:pPr>
            <w:r w:rsidRPr="002A3CA8">
              <w:rPr>
                <w:color w:val="000000" w:themeColor="text1"/>
              </w:rPr>
              <w:t>11.1</w:t>
            </w:r>
            <w:r w:rsidRPr="002A3CA8">
              <w:rPr>
                <w:color w:val="000000" w:themeColor="text1"/>
              </w:rPr>
              <w:tab/>
              <w:t>Answer from Test Series</w:t>
            </w:r>
            <w:r>
              <w:rPr>
                <w:color w:val="000000" w:themeColor="text1"/>
              </w:rPr>
              <w:t>3</w:t>
            </w:r>
          </w:p>
        </w:tc>
        <w:tc>
          <w:tcPr>
            <w:tcW w:w="3544" w:type="dxa"/>
          </w:tcPr>
          <w:p w:rsidR="00900C30" w:rsidRPr="002A3CA8" w:rsidRDefault="00900C30" w:rsidP="004631AC">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No</w:t>
            </w:r>
          </w:p>
        </w:tc>
      </w:tr>
      <w:tr w:rsidR="00900C30" w:rsidRPr="002A3CA8" w:rsidTr="00A413DC">
        <w:tc>
          <w:tcPr>
            <w:tcW w:w="2835" w:type="dxa"/>
          </w:tcPr>
          <w:p w:rsidR="00900C30" w:rsidRPr="002A3CA8" w:rsidRDefault="00900C30" w:rsidP="004631AC">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 xml:space="preserve">11.2 </w:t>
            </w:r>
            <w:r w:rsidRPr="002A3CA8">
              <w:rPr>
                <w:color w:val="000000" w:themeColor="text1"/>
              </w:rPr>
              <w:tab/>
              <w:t>Exit:</w:t>
            </w:r>
          </w:p>
        </w:tc>
        <w:tc>
          <w:tcPr>
            <w:tcW w:w="3544" w:type="dxa"/>
          </w:tcPr>
          <w:p w:rsidR="00900C30" w:rsidRPr="002A3CA8" w:rsidRDefault="00900C30" w:rsidP="004631AC">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Go to box 19</w:t>
            </w:r>
          </w:p>
        </w:tc>
      </w:tr>
      <w:tr w:rsidR="00900C30" w:rsidRPr="002A3CA8" w:rsidTr="00A413DC">
        <w:tc>
          <w:tcPr>
            <w:tcW w:w="2835" w:type="dxa"/>
          </w:tcPr>
          <w:p w:rsidR="00900C30" w:rsidRPr="002A3CA8" w:rsidRDefault="00900C30" w:rsidP="004631AC">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c>
          <w:tcPr>
            <w:tcW w:w="3544" w:type="dxa"/>
          </w:tcPr>
          <w:p w:rsidR="00900C30" w:rsidRPr="002A3CA8" w:rsidRDefault="00900C30" w:rsidP="004631AC">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r>
      <w:tr w:rsidR="00900C30" w:rsidRPr="002A3CA8" w:rsidTr="00A413DC">
        <w:tc>
          <w:tcPr>
            <w:tcW w:w="2835" w:type="dxa"/>
          </w:tcPr>
          <w:p w:rsidR="00900C30" w:rsidRPr="002A3CA8" w:rsidRDefault="00900C30" w:rsidP="004631AC">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b/>
                <w:bCs/>
                <w:color w:val="000000" w:themeColor="text1"/>
              </w:rPr>
              <w:t>12.</w:t>
            </w:r>
            <w:r w:rsidRPr="002A3CA8">
              <w:rPr>
                <w:b/>
                <w:bCs/>
                <w:color w:val="000000" w:themeColor="text1"/>
              </w:rPr>
              <w:tab/>
              <w:t>Conclusion:</w:t>
            </w:r>
          </w:p>
        </w:tc>
        <w:tc>
          <w:tcPr>
            <w:tcW w:w="3544" w:type="dxa"/>
          </w:tcPr>
          <w:p w:rsidR="00900C30" w:rsidRPr="002A3CA8"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PROVISIONALLY ACCEPT INTO THIS CLASS</w:t>
            </w:r>
          </w:p>
        </w:tc>
      </w:tr>
      <w:tr w:rsidR="00900C30" w:rsidRPr="002A3CA8" w:rsidTr="00A413DC">
        <w:tc>
          <w:tcPr>
            <w:tcW w:w="2835" w:type="dxa"/>
          </w:tcPr>
          <w:p w:rsidR="00900C30" w:rsidRPr="002A3CA8" w:rsidRDefault="00900C30" w:rsidP="004631AC">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color w:val="000000" w:themeColor="text1"/>
              </w:rPr>
            </w:pPr>
            <w:r w:rsidRPr="002A3CA8">
              <w:rPr>
                <w:color w:val="000000" w:themeColor="text1"/>
              </w:rPr>
              <w:t>12.1</w:t>
            </w:r>
            <w:r w:rsidRPr="002A3CA8">
              <w:rPr>
                <w:color w:val="000000" w:themeColor="text1"/>
              </w:rPr>
              <w:tab/>
              <w:t>Exit:</w:t>
            </w:r>
          </w:p>
        </w:tc>
        <w:tc>
          <w:tcPr>
            <w:tcW w:w="3544" w:type="dxa"/>
          </w:tcPr>
          <w:p w:rsidR="00900C30" w:rsidRPr="002A3CA8" w:rsidRDefault="00900C30" w:rsidP="004631AC">
            <w:pPr>
              <w:tabs>
                <w:tab w:val="left" w:pos="-19"/>
                <w:tab w:val="left" w:pos="1398"/>
                <w:tab w:val="left" w:pos="2192"/>
                <w:tab w:val="left" w:pos="2872"/>
                <w:tab w:val="left" w:pos="3420"/>
                <w:tab w:val="left" w:pos="4140"/>
                <w:tab w:val="left" w:pos="5253"/>
                <w:tab w:val="left" w:pos="6046"/>
                <w:tab w:val="left" w:pos="6784"/>
                <w:tab w:val="left" w:pos="7521"/>
                <w:tab w:val="left" w:pos="8258"/>
                <w:tab w:val="left" w:pos="8938"/>
              </w:tabs>
              <w:rPr>
                <w:color w:val="000000" w:themeColor="text1"/>
              </w:rPr>
            </w:pPr>
            <w:r w:rsidRPr="002A3CA8">
              <w:rPr>
                <w:color w:val="000000" w:themeColor="text1"/>
              </w:rPr>
              <w:t>Apply procedure for assignment to a division of the class of explosives</w:t>
            </w:r>
            <w:r>
              <w:rPr>
                <w:color w:val="000000" w:themeColor="text1"/>
              </w:rPr>
              <w:t xml:space="preserve"> </w:t>
            </w:r>
          </w:p>
        </w:tc>
      </w:tr>
    </w:tbl>
    <w:p w:rsidR="00900C30" w:rsidRDefault="00900C30" w:rsidP="00900C30">
      <w:pPr>
        <w:pStyle w:val="Bullet1G"/>
        <w:numPr>
          <w:ilvl w:val="0"/>
          <w:numId w:val="0"/>
        </w:numPr>
        <w:ind w:left="2268" w:hanging="1134"/>
        <w:jc w:val="right"/>
      </w:pPr>
      <w:r>
        <w:t>”</w:t>
      </w:r>
    </w:p>
    <w:p w:rsidR="00900C30" w:rsidRDefault="00900C30" w:rsidP="00900C30">
      <w:pPr>
        <w:pStyle w:val="SingleTxtG"/>
        <w:tabs>
          <w:tab w:val="left" w:pos="2835"/>
        </w:tabs>
        <w:ind w:left="2268" w:hanging="1134"/>
      </w:pPr>
      <w:r>
        <w:br w:type="page"/>
      </w:r>
      <w:r w:rsidRPr="00AF73CE">
        <w:lastRenderedPageBreak/>
        <w:t>Figure 10.7</w:t>
      </w:r>
      <w:r>
        <w:t xml:space="preserve"> </w:t>
      </w:r>
      <w:r w:rsidRPr="00AF73CE">
        <w:t>(b)</w:t>
      </w:r>
      <w:r w:rsidRPr="00AF73CE">
        <w:tab/>
      </w:r>
      <w:r>
        <w:t>Renumber c</w:t>
      </w:r>
      <w:r w:rsidRPr="00AF73CE">
        <w:t xml:space="preserve">urrent Figure 10.7 </w:t>
      </w:r>
      <w:r>
        <w:t>as</w:t>
      </w:r>
      <w:r w:rsidRPr="00AF73CE">
        <w:t xml:space="preserve"> 10.7</w:t>
      </w:r>
      <w:r>
        <w:t xml:space="preserve"> </w:t>
      </w:r>
      <w:r w:rsidRPr="00AF73CE">
        <w:t xml:space="preserve">(b) as amended </w:t>
      </w:r>
      <w:r>
        <w:t xml:space="preserve">to read as </w:t>
      </w:r>
      <w:r>
        <w:tab/>
        <w:t>follows</w:t>
      </w:r>
      <w:r w:rsidRPr="00AF73CE">
        <w:t>:</w:t>
      </w:r>
    </w:p>
    <w:p w:rsidR="00900C30" w:rsidRPr="009F058B" w:rsidRDefault="00900C30" w:rsidP="00900C30">
      <w:pPr>
        <w:numPr>
          <w:ilvl w:val="12"/>
          <w:numId w:val="0"/>
        </w:numPr>
        <w:tabs>
          <w:tab w:val="left" w:pos="718"/>
          <w:tab w:val="left" w:pos="1134"/>
          <w:tab w:val="left" w:pos="1398"/>
          <w:tab w:val="left" w:pos="2192"/>
          <w:tab w:val="left" w:pos="2872"/>
          <w:tab w:val="left" w:pos="3609"/>
          <w:tab w:val="left" w:pos="4402"/>
          <w:tab w:val="left" w:pos="5253"/>
          <w:tab w:val="left" w:pos="6046"/>
          <w:tab w:val="left" w:pos="6784"/>
          <w:tab w:val="left" w:pos="7521"/>
          <w:tab w:val="left" w:pos="8258"/>
          <w:tab w:val="left" w:pos="8938"/>
        </w:tabs>
        <w:ind w:left="1134" w:right="1134"/>
        <w:jc w:val="center"/>
        <w:rPr>
          <w:b/>
          <w:bCs/>
          <w:color w:val="000000" w:themeColor="text1"/>
          <w:szCs w:val="22"/>
        </w:rPr>
      </w:pPr>
      <w:r w:rsidRPr="009F058B">
        <w:rPr>
          <w:b/>
          <w:bCs/>
          <w:color w:val="000000" w:themeColor="text1"/>
          <w:szCs w:val="22"/>
        </w:rPr>
        <w:t xml:space="preserve">“Figure 10.7 (b): </w:t>
      </w:r>
      <w:r w:rsidRPr="009F058B">
        <w:rPr>
          <w:b/>
          <w:bCs/>
          <w:color w:val="000000" w:themeColor="text1"/>
          <w:szCs w:val="22"/>
        </w:rPr>
        <w:br/>
        <w:t>FLOW CHART FOR THE PROVISIONAL ACCEPTANCE OF MUSK XYLENE IN THE CLASS OF EXPLOSIVES</w:t>
      </w:r>
    </w:p>
    <w:p w:rsidR="00900C30" w:rsidRDefault="00900C30" w:rsidP="00900C30">
      <w:pPr>
        <w:suppressAutoHyphens w:val="0"/>
        <w:spacing w:line="240" w:lineRule="auto"/>
      </w:pPr>
    </w:p>
    <w:p w:rsidR="00900C30" w:rsidRPr="004631AC" w:rsidRDefault="00900C30" w:rsidP="004631AC">
      <w:r>
        <w:object w:dxaOrig="8836" w:dyaOrig="11521">
          <v:shape id="_x0000_i1032" type="#_x0000_t75" style="width:429.2pt;height:560.55pt" o:ole="">
            <v:imagedata r:id="rId23" o:title=""/>
          </v:shape>
          <o:OLEObject Type="Embed" ProgID="Visio.Drawing.15" ShapeID="_x0000_i1032" DrawAspect="Content" ObjectID="_1598361715" r:id="rId24"/>
        </w:object>
      </w:r>
    </w:p>
    <w:p w:rsidR="00900C30" w:rsidRPr="00DA57CC" w:rsidRDefault="00900C30" w:rsidP="00900C30">
      <w:pPr>
        <w:pStyle w:val="SingleTxtG"/>
        <w:ind w:left="2268" w:hanging="1134"/>
      </w:pPr>
      <w:r>
        <w:lastRenderedPageBreak/>
        <w:tab/>
      </w:r>
      <w:r>
        <w:tab/>
      </w:r>
      <w:r w:rsidRPr="00DA57CC">
        <w:t>Figure 10.7 (c)</w:t>
      </w:r>
      <w:r w:rsidRPr="00DA57CC">
        <w:tab/>
        <w:t>Renumber current figure 10.8 as 10.7(c) and amend to read follows:</w:t>
      </w:r>
    </w:p>
    <w:tbl>
      <w:tblPr>
        <w:tblW w:w="6379" w:type="dxa"/>
        <w:tblInd w:w="2338" w:type="dxa"/>
        <w:tblCellMar>
          <w:left w:w="70" w:type="dxa"/>
          <w:right w:w="70" w:type="dxa"/>
        </w:tblCellMar>
        <w:tblLook w:val="0000" w:firstRow="0" w:lastRow="0" w:firstColumn="0" w:lastColumn="0" w:noHBand="0" w:noVBand="0"/>
      </w:tblPr>
      <w:tblGrid>
        <w:gridCol w:w="2835"/>
        <w:gridCol w:w="3544"/>
      </w:tblGrid>
      <w:tr w:rsidR="00900C30" w:rsidRPr="002A3CA8" w:rsidTr="004631AC">
        <w:trPr>
          <w:tblHeader/>
        </w:trPr>
        <w:tc>
          <w:tcPr>
            <w:tcW w:w="6379" w:type="dxa"/>
            <w:gridSpan w:val="2"/>
          </w:tcPr>
          <w:p w:rsidR="00900C30" w:rsidRPr="006B1156"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spacing w:after="120"/>
              <w:jc w:val="center"/>
              <w:rPr>
                <w:color w:val="000000" w:themeColor="text1"/>
              </w:rPr>
            </w:pPr>
            <w:r w:rsidRPr="006B1156">
              <w:rPr>
                <w:b/>
                <w:bCs/>
                <w:color w:val="000000" w:themeColor="text1"/>
              </w:rPr>
              <w:t>“Figure 10.7  (c):</w:t>
            </w:r>
            <w:r w:rsidRPr="006B1156">
              <w:rPr>
                <w:b/>
                <w:bCs/>
                <w:color w:val="000000" w:themeColor="text1"/>
              </w:rPr>
              <w:br/>
              <w:t>RESULTS FROM APPLICATION OF THE PROCEDURE FOR ASSIGNMENT TO A DIVISION OF THE CLASS OF EXPLOSIVES (FIGURE 10.3) OF MUSK XYLENE</w:t>
            </w:r>
          </w:p>
        </w:tc>
      </w:tr>
      <w:tr w:rsidR="00900C30" w:rsidRPr="002A3CA8" w:rsidTr="004631AC">
        <w:tc>
          <w:tcPr>
            <w:tcW w:w="2835" w:type="dxa"/>
          </w:tcPr>
          <w:p w:rsidR="00900C30" w:rsidRPr="006B1156" w:rsidRDefault="00900C30" w:rsidP="004631AC">
            <w:pPr>
              <w:tabs>
                <w:tab w:val="left" w:pos="585"/>
                <w:tab w:val="left" w:pos="4368"/>
              </w:tabs>
              <w:spacing w:before="6" w:after="6"/>
              <w:rPr>
                <w:b/>
                <w:color w:val="000000" w:themeColor="text1"/>
              </w:rPr>
            </w:pPr>
            <w:r w:rsidRPr="006B1156">
              <w:rPr>
                <w:b/>
                <w:color w:val="000000" w:themeColor="text1"/>
              </w:rPr>
              <w:t>1. Box 26:</w:t>
            </w:r>
          </w:p>
        </w:tc>
        <w:tc>
          <w:tcPr>
            <w:tcW w:w="3544" w:type="dxa"/>
          </w:tcPr>
          <w:p w:rsidR="00900C30" w:rsidRPr="006B1156"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Is the substance a candidate for Division 1.5?</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p>
        </w:tc>
        <w:tc>
          <w:tcPr>
            <w:tcW w:w="3544" w:type="dxa"/>
          </w:tcPr>
          <w:p w:rsidR="00900C30" w:rsidRPr="006B1156" w:rsidRDefault="00900C30" w:rsidP="004631AC">
            <w:pPr>
              <w:spacing w:before="6" w:after="6"/>
              <w:rPr>
                <w:color w:val="000000" w:themeColor="text1"/>
              </w:rPr>
            </w:pP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1.1 Answer:</w:t>
            </w:r>
          </w:p>
        </w:tc>
        <w:tc>
          <w:tcPr>
            <w:tcW w:w="3544" w:type="dxa"/>
          </w:tcPr>
          <w:p w:rsidR="00900C30" w:rsidRPr="006B1156" w:rsidRDefault="00900C30" w:rsidP="004631AC">
            <w:pPr>
              <w:spacing w:before="6" w:after="6"/>
              <w:rPr>
                <w:color w:val="000000" w:themeColor="text1"/>
              </w:rPr>
            </w:pPr>
            <w:r w:rsidRPr="006B1156">
              <w:rPr>
                <w:color w:val="000000" w:themeColor="text1"/>
              </w:rPr>
              <w:t>No</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1.2 Result:</w:t>
            </w:r>
          </w:p>
        </w:tc>
        <w:tc>
          <w:tcPr>
            <w:tcW w:w="3544" w:type="dxa"/>
          </w:tcPr>
          <w:p w:rsidR="00900C30" w:rsidRPr="006B1156" w:rsidRDefault="00900C30" w:rsidP="004631AC">
            <w:pPr>
              <w:spacing w:before="6" w:after="6"/>
              <w:rPr>
                <w:color w:val="000000" w:themeColor="text1"/>
              </w:rPr>
            </w:pPr>
            <w:r w:rsidRPr="006B1156">
              <w:rPr>
                <w:color w:val="000000" w:themeColor="text1"/>
              </w:rPr>
              <w:t>Package the substance (box 30)</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1.3 Exit:</w:t>
            </w:r>
          </w:p>
        </w:tc>
        <w:tc>
          <w:tcPr>
            <w:tcW w:w="3544" w:type="dxa"/>
          </w:tcPr>
          <w:p w:rsidR="00900C30" w:rsidRPr="006B1156" w:rsidRDefault="00900C30" w:rsidP="004631AC">
            <w:pPr>
              <w:spacing w:before="6" w:after="6"/>
              <w:rPr>
                <w:color w:val="000000" w:themeColor="text1"/>
              </w:rPr>
            </w:pPr>
            <w:r w:rsidRPr="006B1156">
              <w:rPr>
                <w:color w:val="000000" w:themeColor="text1"/>
              </w:rPr>
              <w:t>Go to box 31</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p>
        </w:tc>
        <w:tc>
          <w:tcPr>
            <w:tcW w:w="3544" w:type="dxa"/>
          </w:tcPr>
          <w:p w:rsidR="00900C30" w:rsidRPr="006B1156" w:rsidRDefault="00900C30" w:rsidP="004631AC">
            <w:pPr>
              <w:spacing w:before="6" w:after="6"/>
              <w:rPr>
                <w:color w:val="000000" w:themeColor="text1"/>
              </w:rPr>
            </w:pPr>
          </w:p>
        </w:tc>
      </w:tr>
      <w:tr w:rsidR="00900C30" w:rsidRPr="002A3CA8" w:rsidTr="004631AC">
        <w:tc>
          <w:tcPr>
            <w:tcW w:w="2835" w:type="dxa"/>
          </w:tcPr>
          <w:p w:rsidR="00900C30" w:rsidRPr="006B1156" w:rsidRDefault="00900C30" w:rsidP="004631AC">
            <w:pPr>
              <w:tabs>
                <w:tab w:val="left" w:pos="585"/>
                <w:tab w:val="left" w:pos="4368"/>
              </w:tabs>
              <w:spacing w:before="6" w:after="6"/>
              <w:rPr>
                <w:b/>
                <w:color w:val="000000" w:themeColor="text1"/>
              </w:rPr>
            </w:pPr>
            <w:r w:rsidRPr="006B1156">
              <w:rPr>
                <w:b/>
                <w:color w:val="000000" w:themeColor="text1"/>
              </w:rPr>
              <w:t>2. Box 31:</w:t>
            </w:r>
          </w:p>
        </w:tc>
        <w:tc>
          <w:tcPr>
            <w:tcW w:w="3544" w:type="dxa"/>
          </w:tcPr>
          <w:p w:rsidR="00900C30" w:rsidRPr="006B1156" w:rsidRDefault="00900C30" w:rsidP="004631AC">
            <w:pPr>
              <w:spacing w:before="6" w:after="6"/>
              <w:rPr>
                <w:color w:val="000000" w:themeColor="text1"/>
              </w:rPr>
            </w:pPr>
            <w:r w:rsidRPr="006B1156">
              <w:rPr>
                <w:color w:val="000000" w:themeColor="text1"/>
              </w:rPr>
              <w:t>Test Series 6</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p>
        </w:tc>
        <w:tc>
          <w:tcPr>
            <w:tcW w:w="3544" w:type="dxa"/>
          </w:tcPr>
          <w:p w:rsidR="00900C30" w:rsidRPr="006B1156" w:rsidRDefault="00900C30" w:rsidP="004631AC">
            <w:pPr>
              <w:spacing w:before="6" w:after="6"/>
              <w:rPr>
                <w:color w:val="000000" w:themeColor="text1"/>
              </w:rPr>
            </w:pPr>
          </w:p>
        </w:tc>
      </w:tr>
      <w:tr w:rsidR="00900C30" w:rsidRPr="002A3CA8" w:rsidTr="004631AC">
        <w:tc>
          <w:tcPr>
            <w:tcW w:w="2835" w:type="dxa"/>
          </w:tcPr>
          <w:p w:rsidR="00EE7C13" w:rsidRDefault="00900C30" w:rsidP="004631AC">
            <w:pPr>
              <w:tabs>
                <w:tab w:val="left" w:pos="585"/>
                <w:tab w:val="left" w:pos="4368"/>
              </w:tabs>
              <w:spacing w:before="6" w:after="6"/>
              <w:rPr>
                <w:color w:val="000000" w:themeColor="text1"/>
              </w:rPr>
            </w:pPr>
            <w:r w:rsidRPr="006B1156">
              <w:rPr>
                <w:color w:val="000000" w:themeColor="text1"/>
              </w:rPr>
              <w:t>2.1 Effect of initiation in the</w:t>
            </w:r>
          </w:p>
          <w:p w:rsidR="00900C30" w:rsidRPr="006B1156" w:rsidRDefault="00EE7C13" w:rsidP="004631AC">
            <w:pPr>
              <w:tabs>
                <w:tab w:val="left" w:pos="585"/>
                <w:tab w:val="left" w:pos="4368"/>
              </w:tabs>
              <w:spacing w:before="6" w:after="6"/>
              <w:rPr>
                <w:color w:val="000000" w:themeColor="text1"/>
              </w:rPr>
            </w:pPr>
            <w:r>
              <w:rPr>
                <w:color w:val="000000" w:themeColor="text1"/>
              </w:rPr>
              <w:t xml:space="preserve">  </w:t>
            </w:r>
            <w:r w:rsidR="00900C30" w:rsidRPr="006B1156">
              <w:rPr>
                <w:color w:val="000000" w:themeColor="text1"/>
              </w:rPr>
              <w:t xml:space="preserve"> </w:t>
            </w:r>
            <w:r>
              <w:rPr>
                <w:color w:val="000000" w:themeColor="text1"/>
              </w:rPr>
              <w:t xml:space="preserve">   </w:t>
            </w:r>
            <w:r w:rsidR="00900C30" w:rsidRPr="006B1156">
              <w:rPr>
                <w:color w:val="000000" w:themeColor="text1"/>
              </w:rPr>
              <w:t>package:</w:t>
            </w:r>
          </w:p>
        </w:tc>
        <w:tc>
          <w:tcPr>
            <w:tcW w:w="3544" w:type="dxa"/>
          </w:tcPr>
          <w:p w:rsidR="00900C30" w:rsidRPr="006B1156" w:rsidRDefault="00900C30" w:rsidP="004631AC">
            <w:pPr>
              <w:spacing w:before="6" w:after="6"/>
              <w:rPr>
                <w:color w:val="000000" w:themeColor="text1"/>
              </w:rPr>
            </w:pPr>
            <w:r w:rsidRPr="006B1156">
              <w:rPr>
                <w:color w:val="000000" w:themeColor="text1"/>
              </w:rPr>
              <w:t>Test 6 (a) with detonator</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2.2 Sample conditions:</w:t>
            </w:r>
            <w:r w:rsidRPr="006B1156">
              <w:rPr>
                <w:color w:val="000000" w:themeColor="text1"/>
              </w:rPr>
              <w:tab/>
            </w:r>
          </w:p>
        </w:tc>
        <w:tc>
          <w:tcPr>
            <w:tcW w:w="3544" w:type="dxa"/>
          </w:tcPr>
          <w:p w:rsidR="00900C30" w:rsidRPr="006B1156" w:rsidRDefault="00900C30" w:rsidP="004631AC">
            <w:pPr>
              <w:spacing w:before="6" w:after="6"/>
              <w:rPr>
                <w:color w:val="000000" w:themeColor="text1"/>
              </w:rPr>
            </w:pPr>
            <w:r w:rsidRPr="006B1156">
              <w:rPr>
                <w:color w:val="000000" w:themeColor="text1"/>
              </w:rPr>
              <w:t>Ambient temperature, 50 kg fibreboard drum</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2.3 Observations:</w:t>
            </w:r>
          </w:p>
        </w:tc>
        <w:tc>
          <w:tcPr>
            <w:tcW w:w="3544" w:type="dxa"/>
          </w:tcPr>
          <w:p w:rsidR="00900C30" w:rsidRPr="006B1156"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6B1156">
              <w:rPr>
                <w:color w:val="000000" w:themeColor="text1"/>
              </w:rPr>
              <w:t>Only localised decomposition around detonator</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 xml:space="preserve">2.4 Result: </w:t>
            </w:r>
          </w:p>
        </w:tc>
        <w:tc>
          <w:tcPr>
            <w:tcW w:w="3544" w:type="dxa"/>
          </w:tcPr>
          <w:p w:rsidR="00900C30" w:rsidRPr="006B1156" w:rsidRDefault="00900C30" w:rsidP="004631AC">
            <w:pPr>
              <w:spacing w:before="6" w:after="6"/>
              <w:rPr>
                <w:color w:val="000000" w:themeColor="text1"/>
              </w:rPr>
            </w:pPr>
            <w:r w:rsidRPr="006B1156">
              <w:rPr>
                <w:color w:val="000000" w:themeColor="text1"/>
              </w:rPr>
              <w:t>No significant reaction</w:t>
            </w:r>
          </w:p>
        </w:tc>
      </w:tr>
      <w:tr w:rsidR="00900C30" w:rsidRPr="002A3CA8" w:rsidTr="004631AC">
        <w:tc>
          <w:tcPr>
            <w:tcW w:w="2835" w:type="dxa"/>
          </w:tcPr>
          <w:p w:rsidR="00616904" w:rsidRDefault="00900C30" w:rsidP="004631AC">
            <w:pPr>
              <w:tabs>
                <w:tab w:val="left" w:pos="585"/>
                <w:tab w:val="left" w:pos="4368"/>
              </w:tabs>
              <w:spacing w:before="6" w:after="6"/>
              <w:rPr>
                <w:color w:val="000000" w:themeColor="text1"/>
              </w:rPr>
            </w:pPr>
            <w:r w:rsidRPr="006B1156">
              <w:rPr>
                <w:color w:val="000000" w:themeColor="text1"/>
              </w:rPr>
              <w:t xml:space="preserve">2.5 Effect on ignition in the </w:t>
            </w:r>
          </w:p>
          <w:p w:rsidR="00900C30" w:rsidRPr="006B1156" w:rsidRDefault="00616904" w:rsidP="004631AC">
            <w:pPr>
              <w:tabs>
                <w:tab w:val="left" w:pos="585"/>
                <w:tab w:val="left" w:pos="4368"/>
              </w:tabs>
              <w:spacing w:before="6" w:after="6"/>
              <w:rPr>
                <w:color w:val="000000" w:themeColor="text1"/>
              </w:rPr>
            </w:pPr>
            <w:r>
              <w:rPr>
                <w:color w:val="000000" w:themeColor="text1"/>
              </w:rPr>
              <w:t xml:space="preserve">      </w:t>
            </w:r>
            <w:r w:rsidR="00900C30" w:rsidRPr="006B1156">
              <w:rPr>
                <w:color w:val="000000" w:themeColor="text1"/>
              </w:rPr>
              <w:t>package</w:t>
            </w:r>
          </w:p>
        </w:tc>
        <w:tc>
          <w:tcPr>
            <w:tcW w:w="3544" w:type="dxa"/>
          </w:tcPr>
          <w:p w:rsidR="00900C30" w:rsidRPr="006B1156" w:rsidRDefault="00900C30" w:rsidP="004631AC">
            <w:pPr>
              <w:spacing w:before="6" w:after="6"/>
              <w:rPr>
                <w:color w:val="000000" w:themeColor="text1"/>
              </w:rPr>
            </w:pPr>
            <w:r w:rsidRPr="006B1156">
              <w:rPr>
                <w:color w:val="000000" w:themeColor="text1"/>
              </w:rPr>
              <w:t>Test 6 (a) with igniter</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2.6 Sample conditions:</w:t>
            </w:r>
          </w:p>
        </w:tc>
        <w:tc>
          <w:tcPr>
            <w:tcW w:w="3544" w:type="dxa"/>
          </w:tcPr>
          <w:p w:rsidR="00900C30" w:rsidRPr="006B1156" w:rsidRDefault="00900C30" w:rsidP="004631AC">
            <w:pPr>
              <w:spacing w:before="6" w:after="6"/>
              <w:rPr>
                <w:color w:val="000000" w:themeColor="text1"/>
              </w:rPr>
            </w:pPr>
            <w:r w:rsidRPr="006B1156">
              <w:rPr>
                <w:color w:val="000000" w:themeColor="text1"/>
              </w:rPr>
              <w:t>Ambient temperature, 50 Kg fibreboard drum</w:t>
            </w:r>
          </w:p>
        </w:tc>
      </w:tr>
      <w:tr w:rsidR="00900C30" w:rsidRPr="00052A23"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2.7 Observations:</w:t>
            </w:r>
          </w:p>
        </w:tc>
        <w:tc>
          <w:tcPr>
            <w:tcW w:w="3544"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Only localised decomposition around igniter</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 xml:space="preserve">2.8 Result: </w:t>
            </w:r>
          </w:p>
        </w:tc>
        <w:tc>
          <w:tcPr>
            <w:tcW w:w="3544" w:type="dxa"/>
          </w:tcPr>
          <w:p w:rsidR="00900C30" w:rsidRPr="006B1156" w:rsidRDefault="00900C30" w:rsidP="004631AC">
            <w:pPr>
              <w:keepNext/>
              <w:keepLines/>
              <w:tabs>
                <w:tab w:val="left" w:pos="585"/>
                <w:tab w:val="left" w:pos="4368"/>
              </w:tabs>
              <w:spacing w:before="6" w:after="6"/>
              <w:rPr>
                <w:color w:val="000000" w:themeColor="text1"/>
              </w:rPr>
            </w:pPr>
            <w:r w:rsidRPr="006B1156">
              <w:rPr>
                <w:color w:val="000000" w:themeColor="text1"/>
              </w:rPr>
              <w:t>No significant reaction</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2.9 Effect of propagation:</w:t>
            </w:r>
          </w:p>
        </w:tc>
        <w:tc>
          <w:tcPr>
            <w:tcW w:w="3544" w:type="dxa"/>
          </w:tcPr>
          <w:p w:rsidR="00900C30" w:rsidRPr="006B1156" w:rsidRDefault="00900C30" w:rsidP="004631AC">
            <w:pPr>
              <w:spacing w:before="6" w:after="6"/>
              <w:rPr>
                <w:color w:val="000000" w:themeColor="text1"/>
              </w:rPr>
            </w:pPr>
            <w:r w:rsidRPr="006B1156">
              <w:rPr>
                <w:color w:val="000000" w:themeColor="text1"/>
              </w:rPr>
              <w:t>Type 6 (b) test not required as no effect outside package between packages in 6 (a) test</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2.10 Effect of fire engulfment</w:t>
            </w:r>
          </w:p>
        </w:tc>
        <w:tc>
          <w:tcPr>
            <w:tcW w:w="3544" w:type="dxa"/>
          </w:tcPr>
          <w:p w:rsidR="00900C30" w:rsidRPr="006B1156" w:rsidRDefault="00900C30" w:rsidP="004631AC">
            <w:pPr>
              <w:spacing w:before="6" w:after="6"/>
              <w:rPr>
                <w:color w:val="000000" w:themeColor="text1"/>
              </w:rPr>
            </w:pPr>
            <w:r w:rsidRPr="006B1156">
              <w:rPr>
                <w:color w:val="000000" w:themeColor="text1"/>
              </w:rPr>
              <w:t>Test 6 (c)</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2.11 Sample conditions:</w:t>
            </w:r>
          </w:p>
        </w:tc>
        <w:tc>
          <w:tcPr>
            <w:tcW w:w="3544" w:type="dxa"/>
          </w:tcPr>
          <w:p w:rsidR="00900C30" w:rsidRPr="006B1156" w:rsidRDefault="00900C30" w:rsidP="004631AC">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000000" w:themeColor="text1"/>
              </w:rPr>
            </w:pPr>
            <w:r w:rsidRPr="006B1156">
              <w:rPr>
                <w:color w:val="000000" w:themeColor="text1"/>
              </w:rPr>
              <w:t>3 × 50 kg fibreboard drums mounted on steel frame above wooden crib fire</w:t>
            </w:r>
          </w:p>
          <w:p w:rsidR="00900C30" w:rsidRPr="006B1156" w:rsidRDefault="00900C30" w:rsidP="004631AC">
            <w:pPr>
              <w:spacing w:before="6" w:after="6"/>
              <w:rPr>
                <w:color w:val="000000" w:themeColor="text1"/>
              </w:rPr>
            </w:pP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2.12 Observations:</w:t>
            </w:r>
          </w:p>
        </w:tc>
        <w:tc>
          <w:tcPr>
            <w:tcW w:w="3544" w:type="dxa"/>
          </w:tcPr>
          <w:p w:rsidR="00900C30" w:rsidRPr="006B1156" w:rsidRDefault="00900C30" w:rsidP="004631AC">
            <w:pPr>
              <w:spacing w:before="6" w:after="6"/>
              <w:rPr>
                <w:color w:val="000000" w:themeColor="text1"/>
              </w:rPr>
            </w:pPr>
            <w:r w:rsidRPr="006B1156">
              <w:rPr>
                <w:color w:val="000000" w:themeColor="text1"/>
              </w:rPr>
              <w:t xml:space="preserve">Only show burning with black smoke occurred </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2.13 Result:</w:t>
            </w:r>
          </w:p>
        </w:tc>
        <w:tc>
          <w:tcPr>
            <w:tcW w:w="3544" w:type="dxa"/>
          </w:tcPr>
          <w:p w:rsidR="00900C30" w:rsidRPr="006B1156" w:rsidRDefault="00900C30" w:rsidP="004631AC">
            <w:pPr>
              <w:spacing w:before="6" w:after="6"/>
              <w:rPr>
                <w:color w:val="000000" w:themeColor="text1"/>
              </w:rPr>
            </w:pPr>
            <w:r w:rsidRPr="006B1156">
              <w:rPr>
                <w:color w:val="000000" w:themeColor="text1"/>
              </w:rPr>
              <w:t>No effects which would hinder fire fighting</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 xml:space="preserve">2.14 Exit: </w:t>
            </w:r>
          </w:p>
        </w:tc>
        <w:tc>
          <w:tcPr>
            <w:tcW w:w="3544" w:type="dxa"/>
          </w:tcPr>
          <w:p w:rsidR="00900C30" w:rsidRPr="006B1156" w:rsidRDefault="00900C30" w:rsidP="004631AC">
            <w:pPr>
              <w:spacing w:before="6" w:after="6"/>
              <w:rPr>
                <w:color w:val="000000" w:themeColor="text1"/>
              </w:rPr>
            </w:pPr>
            <w:r w:rsidRPr="006B1156">
              <w:rPr>
                <w:color w:val="000000" w:themeColor="text1"/>
              </w:rPr>
              <w:t>Go to box 32</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p>
        </w:tc>
        <w:tc>
          <w:tcPr>
            <w:tcW w:w="3544" w:type="dxa"/>
          </w:tcPr>
          <w:p w:rsidR="00900C30" w:rsidRPr="006B1156" w:rsidRDefault="00900C30" w:rsidP="004631AC">
            <w:pPr>
              <w:spacing w:before="6" w:after="6"/>
              <w:rPr>
                <w:color w:val="000000" w:themeColor="text1"/>
              </w:rPr>
            </w:pPr>
          </w:p>
        </w:tc>
      </w:tr>
      <w:tr w:rsidR="00900C30" w:rsidRPr="00052A23" w:rsidTr="004631AC">
        <w:tc>
          <w:tcPr>
            <w:tcW w:w="2835" w:type="dxa"/>
          </w:tcPr>
          <w:p w:rsidR="00900C30" w:rsidRPr="006B1156" w:rsidRDefault="00900C30" w:rsidP="004631AC">
            <w:pPr>
              <w:tabs>
                <w:tab w:val="left" w:pos="585"/>
                <w:tab w:val="left" w:pos="4368"/>
              </w:tabs>
              <w:spacing w:before="6" w:after="6"/>
              <w:rPr>
                <w:b/>
                <w:color w:val="000000" w:themeColor="text1"/>
              </w:rPr>
            </w:pPr>
            <w:r w:rsidRPr="006B1156">
              <w:rPr>
                <w:b/>
                <w:color w:val="000000" w:themeColor="text1"/>
              </w:rPr>
              <w:t>3. Box 32</w:t>
            </w:r>
          </w:p>
        </w:tc>
        <w:tc>
          <w:tcPr>
            <w:tcW w:w="3544" w:type="dxa"/>
          </w:tcPr>
          <w:p w:rsidR="00900C30" w:rsidRPr="006B1156" w:rsidRDefault="00900C30" w:rsidP="004631AC">
            <w:pPr>
              <w:spacing w:before="6" w:after="6"/>
              <w:rPr>
                <w:b/>
                <w:color w:val="000000" w:themeColor="text1"/>
              </w:rPr>
            </w:pPr>
            <w:r w:rsidRPr="006B1156">
              <w:rPr>
                <w:b/>
                <w:color w:val="000000" w:themeColor="text1"/>
              </w:rPr>
              <w:t>Is the result a mass explosion?</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p>
        </w:tc>
        <w:tc>
          <w:tcPr>
            <w:tcW w:w="3544" w:type="dxa"/>
          </w:tcPr>
          <w:p w:rsidR="00900C30" w:rsidRPr="006B1156" w:rsidRDefault="00900C30" w:rsidP="004631AC">
            <w:pPr>
              <w:spacing w:before="6" w:after="6"/>
              <w:rPr>
                <w:color w:val="000000" w:themeColor="text1"/>
              </w:rPr>
            </w:pP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3.1 Answer from Test Series 6:</w:t>
            </w:r>
            <w:r w:rsidRPr="006B1156">
              <w:rPr>
                <w:color w:val="000000" w:themeColor="text1"/>
              </w:rPr>
              <w:tab/>
            </w:r>
          </w:p>
        </w:tc>
        <w:tc>
          <w:tcPr>
            <w:tcW w:w="3544" w:type="dxa"/>
          </w:tcPr>
          <w:p w:rsidR="00900C30" w:rsidRPr="006B1156"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No</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 xml:space="preserve">3.2 Exit: </w:t>
            </w:r>
          </w:p>
        </w:tc>
        <w:tc>
          <w:tcPr>
            <w:tcW w:w="3544" w:type="dxa"/>
          </w:tcPr>
          <w:p w:rsidR="00900C30" w:rsidRPr="006B1156" w:rsidRDefault="00900C30" w:rsidP="004631AC">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3</w:t>
            </w:r>
            <w:r>
              <w:rPr>
                <w:color w:val="000000" w:themeColor="text1"/>
              </w:rPr>
              <w:t>3</w:t>
            </w:r>
          </w:p>
        </w:tc>
      </w:tr>
      <w:tr w:rsidR="00900C30" w:rsidRPr="002A3CA8" w:rsidTr="004631AC">
        <w:tc>
          <w:tcPr>
            <w:tcW w:w="2835" w:type="dxa"/>
          </w:tcPr>
          <w:p w:rsidR="00900C30" w:rsidRPr="006B1156"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c>
          <w:tcPr>
            <w:tcW w:w="3544" w:type="dxa"/>
          </w:tcPr>
          <w:p w:rsidR="00900C30" w:rsidRPr="006B1156" w:rsidRDefault="00900C30" w:rsidP="004631AC">
            <w:pPr>
              <w:spacing w:before="6" w:after="6"/>
              <w:rPr>
                <w:color w:val="000000" w:themeColor="text1"/>
              </w:rPr>
            </w:pPr>
          </w:p>
        </w:tc>
      </w:tr>
      <w:tr w:rsidR="00900C30" w:rsidRPr="002A3CA8" w:rsidTr="004631AC">
        <w:tc>
          <w:tcPr>
            <w:tcW w:w="2835" w:type="dxa"/>
          </w:tcPr>
          <w:p w:rsidR="00900C30" w:rsidRPr="007418BA" w:rsidRDefault="00900C30" w:rsidP="004631AC">
            <w:pPr>
              <w:tabs>
                <w:tab w:val="left" w:pos="585"/>
                <w:tab w:val="left" w:pos="4368"/>
              </w:tabs>
              <w:spacing w:before="6" w:after="6"/>
              <w:rPr>
                <w:b/>
                <w:bCs/>
                <w:color w:val="000000" w:themeColor="text1"/>
              </w:rPr>
            </w:pPr>
            <w:r w:rsidRPr="007418BA">
              <w:rPr>
                <w:b/>
                <w:bCs/>
                <w:color w:val="000000" w:themeColor="text1"/>
              </w:rPr>
              <w:t>4. Box 33:</w:t>
            </w:r>
          </w:p>
        </w:tc>
        <w:tc>
          <w:tcPr>
            <w:tcW w:w="3544" w:type="dxa"/>
          </w:tcPr>
          <w:p w:rsidR="00900C30" w:rsidRPr="006B1156" w:rsidRDefault="00900C30" w:rsidP="004631AC">
            <w:pPr>
              <w:spacing w:before="6" w:after="6"/>
              <w:rPr>
                <w:color w:val="000000" w:themeColor="text1"/>
              </w:rPr>
            </w:pPr>
            <w:r w:rsidRPr="006B1156">
              <w:rPr>
                <w:color w:val="000000" w:themeColor="text1"/>
              </w:rPr>
              <w:t>Is the major hazard that from dangerous projections?</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4.1 Answer from Test Series 6:</w:t>
            </w:r>
          </w:p>
        </w:tc>
        <w:tc>
          <w:tcPr>
            <w:tcW w:w="3544" w:type="dxa"/>
          </w:tcPr>
          <w:p w:rsidR="00900C30" w:rsidRPr="006B1156" w:rsidRDefault="00900C30" w:rsidP="004631AC">
            <w:pPr>
              <w:spacing w:before="6" w:after="6"/>
              <w:rPr>
                <w:color w:val="000000" w:themeColor="text1"/>
              </w:rPr>
            </w:pPr>
            <w:r w:rsidRPr="006B1156">
              <w:rPr>
                <w:color w:val="000000" w:themeColor="text1"/>
              </w:rPr>
              <w:t>No</w:t>
            </w:r>
          </w:p>
        </w:tc>
      </w:tr>
      <w:tr w:rsidR="00900C30" w:rsidRPr="002A3CA8" w:rsidTr="004631AC">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lastRenderedPageBreak/>
              <w:t xml:space="preserve">4.2 Exit: </w:t>
            </w:r>
          </w:p>
        </w:tc>
        <w:tc>
          <w:tcPr>
            <w:tcW w:w="3544" w:type="dxa"/>
          </w:tcPr>
          <w:p w:rsidR="00900C30" w:rsidRPr="006B1156"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34</w:t>
            </w:r>
          </w:p>
        </w:tc>
      </w:tr>
      <w:tr w:rsidR="00900C30" w:rsidRPr="006B1156" w:rsidTr="00900C30">
        <w:tc>
          <w:tcPr>
            <w:tcW w:w="2835" w:type="dxa"/>
          </w:tcPr>
          <w:p w:rsidR="00900C30" w:rsidRPr="00900C30" w:rsidRDefault="00900C30" w:rsidP="004631AC">
            <w:pPr>
              <w:tabs>
                <w:tab w:val="left" w:pos="585"/>
                <w:tab w:val="left" w:pos="4368"/>
              </w:tabs>
              <w:spacing w:before="6" w:after="6"/>
              <w:rPr>
                <w:color w:val="000000" w:themeColor="text1"/>
              </w:rPr>
            </w:pPr>
            <w:r w:rsidRPr="00900C30">
              <w:rPr>
                <w:color w:val="000000" w:themeColor="text1"/>
              </w:rPr>
              <w:t>5. Box 34:</w:t>
            </w: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Is the major hazard radiant heat and/or violent burning but with no dangerous blast or projection hazard?</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p>
        </w:tc>
        <w:tc>
          <w:tcPr>
            <w:tcW w:w="3544" w:type="dxa"/>
          </w:tcPr>
          <w:p w:rsidR="00900C30" w:rsidRPr="006B1156"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5.1 Answer from Tests Series 6</w:t>
            </w: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No</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5.2 Exit</w:t>
            </w:r>
          </w:p>
        </w:tc>
        <w:tc>
          <w:tcPr>
            <w:tcW w:w="3544" w:type="dxa"/>
          </w:tcPr>
          <w:p w:rsidR="00900C30" w:rsidRPr="006B1156"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35</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r>
      <w:tr w:rsidR="00900C30" w:rsidRPr="006B1156" w:rsidTr="00900C30">
        <w:tc>
          <w:tcPr>
            <w:tcW w:w="2835" w:type="dxa"/>
          </w:tcPr>
          <w:p w:rsidR="00900C30" w:rsidRPr="00900C30" w:rsidRDefault="00900C30" w:rsidP="004631AC">
            <w:pPr>
              <w:tabs>
                <w:tab w:val="left" w:pos="585"/>
                <w:tab w:val="left" w:pos="4368"/>
              </w:tabs>
              <w:spacing w:before="6" w:after="6"/>
              <w:rPr>
                <w:color w:val="000000" w:themeColor="text1"/>
              </w:rPr>
            </w:pPr>
            <w:r w:rsidRPr="00900C30">
              <w:rPr>
                <w:color w:val="000000" w:themeColor="text1"/>
              </w:rPr>
              <w:t>6. Box 35</w:t>
            </w: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Would the hazard hinder fire-fighting in the immediate vicinity?</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6.1 Answer from Test Series 6:</w:t>
            </w: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No</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6.2 Exit:</w:t>
            </w: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36</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p>
        </w:tc>
        <w:tc>
          <w:tcPr>
            <w:tcW w:w="3544" w:type="dxa"/>
          </w:tcPr>
          <w:p w:rsidR="00900C30" w:rsidRPr="006B1156"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r>
      <w:tr w:rsidR="00900C30" w:rsidRPr="006B1156" w:rsidTr="00900C30">
        <w:tc>
          <w:tcPr>
            <w:tcW w:w="2835" w:type="dxa"/>
          </w:tcPr>
          <w:p w:rsidR="00900C30" w:rsidRPr="00900C30" w:rsidRDefault="00900C30" w:rsidP="004631AC">
            <w:pPr>
              <w:tabs>
                <w:tab w:val="left" w:pos="585"/>
                <w:tab w:val="left" w:pos="4368"/>
              </w:tabs>
              <w:spacing w:before="6" w:after="6"/>
              <w:rPr>
                <w:color w:val="000000" w:themeColor="text1"/>
              </w:rPr>
            </w:pPr>
            <w:r w:rsidRPr="00900C30">
              <w:rPr>
                <w:color w:val="000000" w:themeColor="text1"/>
              </w:rPr>
              <w:t>7. Box 36</w:t>
            </w: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Does special provision 347 apply?</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 xml:space="preserve">7.1 Answer: </w:t>
            </w:r>
          </w:p>
        </w:tc>
        <w:tc>
          <w:tcPr>
            <w:tcW w:w="3544" w:type="dxa"/>
          </w:tcPr>
          <w:p w:rsidR="00900C30" w:rsidRPr="006B1156" w:rsidRDefault="00900C30" w:rsidP="004631AC">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No</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7.2 Exit:</w:t>
            </w: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38</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r>
      <w:tr w:rsidR="00900C30" w:rsidRPr="006B1156" w:rsidTr="00900C30">
        <w:tc>
          <w:tcPr>
            <w:tcW w:w="2835" w:type="dxa"/>
          </w:tcPr>
          <w:p w:rsidR="00900C30" w:rsidRPr="00900C30" w:rsidRDefault="00900C30" w:rsidP="004631AC">
            <w:pPr>
              <w:tabs>
                <w:tab w:val="left" w:pos="585"/>
                <w:tab w:val="left" w:pos="4368"/>
              </w:tabs>
              <w:spacing w:before="6" w:after="6"/>
              <w:rPr>
                <w:color w:val="000000" w:themeColor="text1"/>
              </w:rPr>
            </w:pPr>
            <w:r w:rsidRPr="00900C30">
              <w:rPr>
                <w:color w:val="000000" w:themeColor="text1"/>
              </w:rPr>
              <w:t>8. Box 38</w:t>
            </w: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Is the substance or article manufactured with the view of producing a practical explosive or pyrotechnic effect?</w:t>
            </w:r>
          </w:p>
        </w:tc>
      </w:tr>
      <w:tr w:rsidR="00900C30" w:rsidRPr="006B1156" w:rsidTr="00900C30">
        <w:tc>
          <w:tcPr>
            <w:tcW w:w="2835" w:type="dxa"/>
          </w:tcPr>
          <w:p w:rsidR="00900C30" w:rsidRPr="006B1156" w:rsidRDefault="00900C30" w:rsidP="00900C30">
            <w:pPr>
              <w:tabs>
                <w:tab w:val="left" w:pos="585"/>
                <w:tab w:val="left" w:pos="4368"/>
              </w:tabs>
              <w:spacing w:before="6" w:after="6"/>
              <w:rPr>
                <w:color w:val="000000" w:themeColor="text1"/>
              </w:rPr>
            </w:pPr>
            <w:r w:rsidRPr="006B1156">
              <w:rPr>
                <w:color w:val="000000" w:themeColor="text1"/>
              </w:rPr>
              <w:t>8.1 Answer:</w:t>
            </w: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No</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r w:rsidRPr="006B1156">
              <w:rPr>
                <w:color w:val="000000" w:themeColor="text1"/>
              </w:rPr>
              <w:t xml:space="preserve">8.2 Exit: </w:t>
            </w: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24</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r>
      <w:tr w:rsidR="00900C30" w:rsidRPr="006B1156" w:rsidTr="00900C30">
        <w:tc>
          <w:tcPr>
            <w:tcW w:w="2835" w:type="dxa"/>
          </w:tcPr>
          <w:p w:rsidR="00900C30" w:rsidRPr="00900C30" w:rsidRDefault="00900C30" w:rsidP="004631AC">
            <w:pPr>
              <w:tabs>
                <w:tab w:val="left" w:pos="585"/>
                <w:tab w:val="left" w:pos="4368"/>
              </w:tabs>
              <w:spacing w:before="6" w:after="6"/>
              <w:rPr>
                <w:color w:val="000000" w:themeColor="text1"/>
              </w:rPr>
            </w:pPr>
            <w:r w:rsidRPr="00900C30">
              <w:rPr>
                <w:color w:val="000000" w:themeColor="text1"/>
              </w:rPr>
              <w:t>9. Conclusion:</w:t>
            </w:r>
          </w:p>
        </w:tc>
        <w:tc>
          <w:tcPr>
            <w:tcW w:w="3544" w:type="dxa"/>
          </w:tcPr>
          <w:p w:rsidR="00900C30" w:rsidRPr="00900C30"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900C30">
              <w:rPr>
                <w:color w:val="000000" w:themeColor="text1"/>
              </w:rPr>
              <w:t>NOT AN EXPLOSIVE</w:t>
            </w:r>
          </w:p>
        </w:tc>
      </w:tr>
      <w:tr w:rsidR="00900C30" w:rsidRPr="006B1156" w:rsidTr="00900C30">
        <w:tc>
          <w:tcPr>
            <w:tcW w:w="2835" w:type="dxa"/>
          </w:tcPr>
          <w:p w:rsidR="00900C30" w:rsidRPr="006B1156" w:rsidRDefault="00900C30" w:rsidP="004631AC">
            <w:pPr>
              <w:tabs>
                <w:tab w:val="left" w:pos="585"/>
                <w:tab w:val="left" w:pos="4368"/>
              </w:tabs>
              <w:spacing w:before="6" w:after="6"/>
              <w:rPr>
                <w:color w:val="000000" w:themeColor="text1"/>
              </w:rPr>
            </w:pPr>
            <w:r>
              <w:rPr>
                <w:color w:val="000000" w:themeColor="text1"/>
              </w:rPr>
              <w:t>9.1 Exit:</w:t>
            </w:r>
          </w:p>
        </w:tc>
        <w:tc>
          <w:tcPr>
            <w:tcW w:w="3544" w:type="dxa"/>
          </w:tcPr>
          <w:p w:rsidR="00900C30" w:rsidRPr="006B1156" w:rsidRDefault="00900C30" w:rsidP="00900C30">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Pr>
                <w:color w:val="000000" w:themeColor="text1"/>
              </w:rPr>
              <w:t>Consider for another class/division</w:t>
            </w:r>
          </w:p>
        </w:tc>
      </w:tr>
    </w:tbl>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50C40" w:rsidRDefault="00950C40" w:rsidP="00900C30">
      <w:pPr>
        <w:pStyle w:val="Bullet1G"/>
        <w:numPr>
          <w:ilvl w:val="0"/>
          <w:numId w:val="0"/>
        </w:numPr>
        <w:ind w:left="1134"/>
      </w:pPr>
    </w:p>
    <w:p w:rsidR="00900C30" w:rsidRPr="006B1156" w:rsidRDefault="00900C30" w:rsidP="00900C30">
      <w:pPr>
        <w:pStyle w:val="Bullet1G"/>
        <w:numPr>
          <w:ilvl w:val="0"/>
          <w:numId w:val="0"/>
        </w:numPr>
        <w:ind w:left="1134"/>
      </w:pPr>
      <w:r w:rsidRPr="006B1156">
        <w:lastRenderedPageBreak/>
        <w:t>Figure 10.7 (d)</w:t>
      </w:r>
      <w:r w:rsidRPr="006B1156">
        <w:tab/>
      </w:r>
      <w:r>
        <w:t>Renumber c</w:t>
      </w:r>
      <w:r w:rsidRPr="006B1156">
        <w:t xml:space="preserve">urrent Figure 10.9 </w:t>
      </w:r>
      <w:r>
        <w:t>as</w:t>
      </w:r>
      <w:r w:rsidRPr="006B1156">
        <w:t xml:space="preserve"> 10.7(d), </w:t>
      </w:r>
      <w:r>
        <w:t>and amend</w:t>
      </w:r>
      <w:r w:rsidRPr="006B1156">
        <w:t xml:space="preserve"> to read as follows</w:t>
      </w:r>
      <w:r w:rsidR="00950C40">
        <w:t>:</w:t>
      </w:r>
      <w:r w:rsidRPr="006B1156">
        <w:t xml:space="preserve"> </w:t>
      </w:r>
    </w:p>
    <w:p w:rsidR="00900C30" w:rsidRDefault="00950C40" w:rsidP="00950C40">
      <w:pPr>
        <w:pStyle w:val="SingleTxtG"/>
        <w:spacing w:after="0" w:line="240" w:lineRule="auto"/>
        <w:jc w:val="center"/>
        <w:rPr>
          <w:b/>
          <w:color w:val="000000" w:themeColor="text1"/>
        </w:rPr>
      </w:pPr>
      <w:r>
        <w:rPr>
          <w:b/>
          <w:color w:val="000000" w:themeColor="text1"/>
        </w:rPr>
        <w:t xml:space="preserve"> </w:t>
      </w:r>
      <w:r w:rsidR="00900C30">
        <w:rPr>
          <w:b/>
          <w:color w:val="000000" w:themeColor="text1"/>
        </w:rPr>
        <w:t>“</w:t>
      </w:r>
      <w:r w:rsidR="00900C30" w:rsidRPr="006B1156">
        <w:rPr>
          <w:b/>
          <w:color w:val="000000" w:themeColor="text1"/>
        </w:rPr>
        <w:t>Figure 10.7 (d)</w:t>
      </w:r>
      <w:r w:rsidR="00900C30">
        <w:rPr>
          <w:b/>
          <w:color w:val="000000" w:themeColor="text1"/>
        </w:rPr>
        <w:t xml:space="preserve">: </w:t>
      </w:r>
      <w:r w:rsidR="00900C30" w:rsidRPr="006B1156">
        <w:rPr>
          <w:b/>
          <w:color w:val="000000" w:themeColor="text1"/>
        </w:rPr>
        <w:t>PROCEDU</w:t>
      </w:r>
      <w:r w:rsidR="00E26FF8">
        <w:rPr>
          <w:b/>
          <w:color w:val="000000" w:themeColor="text1"/>
        </w:rPr>
        <w:t>RE FOR EXEMPTION OF MUSK XYLENE</w:t>
      </w:r>
      <w:r w:rsidR="00900C30">
        <w:rPr>
          <w:b/>
          <w:color w:val="000000" w:themeColor="text1"/>
        </w:rPr>
        <w:t xml:space="preserve"> </w:t>
      </w:r>
      <w:r w:rsidR="00900C30" w:rsidRPr="006B1156">
        <w:rPr>
          <w:b/>
          <w:color w:val="000000" w:themeColor="text1"/>
        </w:rPr>
        <w:t>FROM THE CLASS OF EXPLOSIVES</w:t>
      </w:r>
    </w:p>
    <w:p w:rsidR="00950C40" w:rsidRPr="00950C40" w:rsidRDefault="00950C40" w:rsidP="00950C40">
      <w:pPr>
        <w:pStyle w:val="SingleTxtG"/>
        <w:spacing w:after="0" w:line="240" w:lineRule="auto"/>
        <w:jc w:val="center"/>
        <w:rPr>
          <w:b/>
          <w:color w:val="000000" w:themeColor="text1"/>
        </w:rPr>
      </w:pPr>
    </w:p>
    <w:bookmarkStart w:id="20" w:name="_Hlk522786124"/>
    <w:p w:rsidR="00900C30" w:rsidRDefault="00950C40" w:rsidP="004631AC">
      <w:pPr>
        <w:jc w:val="center"/>
      </w:pPr>
      <w:r>
        <w:object w:dxaOrig="10740" w:dyaOrig="14236">
          <v:shape id="_x0000_i1033" type="#_x0000_t75" style="width:411.9pt;height:540.45pt" o:ole="">
            <v:imagedata r:id="rId25" o:title=""/>
          </v:shape>
          <o:OLEObject Type="Embed" ProgID="Visio.Drawing.15" ShapeID="_x0000_i1033" DrawAspect="Content" ObjectID="_1598361716" r:id="rId26"/>
        </w:object>
      </w:r>
      <w:bookmarkEnd w:id="20"/>
    </w:p>
    <w:p w:rsidR="00950C40" w:rsidRDefault="00950C40" w:rsidP="00900C30">
      <w:pPr>
        <w:pStyle w:val="SingleTxtG"/>
        <w:spacing w:before="200" w:after="0" w:line="240" w:lineRule="auto"/>
        <w:ind w:left="2268" w:hanging="1134"/>
      </w:pPr>
      <w:r>
        <w:t>”</w:t>
      </w:r>
    </w:p>
    <w:p w:rsidR="00950C40" w:rsidRDefault="00950C40" w:rsidP="00900C30">
      <w:pPr>
        <w:pStyle w:val="SingleTxtG"/>
        <w:spacing w:before="200" w:after="0" w:line="240" w:lineRule="auto"/>
        <w:ind w:left="2268" w:hanging="1134"/>
      </w:pPr>
    </w:p>
    <w:p w:rsidR="00900C30" w:rsidRDefault="00900C30" w:rsidP="00900C30">
      <w:pPr>
        <w:pStyle w:val="SingleTxtG"/>
        <w:spacing w:before="200" w:after="0" w:line="240" w:lineRule="auto"/>
        <w:ind w:left="2268" w:hanging="1134"/>
      </w:pPr>
      <w:r w:rsidRPr="001E0F45">
        <w:lastRenderedPageBreak/>
        <w:t>Figure 10.8</w:t>
      </w:r>
      <w:r w:rsidRPr="001E0F45">
        <w:tab/>
      </w:r>
      <w:r w:rsidRPr="001E0F45">
        <w:tab/>
      </w:r>
      <w:r w:rsidRPr="001E0F45">
        <w:tab/>
        <w:t>Current Figure 10.10 becomes Figure 10.8.</w:t>
      </w:r>
    </w:p>
    <w:p w:rsidR="00900C30" w:rsidRDefault="00900C30" w:rsidP="004631AC"/>
    <w:p w:rsidR="00900C30" w:rsidRPr="004631AC" w:rsidRDefault="00900C30" w:rsidP="004631AC">
      <w:pPr>
        <w:pStyle w:val="SingleTxtG"/>
        <w:rPr>
          <w:i/>
          <w:iCs/>
        </w:rPr>
      </w:pPr>
      <w:bookmarkStart w:id="21" w:name="_Hlk524516491"/>
      <w:r w:rsidRPr="004631AC">
        <w:rPr>
          <w:i/>
          <w:iCs/>
        </w:rPr>
        <w:t>(Reference document: ST/SG/AC.10/C.4/2018/1, as amended)</w:t>
      </w:r>
    </w:p>
    <w:bookmarkEnd w:id="21"/>
    <w:p w:rsidR="00FD1466" w:rsidRDefault="00900C30" w:rsidP="00FD1466">
      <w:pPr>
        <w:pStyle w:val="H1G"/>
      </w:pPr>
      <w:r>
        <w:tab/>
      </w:r>
      <w:r>
        <w:tab/>
      </w:r>
      <w:r w:rsidR="00FD1466" w:rsidRPr="00755589">
        <w:t xml:space="preserve">Section </w:t>
      </w:r>
      <w:r w:rsidR="00FD1466">
        <w:t>32</w:t>
      </w:r>
    </w:p>
    <w:p w:rsidR="00FD1466" w:rsidRPr="00F96F3B" w:rsidRDefault="00FD1466" w:rsidP="00FD1466">
      <w:pPr>
        <w:pStyle w:val="SingleTxtG"/>
        <w:rPr>
          <w:lang w:val="en-US"/>
        </w:rPr>
      </w:pPr>
      <w:r w:rsidRPr="00F96F3B">
        <w:rPr>
          <w:lang w:val="en-US"/>
        </w:rPr>
        <w:t>32.5.1.1</w:t>
      </w:r>
      <w:r w:rsidRPr="00F96F3B">
        <w:rPr>
          <w:lang w:val="en-US"/>
        </w:rPr>
        <w:tab/>
        <w:t xml:space="preserve">At the end, delete </w:t>
      </w:r>
      <w:r>
        <w:rPr>
          <w:lang w:val="en-US"/>
        </w:rPr>
        <w:t>“</w:t>
      </w:r>
      <w:r w:rsidRPr="00F96F3B">
        <w:rPr>
          <w:lang w:val="en-US"/>
        </w:rPr>
        <w:t>with a flas</w:t>
      </w:r>
      <w:r>
        <w:rPr>
          <w:lang w:val="en-US"/>
        </w:rPr>
        <w:t>h point of less than 23°C”.</w:t>
      </w:r>
    </w:p>
    <w:p w:rsidR="00FD1466" w:rsidRDefault="00FD1466" w:rsidP="00FD1466">
      <w:pPr>
        <w:pStyle w:val="SingleTxtG"/>
        <w:rPr>
          <w:i/>
          <w:iCs/>
          <w:lang w:val="en-US"/>
        </w:rPr>
      </w:pPr>
      <w:r w:rsidRPr="001539C6">
        <w:rPr>
          <w:i/>
          <w:iCs/>
        </w:rPr>
        <w:t>(</w:t>
      </w:r>
      <w:r w:rsidRPr="00325855">
        <w:rPr>
          <w:i/>
          <w:iCs/>
          <w:lang w:val="en-US"/>
        </w:rPr>
        <w:t xml:space="preserve">Reference document: </w:t>
      </w:r>
      <w:bookmarkStart w:id="22" w:name="_Hlk524590775"/>
      <w:r w:rsidR="009068A0" w:rsidRPr="00020245">
        <w:rPr>
          <w:i/>
          <w:iCs/>
        </w:rPr>
        <w:t>ST/SG/AC.10/C.3/</w:t>
      </w:r>
      <w:r w:rsidR="009068A0">
        <w:rPr>
          <w:i/>
          <w:iCs/>
        </w:rPr>
        <w:t>106/Add.1</w:t>
      </w:r>
      <w:bookmarkEnd w:id="22"/>
      <w:r>
        <w:rPr>
          <w:i/>
          <w:iCs/>
          <w:lang w:val="en-US"/>
        </w:rPr>
        <w:t>)</w:t>
      </w:r>
    </w:p>
    <w:p w:rsidR="00064D87" w:rsidRPr="000E4463" w:rsidRDefault="00064D87" w:rsidP="00064D87">
      <w:pPr>
        <w:pStyle w:val="H1G"/>
      </w:pPr>
      <w:r>
        <w:tab/>
      </w:r>
      <w:r>
        <w:tab/>
      </w:r>
      <w:r w:rsidRPr="000E4463">
        <w:t>Section 38.3</w:t>
      </w:r>
    </w:p>
    <w:p w:rsidR="00064D87" w:rsidRPr="000E4463" w:rsidRDefault="00064D87" w:rsidP="00064D87">
      <w:pPr>
        <w:pStyle w:val="SingleTxtG"/>
      </w:pPr>
      <w:r w:rsidRPr="000E4463">
        <w:t>38.3.5 (f)</w:t>
      </w:r>
      <w:r w:rsidRPr="000E4463">
        <w:tab/>
        <w:t>Amend sub-paragraph (ii) to read as follows:</w:t>
      </w:r>
    </w:p>
    <w:p w:rsidR="00064D87" w:rsidRPr="000E4463" w:rsidRDefault="00064D87" w:rsidP="00064D87">
      <w:pPr>
        <w:pStyle w:val="SingleTxtG"/>
      </w:pPr>
      <w:r w:rsidRPr="000E4463">
        <w:t>“(ii)</w:t>
      </w:r>
      <w:r w:rsidRPr="000E4463">
        <w:tab/>
        <w:t>Mass of cell or battery;”.</w:t>
      </w:r>
    </w:p>
    <w:p w:rsidR="00064D87" w:rsidRPr="000E4463" w:rsidRDefault="00064D87" w:rsidP="00064D87">
      <w:pPr>
        <w:pStyle w:val="SingleTxtG"/>
        <w:rPr>
          <w:i/>
        </w:rPr>
      </w:pPr>
      <w:r w:rsidRPr="000E4463">
        <w:rPr>
          <w:i/>
        </w:rPr>
        <w:t xml:space="preserve">(Reference document: </w:t>
      </w:r>
      <w:bookmarkStart w:id="23" w:name="_Hlk524503575"/>
      <w:r w:rsidRPr="00020245">
        <w:rPr>
          <w:i/>
          <w:iCs/>
        </w:rPr>
        <w:t>ST/SG/AC.10/C.3/</w:t>
      </w:r>
      <w:r>
        <w:rPr>
          <w:i/>
          <w:iCs/>
        </w:rPr>
        <w:t>102/Add.1</w:t>
      </w:r>
      <w:bookmarkEnd w:id="23"/>
      <w:r w:rsidRPr="000E4463">
        <w:rPr>
          <w:i/>
        </w:rPr>
        <w:t>)</w:t>
      </w:r>
    </w:p>
    <w:p w:rsidR="00064D87" w:rsidRPr="000E4463" w:rsidRDefault="00064D87" w:rsidP="00064D87">
      <w:pPr>
        <w:pStyle w:val="SingleTxtG"/>
      </w:pPr>
      <w:r w:rsidRPr="000E4463">
        <w:t>38.3.5 (f)</w:t>
      </w:r>
      <w:r w:rsidRPr="000E4463">
        <w:tab/>
        <w:t>Amend sub-paragraph (v) to read as follows:</w:t>
      </w:r>
    </w:p>
    <w:p w:rsidR="00064D87" w:rsidRPr="000E4463" w:rsidRDefault="00064D87" w:rsidP="00064D87">
      <w:pPr>
        <w:pStyle w:val="SingleTxtG"/>
      </w:pPr>
      <w:r w:rsidRPr="000E4463">
        <w:t>“(v)</w:t>
      </w:r>
      <w:r w:rsidRPr="000E4463">
        <w:tab/>
        <w:t>Cell or battery model number or, alternatively, if the test summary is established for a product containing a cell or battery, the product model number;”.</w:t>
      </w:r>
    </w:p>
    <w:p w:rsidR="00064D87" w:rsidRDefault="00064D87" w:rsidP="00064D87">
      <w:pPr>
        <w:pStyle w:val="SingleTxtG"/>
        <w:rPr>
          <w:i/>
          <w:iCs/>
          <w:lang w:val="en-US"/>
        </w:rPr>
      </w:pPr>
      <w:r w:rsidRPr="000E4463">
        <w:rPr>
          <w:i/>
        </w:rPr>
        <w:t xml:space="preserve">(Reference document: </w:t>
      </w:r>
      <w:r w:rsidRPr="00020245">
        <w:rPr>
          <w:i/>
          <w:iCs/>
        </w:rPr>
        <w:t>ST/SG/AC.10/C.3/</w:t>
      </w:r>
      <w:r>
        <w:rPr>
          <w:i/>
          <w:iCs/>
        </w:rPr>
        <w:t>102/Add.1</w:t>
      </w:r>
      <w:r w:rsidRPr="000E4463">
        <w:rPr>
          <w:i/>
        </w:rPr>
        <w:t>)</w:t>
      </w:r>
    </w:p>
    <w:p w:rsidR="00CE7930" w:rsidRPr="001A2079" w:rsidRDefault="00CE7930" w:rsidP="00CE7930">
      <w:pPr>
        <w:pStyle w:val="H1G"/>
      </w:pPr>
      <w:r>
        <w:tab/>
      </w:r>
      <w:r>
        <w:tab/>
      </w:r>
      <w:r w:rsidRPr="001A2079">
        <w:t>Section 41</w:t>
      </w:r>
    </w:p>
    <w:p w:rsidR="00CE7930" w:rsidRPr="00755589" w:rsidRDefault="00CE7930" w:rsidP="00CE7930">
      <w:pPr>
        <w:pStyle w:val="SingleTxtG"/>
      </w:pPr>
      <w:r w:rsidRPr="00755589">
        <w:t>41.2</w:t>
      </w:r>
      <w:r w:rsidRPr="00755589">
        <w:tab/>
        <w:t>At the beginning of the paragraph, replace “variation in container design” by “variations in portable tank or MEGC design”.</w:t>
      </w:r>
    </w:p>
    <w:p w:rsidR="00CE7930" w:rsidRPr="00755589" w:rsidRDefault="00CE7930" w:rsidP="00CE7930">
      <w:pPr>
        <w:pStyle w:val="SingleTxtG"/>
        <w:rPr>
          <w:i/>
        </w:rPr>
      </w:pPr>
      <w:r w:rsidRPr="00755589">
        <w:rPr>
          <w:i/>
        </w:rPr>
        <w:t>(Reference document:</w:t>
      </w:r>
      <w:r w:rsidRPr="00755589">
        <w:t xml:space="preserve"> </w:t>
      </w:r>
      <w:bookmarkStart w:id="24" w:name="_Hlk524503601"/>
      <w:r w:rsidRPr="00020245">
        <w:rPr>
          <w:i/>
          <w:iCs/>
        </w:rPr>
        <w:t>ST/SG/AC.10/C.3/</w:t>
      </w:r>
      <w:r>
        <w:rPr>
          <w:i/>
          <w:iCs/>
        </w:rPr>
        <w:t>104/Add.1</w:t>
      </w:r>
      <w:bookmarkEnd w:id="24"/>
      <w:r w:rsidRPr="00755589">
        <w:rPr>
          <w:i/>
        </w:rPr>
        <w:t>)</w:t>
      </w:r>
    </w:p>
    <w:p w:rsidR="00CE7930" w:rsidRPr="00755589" w:rsidRDefault="00CE7930" w:rsidP="00CE7930">
      <w:pPr>
        <w:pStyle w:val="SingleTxtG"/>
      </w:pPr>
      <w:r w:rsidRPr="00755589">
        <w:t>41.3.1</w:t>
      </w:r>
      <w:r w:rsidRPr="00755589">
        <w:tab/>
        <w:t>In the introductory sentence and in (a) and (b), replace “container under test” by “prototype”.</w:t>
      </w:r>
    </w:p>
    <w:p w:rsidR="00CE7930" w:rsidRPr="00755589" w:rsidRDefault="00CE7930" w:rsidP="00CE7930">
      <w:pPr>
        <w:pStyle w:val="SingleTxtG"/>
        <w:rPr>
          <w:i/>
        </w:rPr>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t>41.3.3.2 (a)</w:t>
      </w:r>
      <w:r w:rsidRPr="00755589">
        <w:tab/>
        <w:t>In the first sentence, after “of 3000 Hz”, add “, and a resonant frequency of at least five times the sampling frequency”.</w:t>
      </w:r>
      <w:r w:rsidRPr="00755589">
        <w:tab/>
      </w:r>
    </w:p>
    <w:p w:rsidR="00CE7930" w:rsidRPr="00755589" w:rsidRDefault="00CE7930" w:rsidP="00CE7930">
      <w:pPr>
        <w:pStyle w:val="SingleTxtG"/>
        <w:rPr>
          <w:i/>
        </w:rPr>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t>41.3.3.2 (c)</w:t>
      </w:r>
      <w:r w:rsidRPr="00755589">
        <w:tab/>
        <w:t>Replace the second sentence starting “The data acquisition system…” by “Aliasing must not exceed 1%, which may require the incorporation of an anti-aliasing filter into the data acquisition system;”</w:t>
      </w:r>
    </w:p>
    <w:p w:rsidR="00CE7930" w:rsidRPr="00755589" w:rsidRDefault="00CE7930" w:rsidP="00CE7930">
      <w:pPr>
        <w:pStyle w:val="SingleTxtG"/>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t>41.3.4.1</w:t>
      </w:r>
      <w:r w:rsidRPr="00755589">
        <w:tab/>
        <w:t>In the introductory sentence and in paragraph (a), replace “container under test” by “prototype”,</w:t>
      </w:r>
    </w:p>
    <w:p w:rsidR="00CE7930" w:rsidRPr="00755589" w:rsidRDefault="00CE7930" w:rsidP="00CE7930">
      <w:pPr>
        <w:pStyle w:val="SingleTxtG"/>
        <w:rPr>
          <w:i/>
        </w:rPr>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t>41.3.4.2</w:t>
      </w:r>
      <w:r w:rsidRPr="00755589">
        <w:tab/>
        <w:t>Replace “container” by “prototype”.</w:t>
      </w:r>
    </w:p>
    <w:p w:rsidR="00CE7930" w:rsidRPr="00755589" w:rsidRDefault="00CE7930" w:rsidP="00CE7930">
      <w:pPr>
        <w:pStyle w:val="SingleTxtG"/>
        <w:rPr>
          <w:i/>
        </w:rPr>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t>41.3.4.3</w:t>
      </w:r>
      <w:r w:rsidRPr="00755589">
        <w:tab/>
        <w:t>In the first and third sentence, replace “container under test” by “prototype”.</w:t>
      </w:r>
    </w:p>
    <w:p w:rsidR="00CE7930" w:rsidRPr="00755589" w:rsidRDefault="00CE7930" w:rsidP="00CE7930">
      <w:pPr>
        <w:pStyle w:val="SingleTxtG"/>
        <w:rPr>
          <w:i/>
        </w:rPr>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lastRenderedPageBreak/>
        <w:t>41.3.4.5</w:t>
      </w:r>
      <w:r w:rsidRPr="00755589">
        <w:tab/>
        <w:t>In the first sentence, replace “container under test” by “prototype”. In the second sentence, replace “container” by “portable tank or MEGC”.</w:t>
      </w:r>
    </w:p>
    <w:p w:rsidR="00CE7930" w:rsidRPr="00755589" w:rsidRDefault="00CE7930" w:rsidP="00CE7930">
      <w:pPr>
        <w:pStyle w:val="SingleTxtG"/>
        <w:rPr>
          <w:i/>
        </w:rPr>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t>41.3.5.1 (b)(i)</w:t>
      </w:r>
      <w:r w:rsidRPr="00755589">
        <w:tab/>
        <w:t>For “ω</w:t>
      </w:r>
      <w:r w:rsidRPr="00755589">
        <w:rPr>
          <w:i/>
          <w:iCs/>
          <w:vertAlign w:val="subscript"/>
        </w:rPr>
        <w:t>n</w:t>
      </w:r>
      <w:r w:rsidRPr="00755589">
        <w:t>”, after “natural frequency”, replace (in</w:t>
      </w:r>
      <w:r w:rsidRPr="00755589">
        <w:rPr>
          <w:strike/>
        </w:rPr>
        <w:t xml:space="preserve"> </w:t>
      </w:r>
      <w:r w:rsidRPr="00755589">
        <w:t>radians) by (radians/second).</w:t>
      </w:r>
    </w:p>
    <w:p w:rsidR="00CE7930" w:rsidRPr="00755589" w:rsidRDefault="00CE7930" w:rsidP="00CE7930">
      <w:pPr>
        <w:pStyle w:val="SingleTxtG"/>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t>41.3.7</w:t>
      </w:r>
      <w:r w:rsidRPr="00755589">
        <w:tab/>
      </w:r>
      <w:r w:rsidRPr="00755589">
        <w:tab/>
        <w:t>In the title, delete “for portable tanks with frame length of 20 feet”.</w:t>
      </w:r>
    </w:p>
    <w:p w:rsidR="00CE7930" w:rsidRPr="00755589" w:rsidRDefault="00CE7930" w:rsidP="00CE7930">
      <w:pPr>
        <w:pStyle w:val="SingleTxtG"/>
        <w:rPr>
          <w:i/>
        </w:rPr>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t>41.3.7.1</w:t>
      </w:r>
      <w:r w:rsidRPr="00755589">
        <w:tab/>
        <w:t>In the introductory sentence, replace “tank container under test” by “prototype” and “containers” by “portable tanks or MEGCs”.</w:t>
      </w:r>
    </w:p>
    <w:p w:rsidR="00CE7930" w:rsidRPr="00755589" w:rsidRDefault="00CE7930" w:rsidP="00CE7930">
      <w:pPr>
        <w:pStyle w:val="SingleTxtG"/>
        <w:rPr>
          <w:i/>
        </w:rPr>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t>41.3.7.2</w:t>
      </w:r>
      <w:r w:rsidRPr="00755589">
        <w:tab/>
        <w:t>In the third sentence, replace “tank containers” by “prototype designs”.</w:t>
      </w:r>
    </w:p>
    <w:p w:rsidR="00CE7930" w:rsidRPr="00755589" w:rsidRDefault="00CE7930" w:rsidP="00CE7930">
      <w:pPr>
        <w:pStyle w:val="SingleTxtG"/>
        <w:rPr>
          <w:i/>
        </w:rPr>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t>41.3.8 (b)</w:t>
      </w:r>
      <w:r>
        <w:t xml:space="preserve"> and</w:t>
      </w:r>
      <w:r w:rsidRPr="00755589">
        <w:t xml:space="preserve"> (c) </w:t>
      </w:r>
      <w:r>
        <w:tab/>
      </w:r>
      <w:r w:rsidRPr="00755589">
        <w:t>Replace “container” by “prototype”.</w:t>
      </w:r>
    </w:p>
    <w:p w:rsidR="00CE7930" w:rsidRPr="00755589" w:rsidRDefault="00CE7930" w:rsidP="00CE7930">
      <w:pPr>
        <w:pStyle w:val="SingleTxtG"/>
        <w:rPr>
          <w:i/>
        </w:rPr>
      </w:pPr>
      <w:r w:rsidRPr="00755589">
        <w:rPr>
          <w:i/>
        </w:rPr>
        <w:t>(Reference document:</w:t>
      </w:r>
      <w:r w:rsidRPr="00755589">
        <w:t xml:space="preserve"> </w:t>
      </w:r>
      <w:r w:rsidRPr="00020245">
        <w:rPr>
          <w:i/>
          <w:iCs/>
        </w:rPr>
        <w:t>ST/SG/AC.10/C.3/</w:t>
      </w:r>
      <w:r>
        <w:rPr>
          <w:i/>
          <w:iCs/>
        </w:rPr>
        <w:t>104/Add.1</w:t>
      </w:r>
      <w:r w:rsidRPr="00755589">
        <w:rPr>
          <w:i/>
        </w:rPr>
        <w:t>)</w:t>
      </w:r>
    </w:p>
    <w:p w:rsidR="00CE7930" w:rsidRPr="00755589" w:rsidRDefault="00CE7930" w:rsidP="00CE7930">
      <w:pPr>
        <w:pStyle w:val="SingleTxtG"/>
      </w:pPr>
      <w:r w:rsidRPr="00755589">
        <w:t>41.3.8 (f)</w:t>
      </w:r>
      <w:r w:rsidRPr="00755589">
        <w:tab/>
        <w:t>Replace “container” by “the prototype”.</w:t>
      </w:r>
    </w:p>
    <w:p w:rsidR="00CE7930" w:rsidRDefault="00CE7930" w:rsidP="00064D87">
      <w:pPr>
        <w:pStyle w:val="SingleTxtG"/>
        <w:rPr>
          <w:i/>
          <w:iCs/>
          <w:lang w:val="en-US"/>
        </w:rPr>
      </w:pPr>
      <w:r w:rsidRPr="00755589">
        <w:rPr>
          <w:i/>
        </w:rPr>
        <w:t>(Reference document:</w:t>
      </w:r>
      <w:r w:rsidRPr="00755589">
        <w:t xml:space="preserve"> </w:t>
      </w:r>
      <w:r w:rsidRPr="00020245">
        <w:rPr>
          <w:i/>
          <w:iCs/>
        </w:rPr>
        <w:t>ST/SG/AC.10/C.3/</w:t>
      </w:r>
      <w:r>
        <w:rPr>
          <w:i/>
          <w:iCs/>
        </w:rPr>
        <w:t>104/Add.1</w:t>
      </w:r>
      <w:r>
        <w:rPr>
          <w:i/>
        </w:rPr>
        <w:t>)</w:t>
      </w:r>
    </w:p>
    <w:p w:rsidR="00FD1466" w:rsidRDefault="00FD1466" w:rsidP="00DA001F">
      <w:pPr>
        <w:pStyle w:val="H1G"/>
        <w:rPr>
          <w:lang w:val="en-US"/>
        </w:rPr>
      </w:pPr>
      <w:r>
        <w:tab/>
      </w:r>
      <w:r>
        <w:tab/>
      </w:r>
      <w:r w:rsidRPr="0089475D">
        <w:rPr>
          <w:lang w:val="en-US"/>
        </w:rPr>
        <w:tab/>
      </w:r>
      <w:r>
        <w:rPr>
          <w:lang w:val="en-US"/>
        </w:rPr>
        <w:t>Appendix 10</w:t>
      </w:r>
    </w:p>
    <w:p w:rsidR="00FD1466" w:rsidRPr="006037D5" w:rsidRDefault="00FD1466" w:rsidP="00FD1466">
      <w:pPr>
        <w:pStyle w:val="SingleTxtG"/>
        <w:tabs>
          <w:tab w:val="left" w:pos="1701"/>
        </w:tabs>
      </w:pPr>
      <w:r w:rsidRPr="006037D5">
        <w:t>Insert a new appendix 10 to read as follows:</w:t>
      </w:r>
    </w:p>
    <w:p w:rsidR="00FD1466" w:rsidRPr="00991582" w:rsidRDefault="00FD1466" w:rsidP="00FD1466">
      <w:pPr>
        <w:pStyle w:val="HChG"/>
        <w:spacing w:line="240" w:lineRule="auto"/>
        <w:jc w:val="center"/>
        <w:rPr>
          <w:sz w:val="20"/>
          <w:lang w:val="en-US"/>
        </w:rPr>
      </w:pPr>
      <w:r w:rsidRPr="00991582">
        <w:rPr>
          <w:sz w:val="20"/>
          <w:lang w:val="en-US"/>
        </w:rPr>
        <w:t>“</w:t>
      </w:r>
      <w:r w:rsidRPr="006037D5">
        <w:rPr>
          <w:sz w:val="20"/>
          <w:lang w:val="en-US"/>
        </w:rPr>
        <w:t>APPENDIX 10</w:t>
      </w:r>
    </w:p>
    <w:p w:rsidR="00FD1466" w:rsidRPr="00991582" w:rsidRDefault="00A76335" w:rsidP="00FD1466">
      <w:pPr>
        <w:pStyle w:val="HChG"/>
        <w:spacing w:before="0"/>
        <w:jc w:val="center"/>
        <w:rPr>
          <w:sz w:val="20"/>
          <w:lang w:val="en-US"/>
        </w:rPr>
      </w:pPr>
      <w:r>
        <w:rPr>
          <w:sz w:val="20"/>
          <w:lang w:val="en-US"/>
        </w:rPr>
        <w:tab/>
      </w:r>
      <w:r>
        <w:rPr>
          <w:sz w:val="20"/>
          <w:lang w:val="en-US"/>
        </w:rPr>
        <w:tab/>
      </w:r>
      <w:r w:rsidR="00FD1466" w:rsidRPr="006037D5">
        <w:rPr>
          <w:sz w:val="20"/>
          <w:lang w:val="en-US"/>
        </w:rPr>
        <w:t>STABILITY TESTS FOR NITROCELLULOSE MIXTURES</w:t>
      </w:r>
    </w:p>
    <w:p w:rsidR="00FD1466" w:rsidRPr="00991582" w:rsidRDefault="00FD1466" w:rsidP="00FD1466">
      <w:pPr>
        <w:pStyle w:val="H1G"/>
        <w:tabs>
          <w:tab w:val="left" w:pos="1134"/>
          <w:tab w:val="left" w:pos="1985"/>
        </w:tabs>
        <w:ind w:left="862" w:firstLine="0"/>
        <w:rPr>
          <w:sz w:val="20"/>
        </w:rPr>
      </w:pPr>
      <w:r w:rsidRPr="00991582">
        <w:rPr>
          <w:sz w:val="20"/>
        </w:rPr>
        <w:tab/>
        <w:t>1.</w:t>
      </w:r>
      <w:r w:rsidRPr="00991582">
        <w:rPr>
          <w:sz w:val="20"/>
        </w:rPr>
        <w:tab/>
        <w:t>Introduction</w:t>
      </w:r>
    </w:p>
    <w:p w:rsidR="00FD1466" w:rsidRPr="006037D5" w:rsidRDefault="00FD1466" w:rsidP="00FD1466">
      <w:pPr>
        <w:pStyle w:val="SingleTxtG"/>
        <w:tabs>
          <w:tab w:val="left" w:pos="1985"/>
        </w:tabs>
      </w:pPr>
      <w:r w:rsidRPr="006037D5">
        <w:t>1.1</w:t>
      </w:r>
      <w:r w:rsidRPr="006037D5">
        <w:tab/>
        <w:t xml:space="preserve">The Bergmann Junk test and the methyl violet paper test are used to determine whether nitrocellulose mixtures are considered to be stable for transport. </w:t>
      </w:r>
    </w:p>
    <w:p w:rsidR="00FD1466" w:rsidRPr="006037D5" w:rsidRDefault="00FD1466" w:rsidP="00FD1466">
      <w:pPr>
        <w:pStyle w:val="SingleTxtG"/>
        <w:tabs>
          <w:tab w:val="left" w:pos="1985"/>
        </w:tabs>
      </w:pPr>
      <w:r w:rsidRPr="006037D5">
        <w:t>1.2</w:t>
      </w:r>
      <w:r w:rsidRPr="006037D5">
        <w:tab/>
        <w:t xml:space="preserve">The methyl violet paper test is a qualitative test and determines the stability of a nitrocellulose mixture by examining the colour change of reagent paper over a period of time. </w:t>
      </w:r>
    </w:p>
    <w:p w:rsidR="00FD1466" w:rsidRPr="006037D5" w:rsidRDefault="00FD1466" w:rsidP="00DA001F">
      <w:pPr>
        <w:pStyle w:val="SingleTxtG"/>
        <w:tabs>
          <w:tab w:val="left" w:pos="1985"/>
        </w:tabs>
        <w:spacing w:after="0"/>
        <w:rPr>
          <w:lang w:val="en-US"/>
        </w:rPr>
      </w:pPr>
      <w:r w:rsidRPr="006037D5">
        <w:rPr>
          <w:lang w:val="en-US"/>
        </w:rPr>
        <w:t>1.3</w:t>
      </w:r>
      <w:r w:rsidRPr="006037D5">
        <w:rPr>
          <w:lang w:val="en-US"/>
        </w:rPr>
        <w:tab/>
        <w:t>The Bergmann-Junk test is a quantitative stability test applicable to all types of nitrocellulose mixtures (NC). The test measures the quantity of NO gas per g NC given off</w:t>
      </w:r>
      <w:r w:rsidRPr="006037D5">
        <w:t xml:space="preserve"> by </w:t>
      </w:r>
      <w:r w:rsidRPr="006037D5">
        <w:rPr>
          <w:lang w:val="en-US"/>
        </w:rPr>
        <w:t xml:space="preserve">nitrocellulose heated for two hours at 132°C determined by titration with alkali. The expression “NO gas” comprises all types of NO-gas formed during the heating for 2 hours at 132°C. The Bergmann Junk test method allows a reliable and reproducible quantitative assessment of chemical stability. Thus this test is the preferred method. </w:t>
      </w:r>
    </w:p>
    <w:p w:rsidR="00FD1466" w:rsidRPr="00991582" w:rsidRDefault="00FD1466" w:rsidP="00FD1466">
      <w:pPr>
        <w:pStyle w:val="H1G"/>
        <w:tabs>
          <w:tab w:val="left" w:pos="1985"/>
        </w:tabs>
        <w:rPr>
          <w:sz w:val="20"/>
        </w:rPr>
      </w:pPr>
      <w:r w:rsidRPr="00991582">
        <w:rPr>
          <w:sz w:val="20"/>
        </w:rPr>
        <w:tab/>
      </w:r>
      <w:r w:rsidRPr="00991582">
        <w:rPr>
          <w:sz w:val="20"/>
        </w:rPr>
        <w:tab/>
        <w:t>2.</w:t>
      </w:r>
      <w:r w:rsidRPr="00991582">
        <w:rPr>
          <w:sz w:val="20"/>
        </w:rPr>
        <w:tab/>
        <w:t>Bergmann-Junk test</w:t>
      </w:r>
    </w:p>
    <w:p w:rsidR="00FD1466" w:rsidRPr="006037D5" w:rsidRDefault="00FD1466" w:rsidP="00FD1466">
      <w:pPr>
        <w:pStyle w:val="H23G"/>
        <w:tabs>
          <w:tab w:val="left" w:pos="1985"/>
        </w:tabs>
      </w:pPr>
      <w:r w:rsidRPr="006037D5">
        <w:tab/>
      </w:r>
      <w:r w:rsidRPr="006037D5">
        <w:tab/>
        <w:t>2.1</w:t>
      </w:r>
      <w:r w:rsidRPr="006037D5">
        <w:tab/>
        <w:t>Introduction</w:t>
      </w:r>
    </w:p>
    <w:p w:rsidR="00FD1466" w:rsidRPr="006037D5" w:rsidRDefault="00FD1466" w:rsidP="00FD1466">
      <w:pPr>
        <w:pStyle w:val="SingleTxtG"/>
        <w:tabs>
          <w:tab w:val="left" w:pos="1985"/>
        </w:tabs>
        <w:ind w:firstLine="851"/>
        <w:rPr>
          <w:lang w:val="en-US"/>
        </w:rPr>
      </w:pPr>
      <w:r w:rsidRPr="006037D5">
        <w:rPr>
          <w:lang w:val="en-US"/>
        </w:rPr>
        <w:t xml:space="preserve">The Bergmann-Junk test is a quantitative stability test applicable to all types of nitrocellulose (NC). The test measures the quantity of NO gas per g of NC given off by </w:t>
      </w:r>
      <w:r w:rsidRPr="006037D5">
        <w:rPr>
          <w:lang w:val="en-US"/>
        </w:rPr>
        <w:lastRenderedPageBreak/>
        <w:t xml:space="preserve">1 (one) or 2 (two) gram(s) of nitrocellulose heated for two hours at 132°C </w:t>
      </w:r>
      <w:r w:rsidRPr="006037D5">
        <w:sym w:font="Symbol" w:char="F0B1"/>
      </w:r>
      <w:r w:rsidRPr="006037D5">
        <w:rPr>
          <w:lang w:val="en-US"/>
        </w:rPr>
        <w:t xml:space="preserve"> </w:t>
      </w:r>
      <w:r w:rsidRPr="006037D5">
        <w:rPr>
          <w:bCs/>
          <w:lang w:val="en-US"/>
        </w:rPr>
        <w:t>1</w:t>
      </w:r>
      <w:r w:rsidRPr="006037D5">
        <w:rPr>
          <w:lang w:val="en-US"/>
        </w:rPr>
        <w:t xml:space="preserve">°C </w:t>
      </w:r>
      <w:r w:rsidRPr="006037D5">
        <w:rPr>
          <w:i/>
          <w:iCs/>
          <w:lang w:val="en-US"/>
        </w:rPr>
        <w:t>(Plasticised NC: 3 (three) grams are heated for 1 hour)</w:t>
      </w:r>
      <w:r w:rsidRPr="006037D5">
        <w:rPr>
          <w:lang w:val="en-US"/>
        </w:rPr>
        <w:t xml:space="preserve"> as determined by titration with alkali. </w:t>
      </w:r>
    </w:p>
    <w:p w:rsidR="00FD1466" w:rsidRPr="006037D5" w:rsidRDefault="00FD1466" w:rsidP="00FD1466">
      <w:pPr>
        <w:pStyle w:val="H23G"/>
        <w:tabs>
          <w:tab w:val="left" w:pos="1985"/>
        </w:tabs>
        <w:ind w:firstLine="0"/>
      </w:pPr>
      <w:r w:rsidRPr="006037D5">
        <w:t>2.2</w:t>
      </w:r>
      <w:r w:rsidRPr="006037D5">
        <w:tab/>
        <w:t>Apparatus</w:t>
      </w:r>
      <w:r w:rsidRPr="006037D5">
        <w:rPr>
          <w:lang w:val="en-US"/>
        </w:rPr>
        <w:t xml:space="preserve"> and materials</w:t>
      </w:r>
    </w:p>
    <w:p w:rsidR="00FD1466" w:rsidRPr="006037D5" w:rsidRDefault="00FD1466" w:rsidP="00FD1466">
      <w:pPr>
        <w:pStyle w:val="SingleTxtG"/>
        <w:tabs>
          <w:tab w:val="left" w:pos="1985"/>
        </w:tabs>
      </w:pPr>
      <w:r w:rsidRPr="006037D5">
        <w:rPr>
          <w:lang w:val="en-US"/>
        </w:rPr>
        <w:t>2.2.1</w:t>
      </w:r>
      <w:r w:rsidRPr="006037D5">
        <w:rPr>
          <w:lang w:val="en-US"/>
        </w:rPr>
        <w:tab/>
      </w:r>
      <w:r w:rsidRPr="006037D5">
        <w:t>Analytical balance, precision 1</w:t>
      </w:r>
      <w:r w:rsidRPr="006037D5">
        <w:rPr>
          <w:lang w:val="en-US"/>
        </w:rPr>
        <w:t>0</w:t>
      </w:r>
      <w:r w:rsidRPr="006037D5">
        <w:t xml:space="preserve"> mg or better.</w:t>
      </w:r>
    </w:p>
    <w:p w:rsidR="00FD1466" w:rsidRPr="006037D5" w:rsidRDefault="00FD1466" w:rsidP="00FD1466">
      <w:pPr>
        <w:pStyle w:val="SingleTxtG"/>
        <w:tabs>
          <w:tab w:val="left" w:pos="1985"/>
        </w:tabs>
      </w:pPr>
      <w:r w:rsidRPr="006037D5">
        <w:rPr>
          <w:lang w:val="en-US"/>
        </w:rPr>
        <w:t>2</w:t>
      </w:r>
      <w:r w:rsidRPr="006037D5">
        <w:t>.2.2</w:t>
      </w:r>
      <w:r w:rsidRPr="006037D5">
        <w:tab/>
        <w:t>Bergman-Junk tube made of clear glass, approximately 17.5</w:t>
      </w:r>
      <w:r w:rsidRPr="006037D5">
        <w:rPr>
          <w:lang w:val="en-US"/>
        </w:rPr>
        <w:t xml:space="preserve"> </w:t>
      </w:r>
      <w:r w:rsidRPr="006037D5">
        <w:t>mm inner</w:t>
      </w:r>
      <w:r w:rsidRPr="006037D5">
        <w:rPr>
          <w:lang w:val="en-US"/>
        </w:rPr>
        <w:t xml:space="preserve"> </w:t>
      </w:r>
      <w:r w:rsidRPr="006037D5">
        <w:t>diameter, 19.5 mm, outer diameter, and 270 mm to 350 mm long fitted with a</w:t>
      </w:r>
      <w:r w:rsidRPr="006037D5">
        <w:rPr>
          <w:lang w:val="en-US"/>
        </w:rPr>
        <w:t xml:space="preserve"> </w:t>
      </w:r>
      <w:r w:rsidRPr="006037D5">
        <w:t>condensing chamber. Several different types of suitable condensing chambers are commercially available. (for examples see figures A10.1 and A10.2).</w:t>
      </w:r>
    </w:p>
    <w:p w:rsidR="00FD1466" w:rsidRPr="006037D5" w:rsidRDefault="00FD1466" w:rsidP="00FD1466">
      <w:pPr>
        <w:pStyle w:val="SingleTxtG"/>
        <w:tabs>
          <w:tab w:val="left" w:pos="1985"/>
        </w:tabs>
      </w:pPr>
      <w:r w:rsidRPr="006037D5">
        <w:rPr>
          <w:lang w:val="en-US"/>
        </w:rPr>
        <w:t>2</w:t>
      </w:r>
      <w:r w:rsidRPr="006037D5">
        <w:t>.2.3</w:t>
      </w:r>
      <w:r w:rsidRPr="006037D5">
        <w:tab/>
        <w:t>Stability bath: Oil or suitable fluid bath or metal block capable of</w:t>
      </w:r>
      <w:r w:rsidRPr="006037D5">
        <w:rPr>
          <w:lang w:val="en-US"/>
        </w:rPr>
        <w:t xml:space="preserve"> </w:t>
      </w:r>
      <w:r w:rsidRPr="006037D5">
        <w:t xml:space="preserve">maintaining the temperature of the stability tubes at 132 °C </w:t>
      </w:r>
      <w:r w:rsidRPr="006037D5">
        <w:sym w:font="Symbol" w:char="F0B1"/>
      </w:r>
      <w:r w:rsidRPr="006037D5">
        <w:t xml:space="preserve"> </w:t>
      </w:r>
      <w:r w:rsidRPr="006037D5">
        <w:rPr>
          <w:bCs/>
        </w:rPr>
        <w:t>1</w:t>
      </w:r>
      <w:r w:rsidRPr="006037D5">
        <w:t xml:space="preserve"> °C</w:t>
      </w:r>
      <w:r w:rsidRPr="006037D5">
        <w:rPr>
          <w:lang w:val="en-US"/>
        </w:rPr>
        <w:t xml:space="preserve"> or better</w:t>
      </w:r>
      <w:r w:rsidRPr="006037D5">
        <w:t>. The</w:t>
      </w:r>
      <w:r w:rsidRPr="006037D5">
        <w:rPr>
          <w:lang w:val="en-US"/>
        </w:rPr>
        <w:t xml:space="preserve"> </w:t>
      </w:r>
      <w:r w:rsidRPr="006037D5">
        <w:t>temperature of the bath should be monitored with a calibrated thermometer or</w:t>
      </w:r>
      <w:r w:rsidRPr="006037D5">
        <w:rPr>
          <w:lang w:val="en-US"/>
        </w:rPr>
        <w:t xml:space="preserve"> </w:t>
      </w:r>
      <w:r w:rsidRPr="006037D5">
        <w:t>thermocouple (precision 0.1</w:t>
      </w:r>
      <w:r w:rsidRPr="006037D5">
        <w:rPr>
          <w:vertAlign w:val="superscript"/>
        </w:rPr>
        <w:t>o</w:t>
      </w:r>
      <w:r w:rsidRPr="006037D5">
        <w:t>C) which is located in one of the test wells.</w:t>
      </w:r>
    </w:p>
    <w:p w:rsidR="00FD1466" w:rsidRPr="006037D5" w:rsidRDefault="00FD1466" w:rsidP="00FD1466">
      <w:pPr>
        <w:pStyle w:val="SingleTxtG"/>
        <w:tabs>
          <w:tab w:val="left" w:pos="1985"/>
        </w:tabs>
        <w:rPr>
          <w:lang w:val="en-US"/>
        </w:rPr>
      </w:pPr>
      <w:r w:rsidRPr="006037D5">
        <w:rPr>
          <w:lang w:val="en-US"/>
        </w:rPr>
        <w:t>2.2.4</w:t>
      </w:r>
      <w:r w:rsidRPr="006037D5">
        <w:rPr>
          <w:lang w:val="en-US"/>
        </w:rPr>
        <w:tab/>
        <w:t xml:space="preserve">The </w:t>
      </w:r>
      <w:r w:rsidRPr="006037D5">
        <w:t>following</w:t>
      </w:r>
      <w:r w:rsidRPr="006037D5">
        <w:rPr>
          <w:lang w:val="en-US"/>
        </w:rPr>
        <w:t xml:space="preserve"> apparatus is required: </w:t>
      </w:r>
    </w:p>
    <w:p w:rsidR="00FD1466" w:rsidRPr="006037D5" w:rsidRDefault="00FD1466" w:rsidP="00FD1466">
      <w:pPr>
        <w:pStyle w:val="SingleTxtG"/>
        <w:tabs>
          <w:tab w:val="left" w:pos="2268"/>
        </w:tabs>
        <w:ind w:left="2268" w:hanging="283"/>
      </w:pPr>
      <w:r w:rsidRPr="006037D5">
        <w:t>-</w:t>
      </w:r>
      <w:r w:rsidRPr="006037D5">
        <w:tab/>
        <w:t>10 cm</w:t>
      </w:r>
      <w:r w:rsidRPr="006037D5">
        <w:rPr>
          <w:vertAlign w:val="superscript"/>
        </w:rPr>
        <w:t>3</w:t>
      </w:r>
      <w:r w:rsidRPr="006037D5">
        <w:t xml:space="preserve"> semi-automatic pipette or equivalent.</w:t>
      </w:r>
    </w:p>
    <w:p w:rsidR="00FD1466" w:rsidRPr="006037D5" w:rsidRDefault="00FD1466" w:rsidP="00FD1466">
      <w:pPr>
        <w:pStyle w:val="SingleTxtG"/>
        <w:tabs>
          <w:tab w:val="left" w:pos="2268"/>
        </w:tabs>
        <w:ind w:left="2268" w:hanging="283"/>
      </w:pPr>
      <w:r w:rsidRPr="006037D5">
        <w:t>-</w:t>
      </w:r>
      <w:r w:rsidRPr="006037D5">
        <w:tab/>
        <w:t>250 cm</w:t>
      </w:r>
      <w:r w:rsidRPr="006037D5">
        <w:rPr>
          <w:vertAlign w:val="superscript"/>
        </w:rPr>
        <w:t>3</w:t>
      </w:r>
      <w:r w:rsidRPr="006037D5">
        <w:t xml:space="preserve"> conical flash with wide neck.</w:t>
      </w:r>
    </w:p>
    <w:p w:rsidR="00FD1466" w:rsidRPr="006037D5" w:rsidRDefault="00FD1466" w:rsidP="00FD1466">
      <w:pPr>
        <w:pStyle w:val="SingleTxtG"/>
        <w:tabs>
          <w:tab w:val="left" w:pos="2268"/>
        </w:tabs>
        <w:ind w:left="2268" w:hanging="283"/>
      </w:pPr>
      <w:r w:rsidRPr="006037D5">
        <w:t>-</w:t>
      </w:r>
      <w:r w:rsidRPr="006037D5">
        <w:tab/>
        <w:t>50 cm</w:t>
      </w:r>
      <w:r w:rsidRPr="006037D5">
        <w:rPr>
          <w:vertAlign w:val="superscript"/>
        </w:rPr>
        <w:t>3</w:t>
      </w:r>
      <w:r w:rsidRPr="006037D5">
        <w:t xml:space="preserve"> test tube.</w:t>
      </w:r>
    </w:p>
    <w:p w:rsidR="00FD1466" w:rsidRPr="006037D5" w:rsidRDefault="00FD1466" w:rsidP="00FD1466">
      <w:pPr>
        <w:pStyle w:val="SingleTxtG"/>
        <w:tabs>
          <w:tab w:val="left" w:pos="2268"/>
        </w:tabs>
        <w:ind w:left="2268" w:hanging="283"/>
      </w:pPr>
      <w:r w:rsidRPr="006037D5">
        <w:t>-</w:t>
      </w:r>
      <w:r w:rsidRPr="006037D5">
        <w:tab/>
        <w:t>Titration burette 10 ml to 25 ml; or automated potentiometric titration apparatus with pH-electrode and calibrated class A burette</w:t>
      </w:r>
    </w:p>
    <w:p w:rsidR="00FD1466" w:rsidRPr="006037D5" w:rsidRDefault="00FD1466" w:rsidP="00FD1466">
      <w:pPr>
        <w:pStyle w:val="SingleTxtG"/>
        <w:tabs>
          <w:tab w:val="left" w:pos="1985"/>
        </w:tabs>
      </w:pPr>
      <w:r w:rsidRPr="006037D5">
        <w:t>2.2.5</w:t>
      </w:r>
      <w:r w:rsidRPr="006037D5">
        <w:tab/>
        <w:t xml:space="preserve">Sodium hydroxide (NaOH) solution </w:t>
      </w:r>
      <w:r w:rsidRPr="006037D5">
        <w:rPr>
          <w:lang w:val="en-US"/>
        </w:rPr>
        <w:t>0.01 mol/l, specification 0.009998 to 0.01002 mol/l for manual titration with a standard burette, or 0.1 mol/l for the titration with an automated potentiometric titration apparatus with pH-electrode and calibrated class A burette, with factor determined to obtain the exact molarity of the sodium hydroxide solution.</w:t>
      </w:r>
    </w:p>
    <w:p w:rsidR="00FD1466" w:rsidRPr="006037D5" w:rsidRDefault="00FD1466" w:rsidP="00FD1466">
      <w:pPr>
        <w:pStyle w:val="SingleTxtG"/>
      </w:pPr>
      <w:r>
        <w:rPr>
          <w:lang w:val="en-US"/>
        </w:rPr>
        <w:t>2.2.6</w:t>
      </w:r>
      <w:r>
        <w:rPr>
          <w:lang w:val="en-US"/>
        </w:rPr>
        <w:tab/>
      </w:r>
      <w:r w:rsidRPr="006037D5">
        <w:rPr>
          <w:lang w:val="en-US"/>
        </w:rPr>
        <w:t>S</w:t>
      </w:r>
      <w:r w:rsidRPr="006037D5">
        <w:t>uitable pH indicator e.g. methyl orange, methyl red, methyl red/methylene blue or R8 B3 coloured indicating fluid (Tacchiro). Solution composed of 1% alcohol mixed with 8 g of methyl red and 3 g of purple methyl</w:t>
      </w:r>
      <w:r w:rsidRPr="006037D5">
        <w:rPr>
          <w:lang w:val="en-US"/>
        </w:rPr>
        <w:t xml:space="preserve"> (if manual titration is used)</w:t>
      </w:r>
      <w:r w:rsidRPr="006037D5">
        <w:t>.</w:t>
      </w:r>
    </w:p>
    <w:p w:rsidR="00FD1466" w:rsidRPr="006037D5" w:rsidRDefault="00FD1466" w:rsidP="00FD1466">
      <w:pPr>
        <w:pStyle w:val="SingleTxtG"/>
      </w:pPr>
      <w:r w:rsidRPr="006037D5">
        <w:rPr>
          <w:lang w:val="en-US"/>
        </w:rPr>
        <w:t>2.2.7</w:t>
      </w:r>
      <w:r w:rsidRPr="006037D5">
        <w:tab/>
        <w:t>Fully deionized or distilled water with a conductivity &lt; 1 µS</w:t>
      </w:r>
      <w:r>
        <w:rPr>
          <w:lang w:val="en-US"/>
        </w:rPr>
        <w:t>/cm (micro Siemens </w:t>
      </w:r>
      <w:r w:rsidRPr="006037D5">
        <w:rPr>
          <w:lang w:val="en-US"/>
        </w:rPr>
        <w:t>/cm)</w:t>
      </w:r>
      <w:r w:rsidRPr="006037D5">
        <w:t>.</w:t>
      </w:r>
    </w:p>
    <w:p w:rsidR="00FD1466" w:rsidRPr="006037D5" w:rsidRDefault="00FD1466" w:rsidP="00FD1466">
      <w:pPr>
        <w:pStyle w:val="H23G"/>
        <w:tabs>
          <w:tab w:val="left" w:pos="2268"/>
        </w:tabs>
      </w:pPr>
      <w:r w:rsidRPr="006037D5">
        <w:rPr>
          <w:lang w:val="en-US"/>
        </w:rPr>
        <w:tab/>
      </w:r>
      <w:r w:rsidRPr="006037D5">
        <w:rPr>
          <w:lang w:val="en-US"/>
        </w:rPr>
        <w:tab/>
        <w:t>2.3</w:t>
      </w:r>
      <w:r w:rsidRPr="006037D5">
        <w:rPr>
          <w:lang w:val="en-US"/>
        </w:rPr>
        <w:tab/>
      </w:r>
      <w:r w:rsidRPr="006037D5">
        <w:t>Procedure</w:t>
      </w:r>
    </w:p>
    <w:p w:rsidR="00FD1466" w:rsidRPr="006037D5" w:rsidRDefault="00FD1466" w:rsidP="00FD1466">
      <w:pPr>
        <w:pStyle w:val="SingleTxtG"/>
        <w:tabs>
          <w:tab w:val="left" w:pos="2268"/>
        </w:tabs>
      </w:pPr>
      <w:r w:rsidRPr="006037D5">
        <w:t>2.3.1</w:t>
      </w:r>
      <w:r w:rsidRPr="006037D5">
        <w:tab/>
        <w:t xml:space="preserve">Weigh 1 (one) or 2 (two) gram(s) of dry </w:t>
      </w:r>
      <w:r w:rsidR="008E2823">
        <w:t>nitrocellulose</w:t>
      </w:r>
      <w:r w:rsidRPr="006037D5">
        <w:t xml:space="preserve"> to an accuracy of 0.01 g. </w:t>
      </w:r>
      <w:r w:rsidRPr="006037D5">
        <w:rPr>
          <w:i/>
          <w:iCs/>
        </w:rPr>
        <w:t>(Weigh 3 (three) grams of plasticised NC to an accuracy of 0.01 g)</w:t>
      </w:r>
      <w:r w:rsidRPr="006037D5">
        <w:t>. The moisture content of the sample must be below 1 % after the drying process and at the time, when it is introduced in the tube.</w:t>
      </w:r>
      <w:r w:rsidRPr="006037D5">
        <w:rPr>
          <w:lang w:val="en-US"/>
        </w:rPr>
        <w:t xml:space="preserve"> (Drying conditions must be chosen, which avoid a decomposition of the </w:t>
      </w:r>
      <w:r w:rsidR="008E2823">
        <w:rPr>
          <w:lang w:val="en-US"/>
        </w:rPr>
        <w:t>nitrocellulose</w:t>
      </w:r>
      <w:r w:rsidRPr="006037D5">
        <w:rPr>
          <w:lang w:val="en-US"/>
        </w:rPr>
        <w:t>, e.g. 50 °C in a vacuum oven)</w:t>
      </w:r>
      <w:r w:rsidRPr="006037D5">
        <w:t xml:space="preserve"> With the help of a funnel introduce this into the tube which must be dry and clean. Wipe the ground section thoroughly and adjust the condensing chamber making sure that the above is well greased with silicone grease; it may also not be greased</w:t>
      </w:r>
      <w:r w:rsidRPr="006037D5">
        <w:rPr>
          <w:color w:val="0000FF"/>
        </w:rPr>
        <w:t>.</w:t>
      </w:r>
    </w:p>
    <w:p w:rsidR="00FD1466" w:rsidRPr="006037D5" w:rsidRDefault="00FD1466" w:rsidP="00FD1466">
      <w:pPr>
        <w:pStyle w:val="SingleTxtG"/>
        <w:tabs>
          <w:tab w:val="left" w:pos="2268"/>
        </w:tabs>
      </w:pPr>
      <w:r w:rsidRPr="006037D5">
        <w:rPr>
          <w:lang w:val="en-US"/>
        </w:rPr>
        <w:t>2</w:t>
      </w:r>
      <w:r w:rsidRPr="006037D5">
        <w:t>.3.2</w:t>
      </w:r>
      <w:r w:rsidRPr="006037D5">
        <w:tab/>
        <w:t xml:space="preserve">Measure out 15 ml to </w:t>
      </w:r>
      <w:r w:rsidRPr="006037D5">
        <w:rPr>
          <w:bCs/>
        </w:rPr>
        <w:t>50</w:t>
      </w:r>
      <w:r w:rsidRPr="006037D5">
        <w:rPr>
          <w:b/>
        </w:rPr>
        <w:t xml:space="preserve"> </w:t>
      </w:r>
      <w:r w:rsidRPr="006037D5">
        <w:t>ml of distilled water, depending on the condenser type, in a test tube and pour into the bulbs of the condenser. Ensure that no water enters the stability tube.</w:t>
      </w:r>
    </w:p>
    <w:p w:rsidR="00FD1466" w:rsidRPr="006037D5" w:rsidRDefault="00FD1466" w:rsidP="00FD1466">
      <w:pPr>
        <w:pStyle w:val="SingleTxtG"/>
        <w:tabs>
          <w:tab w:val="left" w:pos="2268"/>
        </w:tabs>
      </w:pPr>
      <w:r w:rsidRPr="006037D5">
        <w:rPr>
          <w:lang w:val="en-US"/>
        </w:rPr>
        <w:t>2</w:t>
      </w:r>
      <w:r w:rsidRPr="006037D5">
        <w:t>.3.3</w:t>
      </w:r>
      <w:r w:rsidRPr="006037D5">
        <w:tab/>
        <w:t xml:space="preserve">Make sure that the stability bath has reached a temperature of 132°C </w:t>
      </w:r>
      <w:r w:rsidRPr="006037D5">
        <w:sym w:font="Symbol" w:char="F0B1"/>
      </w:r>
      <w:r w:rsidRPr="006037D5">
        <w:t xml:space="preserve"> </w:t>
      </w:r>
      <w:r w:rsidRPr="006037D5">
        <w:rPr>
          <w:bCs/>
        </w:rPr>
        <w:t>1</w:t>
      </w:r>
      <w:r w:rsidRPr="006037D5">
        <w:t>°C and then insert each tube into one of the apertures in the bath. The depth of immersion of the tube will vary depending</w:t>
      </w:r>
      <w:r w:rsidRPr="006037D5">
        <w:rPr>
          <w:color w:val="1F497D"/>
        </w:rPr>
        <w:t xml:space="preserve"> </w:t>
      </w:r>
      <w:r w:rsidRPr="006037D5">
        <w:t xml:space="preserve">on the type of stability bath used but must be between 110 mm </w:t>
      </w:r>
      <w:r w:rsidRPr="006037D5">
        <w:rPr>
          <w:bCs/>
        </w:rPr>
        <w:t>and 220</w:t>
      </w:r>
      <w:r w:rsidRPr="006037D5">
        <w:t xml:space="preserve"> mm</w:t>
      </w:r>
      <w:r w:rsidRPr="006037D5">
        <w:rPr>
          <w:color w:val="1F497D"/>
        </w:rPr>
        <w:t>.</w:t>
      </w:r>
      <w:r w:rsidRPr="006037D5">
        <w:t xml:space="preserve"> Make a note of the time at which the experiment begins.</w:t>
      </w:r>
    </w:p>
    <w:p w:rsidR="00FD1466" w:rsidRPr="006037D5" w:rsidRDefault="00FD1466" w:rsidP="00FD1466">
      <w:pPr>
        <w:pStyle w:val="SingleTxtG"/>
        <w:tabs>
          <w:tab w:val="left" w:pos="2268"/>
        </w:tabs>
      </w:pPr>
      <w:r w:rsidRPr="006037D5">
        <w:rPr>
          <w:lang w:val="en-US"/>
        </w:rPr>
        <w:lastRenderedPageBreak/>
        <w:t>2.3.4</w:t>
      </w:r>
      <w:r w:rsidRPr="006037D5">
        <w:rPr>
          <w:lang w:val="en-US"/>
        </w:rPr>
        <w:tab/>
      </w:r>
      <w:r w:rsidRPr="006037D5">
        <w:t xml:space="preserve">Maintain the tubes at a temperature of 132 °C </w:t>
      </w:r>
      <w:r w:rsidRPr="006037D5">
        <w:sym w:font="Symbol" w:char="F0B1"/>
      </w:r>
      <w:r w:rsidRPr="006037D5">
        <w:t xml:space="preserve"> </w:t>
      </w:r>
      <w:r w:rsidRPr="006037D5">
        <w:rPr>
          <w:bCs/>
        </w:rPr>
        <w:t>1</w:t>
      </w:r>
      <w:r w:rsidRPr="006037D5">
        <w:t xml:space="preserve"> °C for two hours unless pronounced fuming is observed.  If fuming occurs, the test shall be stopped immediately and the duration of the heating period noted.</w:t>
      </w:r>
    </w:p>
    <w:p w:rsidR="00FD1466" w:rsidRPr="006037D5" w:rsidRDefault="00FD1466" w:rsidP="00FD1466">
      <w:pPr>
        <w:pStyle w:val="SingleTxtG"/>
        <w:tabs>
          <w:tab w:val="left" w:pos="2268"/>
        </w:tabs>
      </w:pPr>
      <w:r w:rsidRPr="006037D5">
        <w:rPr>
          <w:lang w:val="en-US"/>
        </w:rPr>
        <w:t>2.3.5</w:t>
      </w:r>
      <w:r w:rsidRPr="006037D5">
        <w:rPr>
          <w:lang w:val="en-US"/>
        </w:rPr>
        <w:tab/>
      </w:r>
      <w:r w:rsidRPr="006037D5">
        <w:t xml:space="preserve">After two hours at 132°C </w:t>
      </w:r>
      <w:r w:rsidRPr="006037D5">
        <w:rPr>
          <w:bCs/>
          <w:i/>
          <w:iCs/>
        </w:rPr>
        <w:t>(1 hour for plasticised NC)</w:t>
      </w:r>
      <w:r w:rsidRPr="006037D5">
        <w:rPr>
          <w:b/>
          <w:color w:val="0000FF"/>
        </w:rPr>
        <w:t xml:space="preserve"> </w:t>
      </w:r>
      <w:r w:rsidRPr="006037D5">
        <w:t xml:space="preserve">remove the tube from the bath, place it in its stand and allow to cool behind a safety screen. During this time some water may be drawn into the lower tube. After </w:t>
      </w:r>
      <w:r>
        <w:rPr>
          <w:bCs/>
        </w:rPr>
        <w:t>30</w:t>
      </w:r>
      <w:r w:rsidRPr="006037D5">
        <w:t xml:space="preserve"> min cooling transfer the contents of the condensing chamber into the lower tube and rinse the condensing chamber with distilled water. </w:t>
      </w:r>
    </w:p>
    <w:p w:rsidR="00FD1466" w:rsidRPr="006037D5" w:rsidRDefault="00FD1466" w:rsidP="00FD1466">
      <w:pPr>
        <w:pStyle w:val="SingleTxtG"/>
        <w:tabs>
          <w:tab w:val="left" w:pos="2268"/>
        </w:tabs>
      </w:pPr>
      <w:r w:rsidRPr="006037D5">
        <w:rPr>
          <w:lang w:val="en-US"/>
        </w:rPr>
        <w:t>2.3.6</w:t>
      </w:r>
      <w:r w:rsidRPr="006037D5">
        <w:rPr>
          <w:lang w:val="en-US"/>
        </w:rPr>
        <w:tab/>
      </w:r>
      <w:r w:rsidRPr="006037D5">
        <w:t xml:space="preserve">Transfer the contents of the lower tube into the conical flask and rinse with distilled water. The total amount of liquid should not be more than 175 ml. </w:t>
      </w:r>
    </w:p>
    <w:p w:rsidR="00FD1466" w:rsidRPr="006037D5" w:rsidRDefault="00FD1466" w:rsidP="00FD1466">
      <w:pPr>
        <w:pStyle w:val="SingleTxtG"/>
        <w:tabs>
          <w:tab w:val="left" w:pos="2268"/>
        </w:tabs>
        <w:rPr>
          <w:strike/>
        </w:rPr>
      </w:pPr>
      <w:r w:rsidRPr="006037D5">
        <w:rPr>
          <w:lang w:val="en-US"/>
        </w:rPr>
        <w:t>2.3.7</w:t>
      </w:r>
      <w:r w:rsidRPr="006037D5">
        <w:rPr>
          <w:lang w:val="en-US"/>
        </w:rPr>
        <w:tab/>
      </w:r>
      <w:r w:rsidRPr="006037D5">
        <w:t xml:space="preserve">Titrate with </w:t>
      </w:r>
      <w:r>
        <w:t>c</w:t>
      </w:r>
      <w:r w:rsidRPr="006037D5">
        <w:rPr>
          <w:vertAlign w:val="subscript"/>
        </w:rPr>
        <w:t>NaOH</w:t>
      </w:r>
      <w:r w:rsidRPr="006037D5">
        <w:t xml:space="preserve"> </w:t>
      </w:r>
      <w:r w:rsidRPr="006037D5">
        <w:rPr>
          <w:lang w:val="en-US"/>
        </w:rPr>
        <w:t xml:space="preserve">= </w:t>
      </w:r>
      <w:r w:rsidRPr="006037D5">
        <w:t>0.01 mol/l sodium hydroxide solution</w:t>
      </w:r>
      <w:r w:rsidRPr="006037D5">
        <w:rPr>
          <w:lang w:val="en-US"/>
        </w:rPr>
        <w:t xml:space="preserve"> until the color of the indicator changes</w:t>
      </w:r>
      <w:r w:rsidRPr="006037D5">
        <w:t>.</w:t>
      </w:r>
    </w:p>
    <w:p w:rsidR="00FD1466" w:rsidRPr="00F76320" w:rsidRDefault="00FD1466" w:rsidP="00FD1466">
      <w:pPr>
        <w:pStyle w:val="H4G"/>
        <w:tabs>
          <w:tab w:val="left" w:pos="2268"/>
        </w:tabs>
        <w:rPr>
          <w:lang w:val="es-ES"/>
        </w:rPr>
      </w:pPr>
      <w:r w:rsidRPr="006037D5">
        <w:rPr>
          <w:lang w:val="en-US"/>
        </w:rPr>
        <w:tab/>
      </w:r>
      <w:r w:rsidRPr="006037D5">
        <w:rPr>
          <w:lang w:val="en-US"/>
        </w:rPr>
        <w:tab/>
      </w:r>
      <w:r w:rsidRPr="00F76320">
        <w:rPr>
          <w:i w:val="0"/>
          <w:lang w:val="es-ES"/>
        </w:rPr>
        <w:t>2.3.8</w:t>
      </w:r>
      <w:r w:rsidRPr="00F76320">
        <w:rPr>
          <w:lang w:val="es-ES"/>
        </w:rPr>
        <w:tab/>
        <w:t>Calculations</w:t>
      </w:r>
    </w:p>
    <w:p w:rsidR="00FD1466" w:rsidRPr="00F76320" w:rsidRDefault="00FD1466" w:rsidP="00FD1466">
      <w:pPr>
        <w:rPr>
          <w:lang w:val="es-ES"/>
        </w:rPr>
      </w:pPr>
    </w:p>
    <w:p w:rsidR="00FD1466" w:rsidRPr="00F76320" w:rsidRDefault="00FD1466" w:rsidP="00FD1466">
      <w:pPr>
        <w:pStyle w:val="SingleTxtG"/>
        <w:jc w:val="center"/>
        <w:rPr>
          <w:b/>
          <w:lang w:val="es-ES"/>
        </w:rPr>
      </w:pPr>
      <w:r w:rsidRPr="00F76320">
        <w:rPr>
          <w:b/>
          <w:lang w:val="es-ES"/>
        </w:rPr>
        <w:t>2 NaOH + 2 NO + ½ O</w:t>
      </w:r>
      <w:r w:rsidRPr="00F76320">
        <w:rPr>
          <w:b/>
          <w:vertAlign w:val="subscript"/>
          <w:lang w:val="es-ES"/>
        </w:rPr>
        <w:t>2</w:t>
      </w:r>
      <w:r w:rsidRPr="00F76320">
        <w:rPr>
          <w:b/>
          <w:lang w:val="es-ES"/>
        </w:rPr>
        <w:t xml:space="preserve"> </w:t>
      </w:r>
      <w:r w:rsidRPr="006037D5">
        <w:rPr>
          <w:b/>
        </w:rPr>
        <w:sym w:font="Wingdings" w:char="F0E0"/>
      </w:r>
      <w:r w:rsidRPr="00F76320">
        <w:rPr>
          <w:b/>
          <w:lang w:val="es-ES"/>
        </w:rPr>
        <w:t xml:space="preserve"> 2 NaNO</w:t>
      </w:r>
      <w:r w:rsidRPr="00F76320">
        <w:rPr>
          <w:b/>
          <w:vertAlign w:val="subscript"/>
          <w:lang w:val="es-ES"/>
        </w:rPr>
        <w:t>2</w:t>
      </w:r>
      <w:r w:rsidRPr="00F76320">
        <w:rPr>
          <w:b/>
          <w:lang w:val="es-ES"/>
        </w:rPr>
        <w:t xml:space="preserve"> + H</w:t>
      </w:r>
      <w:r w:rsidRPr="00F76320">
        <w:rPr>
          <w:b/>
          <w:vertAlign w:val="subscript"/>
          <w:lang w:val="es-ES"/>
        </w:rPr>
        <w:t>2</w:t>
      </w:r>
      <w:r w:rsidRPr="00F76320">
        <w:rPr>
          <w:b/>
          <w:lang w:val="es-ES"/>
        </w:rPr>
        <w:t>0</w:t>
      </w:r>
    </w:p>
    <w:p w:rsidR="00FD1466" w:rsidRPr="00F76320" w:rsidRDefault="00FD1466" w:rsidP="00FD1466">
      <w:pPr>
        <w:pStyle w:val="SingleTxtG"/>
        <w:jc w:val="center"/>
        <w:rPr>
          <w:b/>
          <w:lang w:val="es-ES"/>
        </w:rPr>
      </w:pPr>
    </w:p>
    <w:p w:rsidR="00FD1466" w:rsidRPr="006037D5" w:rsidRDefault="00120DF3" w:rsidP="00FD1466">
      <w:pPr>
        <w:pStyle w:val="SingleTxtG"/>
        <w:jc w:val="cente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NO</m:t>
              </m:r>
            </m:sub>
          </m:sSub>
          <m:r>
            <w:rPr>
              <w:rFonts w:ascii="Cambria Math" w:hAnsi="Cambria Math"/>
            </w:rPr>
            <m:t>=</m:t>
          </m:r>
          <m:f>
            <m:fPr>
              <m:ctrlPr>
                <w:rPr>
                  <w:rFonts w:ascii="Cambria Math" w:hAnsi="Cambria Math"/>
                  <w:i/>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 xml:space="preserve">NO,m </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NC</m:t>
                  </m:r>
                </m:sub>
              </m:sSub>
            </m:den>
          </m:f>
          <m:r>
            <w:rPr>
              <w:rFonts w:ascii="Cambria Math" w:hAnsi="Cambria Math"/>
            </w:rPr>
            <m:t xml:space="preserve">= </m:t>
          </m:r>
          <m:f>
            <m:fPr>
              <m:ctrlPr>
                <w:rPr>
                  <w:rFonts w:ascii="Cambria Math" w:hAnsi="Cambria Math"/>
                  <w:i/>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×0.224</m:t>
              </m:r>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NC</m:t>
                  </m:r>
                </m:sub>
              </m:sSub>
            </m:den>
          </m:f>
          <m: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×0.224</m:t>
          </m:r>
        </m:oMath>
      </m:oMathPara>
    </w:p>
    <w:p w:rsidR="00FD1466" w:rsidRPr="00991582" w:rsidRDefault="00FD1466" w:rsidP="00FD1466">
      <w:pPr>
        <w:pStyle w:val="SingleTxtG"/>
        <w:jc w:val="left"/>
      </w:pPr>
      <w:r w:rsidRPr="00991582">
        <w:t>where:</w:t>
      </w:r>
    </w:p>
    <w:p w:rsidR="00FD1466" w:rsidRPr="006037D5" w:rsidRDefault="00FD1466" w:rsidP="00FD1466">
      <w:pPr>
        <w:pStyle w:val="SingleTxtG"/>
        <w:rPr>
          <w:lang w:val="en-US"/>
        </w:rPr>
      </w:pPr>
      <w:r w:rsidRPr="006037D5">
        <w:t>V</w:t>
      </w:r>
      <w:r w:rsidRPr="006037D5">
        <w:rPr>
          <w:vertAlign w:val="subscript"/>
        </w:rPr>
        <w:t>NO</w:t>
      </w:r>
      <w:r w:rsidRPr="006037D5">
        <w:t xml:space="preserve"> </w:t>
      </w:r>
      <w:r w:rsidRPr="006037D5">
        <w:tab/>
        <w:t>= volume of the evolved nitrogen oxide in cm</w:t>
      </w:r>
      <w:r w:rsidRPr="006037D5">
        <w:rPr>
          <w:vertAlign w:val="superscript"/>
        </w:rPr>
        <w:t>3</w:t>
      </w:r>
      <w:r w:rsidRPr="006037D5">
        <w:t>/g</w:t>
      </w:r>
      <w:r w:rsidRPr="006037D5">
        <w:rPr>
          <w:lang w:val="en-US"/>
        </w:rPr>
        <w:t xml:space="preserve"> nitrocellulose</w:t>
      </w:r>
    </w:p>
    <w:p w:rsidR="00FD1466" w:rsidRPr="006037D5" w:rsidRDefault="00FD1466" w:rsidP="00FD1466">
      <w:pPr>
        <w:pStyle w:val="SingleTxtG"/>
      </w:pPr>
      <w:r w:rsidRPr="006037D5">
        <w:t>c</w:t>
      </w:r>
      <w:r w:rsidRPr="006037D5">
        <w:rPr>
          <w:vertAlign w:val="subscript"/>
        </w:rPr>
        <w:t>NaOH</w:t>
      </w:r>
      <w:r w:rsidRPr="006037D5">
        <w:t xml:space="preserve"> </w:t>
      </w:r>
      <w:r w:rsidRPr="006037D5">
        <w:tab/>
        <w:t>= concentration of sodium hydroxide solution = 0.01 mol/l</w:t>
      </w:r>
    </w:p>
    <w:p w:rsidR="00FD1466" w:rsidRPr="006037D5" w:rsidRDefault="00FD1466" w:rsidP="00FD1466">
      <w:pPr>
        <w:pStyle w:val="SingleTxtG"/>
      </w:pPr>
      <w:r w:rsidRPr="006037D5">
        <w:t>C</w:t>
      </w:r>
      <w:r w:rsidRPr="006037D5">
        <w:rPr>
          <w:vertAlign w:val="subscript"/>
        </w:rPr>
        <w:t>NaOH</w:t>
      </w:r>
      <w:r w:rsidRPr="006037D5">
        <w:t xml:space="preserve"> </w:t>
      </w:r>
      <w:r w:rsidRPr="006037D5">
        <w:tab/>
        <w:t>= consumption of sodium hydroxide solution in ml.</w:t>
      </w:r>
    </w:p>
    <w:p w:rsidR="00FD1466" w:rsidRPr="006037D5" w:rsidRDefault="00FD1466" w:rsidP="00FD1466">
      <w:pPr>
        <w:pStyle w:val="SingleTxtG"/>
      </w:pPr>
      <w:r w:rsidRPr="006037D5">
        <w:t>V</w:t>
      </w:r>
      <w:r w:rsidRPr="006037D5">
        <w:rPr>
          <w:vertAlign w:val="subscript"/>
        </w:rPr>
        <w:t xml:space="preserve">NO,m </w:t>
      </w:r>
      <w:r w:rsidRPr="006037D5">
        <w:tab/>
        <w:t>= molar volume of NO</w:t>
      </w:r>
      <w:r w:rsidRPr="006037D5">
        <w:rPr>
          <w:lang w:val="en-US"/>
        </w:rPr>
        <w:t xml:space="preserve"> gas</w:t>
      </w:r>
      <w:r w:rsidRPr="006037D5">
        <w:t xml:space="preserve"> = 22.</w:t>
      </w:r>
      <w:r w:rsidRPr="006037D5">
        <w:rPr>
          <w:lang w:val="en-US"/>
        </w:rPr>
        <w:t>4</w:t>
      </w:r>
      <w:r w:rsidRPr="006037D5">
        <w:t xml:space="preserve"> l/mol</w:t>
      </w:r>
    </w:p>
    <w:p w:rsidR="00FD1466" w:rsidRPr="006037D5" w:rsidRDefault="00FD1466" w:rsidP="00FD1466">
      <w:pPr>
        <w:pStyle w:val="SingleTxtG"/>
      </w:pPr>
      <w:r w:rsidRPr="006037D5">
        <w:t>m</w:t>
      </w:r>
      <w:r w:rsidRPr="006037D5">
        <w:rPr>
          <w:vertAlign w:val="subscript"/>
        </w:rPr>
        <w:t>NC</w:t>
      </w:r>
      <w:r w:rsidRPr="006037D5">
        <w:t xml:space="preserve"> </w:t>
      </w:r>
      <w:r w:rsidRPr="006037D5">
        <w:tab/>
        <w:t xml:space="preserve">= mass </w:t>
      </w:r>
      <w:r w:rsidRPr="006037D5">
        <w:rPr>
          <w:lang w:val="en-US"/>
        </w:rPr>
        <w:t xml:space="preserve">of </w:t>
      </w:r>
      <w:r w:rsidRPr="006037D5">
        <w:t>nitrocellulose in g</w:t>
      </w:r>
    </w:p>
    <w:p w:rsidR="00FD1466" w:rsidRPr="006037D5" w:rsidRDefault="00FD1466" w:rsidP="00FD1466">
      <w:pPr>
        <w:pStyle w:val="SingleTxtG"/>
        <w:rPr>
          <w:lang w:val="en-US"/>
        </w:rPr>
      </w:pPr>
      <w:r w:rsidRPr="006037D5">
        <w:rPr>
          <w:lang w:val="en-US"/>
        </w:rPr>
        <w:t xml:space="preserve">If a sodium hydroxide solution with </w:t>
      </w:r>
      <w:r w:rsidRPr="006037D5">
        <w:t>c</w:t>
      </w:r>
      <w:r w:rsidRPr="006037D5">
        <w:rPr>
          <w:vertAlign w:val="subscript"/>
        </w:rPr>
        <w:t>NaOH</w:t>
      </w:r>
      <w:r w:rsidRPr="006037D5">
        <w:t xml:space="preserve"> </w:t>
      </w:r>
      <w:r w:rsidRPr="006037D5">
        <w:tab/>
        <w:t>= concentration of sodium hydroxide solution = 0.1 mol/l</w:t>
      </w:r>
      <w:r w:rsidRPr="006037D5">
        <w:rPr>
          <w:lang w:val="en-US"/>
        </w:rPr>
        <w:t xml:space="preserve"> is used, the formula is:</w:t>
      </w:r>
    </w:p>
    <w:p w:rsidR="00FD1466" w:rsidRPr="006037D5" w:rsidRDefault="00120DF3" w:rsidP="00FD1466">
      <w:pPr>
        <w:pStyle w:val="SingleTxtG"/>
        <w:rPr>
          <w:lang w:val="en-US"/>
        </w:rP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NO</m:t>
              </m:r>
            </m:sub>
          </m:sSub>
          <m: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 xml:space="preserve">NaOH </m:t>
              </m:r>
            </m:sub>
          </m:sSub>
          <m:r>
            <w:rPr>
              <w:rFonts w:ascii="Cambria Math" w:hAnsi="Cambria Math"/>
            </w:rPr>
            <m:t>×2.24</m:t>
          </m:r>
        </m:oMath>
      </m:oMathPara>
    </w:p>
    <w:p w:rsidR="00FD1466" w:rsidRPr="006037D5" w:rsidRDefault="00FD1466" w:rsidP="00FD1466">
      <w:pPr>
        <w:pStyle w:val="SingleTxtG"/>
      </w:pPr>
      <w:r w:rsidRPr="006037D5">
        <w:t xml:space="preserve">The formula is based on the assumption that nitrogen oxide evolves as NO and that NO is an ideal gas; according on the ideal gas law, 1 mol of gas occupies a volume of 22.4 </w:t>
      </w:r>
      <w:r w:rsidRPr="00991582">
        <w:rPr>
          <w:i/>
        </w:rPr>
        <w:t>l</w:t>
      </w:r>
      <w:r w:rsidRPr="006037D5">
        <w:t>.</w:t>
      </w:r>
    </w:p>
    <w:p w:rsidR="00FD1466" w:rsidRPr="006037D5" w:rsidRDefault="00FD1466" w:rsidP="00FD1466">
      <w:pPr>
        <w:pStyle w:val="SingleTxtG"/>
      </w:pPr>
      <w:r w:rsidRPr="006037D5">
        <w:t>The total absence of acidity in the water is verified by a mock test; otherwise the value determined by the mock test is subtracted.</w:t>
      </w:r>
    </w:p>
    <w:p w:rsidR="00FD1466" w:rsidRPr="006037D5" w:rsidRDefault="00FD1466" w:rsidP="00FD1466">
      <w:pPr>
        <w:pStyle w:val="SingleTxtG"/>
      </w:pPr>
      <w:r w:rsidRPr="006037D5">
        <w:t>Also aliquot portions of the water containing the NO gas may be used, resulting in different factors in the formula.</w:t>
      </w:r>
    </w:p>
    <w:p w:rsidR="00FD1466" w:rsidRPr="006037D5" w:rsidRDefault="00FD1466" w:rsidP="00FD1466">
      <w:pPr>
        <w:pStyle w:val="H23G"/>
        <w:tabs>
          <w:tab w:val="left" w:pos="1985"/>
        </w:tabs>
      </w:pPr>
      <w:r w:rsidRPr="006037D5">
        <w:tab/>
      </w:r>
      <w:r w:rsidRPr="006037D5">
        <w:tab/>
        <w:t>2.4</w:t>
      </w:r>
      <w:r w:rsidRPr="006037D5">
        <w:tab/>
        <w:t>Test criteria and method of assessing results</w:t>
      </w:r>
    </w:p>
    <w:p w:rsidR="00FD1466" w:rsidRPr="006037D5" w:rsidRDefault="00FD1466" w:rsidP="00FD1466">
      <w:pPr>
        <w:pStyle w:val="SingleTxtG"/>
        <w:tabs>
          <w:tab w:val="left" w:pos="1985"/>
        </w:tabs>
      </w:pPr>
      <w:r w:rsidRPr="006037D5">
        <w:t>2.4.1</w:t>
      </w:r>
      <w:r w:rsidRPr="006037D5">
        <w:tab/>
      </w:r>
      <w:r w:rsidRPr="004D6A30">
        <w:t>The test result is considered "+" and the substance is classified as unstable if the quantity of NO gas given off is more than 2.5 ml</w:t>
      </w:r>
      <w:r>
        <w:t>/g of NC</w:t>
      </w:r>
      <w:r w:rsidRPr="004D6A30">
        <w:t>. If the quantity of NO gas given off is less than or equal to 2.5 ml</w:t>
      </w:r>
      <w:r>
        <w:t>/g,</w:t>
      </w:r>
      <w:r w:rsidRPr="004D6A30">
        <w:t xml:space="preserve"> of NC the result is "-" and the substance is classified as stable.</w:t>
      </w:r>
    </w:p>
    <w:p w:rsidR="00FD1466" w:rsidRPr="00F7477C" w:rsidRDefault="00FD1466" w:rsidP="00FD1466">
      <w:pPr>
        <w:pStyle w:val="H23G"/>
        <w:tabs>
          <w:tab w:val="left" w:pos="1985"/>
        </w:tabs>
      </w:pPr>
      <w:r>
        <w:lastRenderedPageBreak/>
        <w:tab/>
      </w:r>
      <w:r>
        <w:tab/>
        <w:t>2.5</w:t>
      </w:r>
      <w:r>
        <w:tab/>
      </w:r>
      <w:r w:rsidRPr="00F7477C">
        <w:t>Examples of results</w:t>
      </w:r>
      <w:r w:rsidRPr="00F7477C">
        <w:br/>
      </w:r>
    </w:p>
    <w:tbl>
      <w:tblPr>
        <w:tblW w:w="0" w:type="auto"/>
        <w:jc w:val="center"/>
        <w:tblCellMar>
          <w:left w:w="0" w:type="dxa"/>
          <w:right w:w="0" w:type="dxa"/>
        </w:tblCellMar>
        <w:tblLook w:val="04A0" w:firstRow="1" w:lastRow="0" w:firstColumn="1" w:lastColumn="0" w:noHBand="0" w:noVBand="1"/>
      </w:tblPr>
      <w:tblGrid>
        <w:gridCol w:w="3587"/>
        <w:gridCol w:w="2792"/>
      </w:tblGrid>
      <w:tr w:rsidR="00FD1466" w:rsidRPr="00285368" w:rsidTr="00DF6E60">
        <w:trPr>
          <w:jc w:val="center"/>
        </w:trPr>
        <w:tc>
          <w:tcPr>
            <w:tcW w:w="3587" w:type="dxa"/>
            <w:tcBorders>
              <w:top w:val="single" w:sz="8" w:space="0" w:color="auto"/>
              <w:left w:val="nil"/>
              <w:bottom w:val="single" w:sz="8" w:space="0" w:color="auto"/>
              <w:right w:val="nil"/>
            </w:tcBorders>
            <w:hideMark/>
          </w:tcPr>
          <w:p w:rsidR="00FD1466" w:rsidRPr="00285368" w:rsidRDefault="00FD1466" w:rsidP="00DF6E60">
            <w:pPr>
              <w:pStyle w:val="p1"/>
              <w:spacing w:before="30" w:after="30" w:line="240" w:lineRule="atLeast"/>
              <w:jc w:val="center"/>
              <w:rPr>
                <w:bCs/>
                <w:sz w:val="20"/>
                <w:szCs w:val="20"/>
                <w:lang w:eastAsia="en-GB"/>
              </w:rPr>
            </w:pPr>
            <w:r w:rsidRPr="00285368">
              <w:rPr>
                <w:bCs/>
                <w:sz w:val="20"/>
                <w:szCs w:val="20"/>
                <w:lang w:eastAsia="en-GB"/>
              </w:rPr>
              <w:t xml:space="preserve">Quantity of NO gas/g </w:t>
            </w:r>
            <w:r>
              <w:rPr>
                <w:bCs/>
                <w:sz w:val="20"/>
                <w:szCs w:val="20"/>
                <w:lang w:eastAsia="en-GB"/>
              </w:rPr>
              <w:t>of NC</w:t>
            </w:r>
          </w:p>
        </w:tc>
        <w:tc>
          <w:tcPr>
            <w:tcW w:w="2792" w:type="dxa"/>
            <w:tcBorders>
              <w:top w:val="single" w:sz="8" w:space="0" w:color="auto"/>
              <w:left w:val="nil"/>
              <w:bottom w:val="single" w:sz="8" w:space="0" w:color="auto"/>
              <w:right w:val="nil"/>
            </w:tcBorders>
            <w:hideMark/>
          </w:tcPr>
          <w:p w:rsidR="00FD1466" w:rsidRPr="00285368" w:rsidRDefault="00FD1466" w:rsidP="00DF6E60">
            <w:pPr>
              <w:pStyle w:val="p1"/>
              <w:spacing w:before="30" w:after="30" w:line="240" w:lineRule="atLeast"/>
              <w:jc w:val="center"/>
              <w:rPr>
                <w:bCs/>
                <w:sz w:val="20"/>
                <w:szCs w:val="20"/>
                <w:lang w:eastAsia="en-GB"/>
              </w:rPr>
            </w:pPr>
            <w:r w:rsidRPr="00285368">
              <w:rPr>
                <w:bCs/>
                <w:sz w:val="20"/>
                <w:szCs w:val="20"/>
                <w:lang w:eastAsia="en-GB"/>
              </w:rPr>
              <w:t>Result</w:t>
            </w:r>
          </w:p>
        </w:tc>
      </w:tr>
      <w:tr w:rsidR="00FD1466" w:rsidRPr="00285368" w:rsidTr="00DF6E60">
        <w:trPr>
          <w:jc w:val="center"/>
        </w:trPr>
        <w:tc>
          <w:tcPr>
            <w:tcW w:w="3587" w:type="dxa"/>
            <w:hideMark/>
          </w:tcPr>
          <w:p w:rsidR="00FD1466" w:rsidRPr="00285368" w:rsidRDefault="00FD1466" w:rsidP="00DF6E60">
            <w:pPr>
              <w:pStyle w:val="p1"/>
              <w:spacing w:line="240" w:lineRule="atLeast"/>
              <w:jc w:val="center"/>
              <w:rPr>
                <w:sz w:val="20"/>
                <w:szCs w:val="20"/>
                <w:lang w:eastAsia="en-GB"/>
              </w:rPr>
            </w:pPr>
            <w:r w:rsidRPr="00285368">
              <w:rPr>
                <w:sz w:val="20"/>
                <w:szCs w:val="20"/>
                <w:lang w:eastAsia="en-GB"/>
              </w:rPr>
              <w:t>2.6 ml</w:t>
            </w:r>
          </w:p>
        </w:tc>
        <w:tc>
          <w:tcPr>
            <w:tcW w:w="2792" w:type="dxa"/>
            <w:hideMark/>
          </w:tcPr>
          <w:p w:rsidR="00FD1466" w:rsidRPr="00285368" w:rsidRDefault="00FD1466" w:rsidP="00DF6E60">
            <w:pPr>
              <w:pStyle w:val="p1"/>
              <w:spacing w:line="240" w:lineRule="atLeast"/>
              <w:jc w:val="center"/>
              <w:rPr>
                <w:sz w:val="20"/>
                <w:szCs w:val="20"/>
                <w:lang w:eastAsia="en-GB"/>
              </w:rPr>
            </w:pPr>
            <w:r w:rsidRPr="00285368">
              <w:rPr>
                <w:sz w:val="20"/>
                <w:szCs w:val="20"/>
                <w:lang w:eastAsia="en-GB"/>
              </w:rPr>
              <w:t>+</w:t>
            </w:r>
          </w:p>
        </w:tc>
      </w:tr>
      <w:tr w:rsidR="00FD1466" w:rsidRPr="00285368" w:rsidTr="00DF6E60">
        <w:trPr>
          <w:jc w:val="center"/>
        </w:trPr>
        <w:tc>
          <w:tcPr>
            <w:tcW w:w="3587" w:type="dxa"/>
            <w:tcBorders>
              <w:top w:val="nil"/>
              <w:left w:val="nil"/>
              <w:bottom w:val="single" w:sz="8" w:space="0" w:color="auto"/>
              <w:right w:val="nil"/>
            </w:tcBorders>
            <w:hideMark/>
          </w:tcPr>
          <w:p w:rsidR="00FD1466" w:rsidRPr="00285368" w:rsidRDefault="00FD1466" w:rsidP="00DF6E60">
            <w:pPr>
              <w:pStyle w:val="p1"/>
              <w:spacing w:line="240" w:lineRule="atLeast"/>
              <w:jc w:val="center"/>
              <w:rPr>
                <w:sz w:val="20"/>
                <w:szCs w:val="20"/>
                <w:lang w:eastAsia="en-GB"/>
              </w:rPr>
            </w:pPr>
            <w:r w:rsidRPr="00285368">
              <w:rPr>
                <w:sz w:val="20"/>
                <w:szCs w:val="20"/>
                <w:lang w:eastAsia="en-GB"/>
              </w:rPr>
              <w:t xml:space="preserve">2.5 ml </w:t>
            </w:r>
          </w:p>
        </w:tc>
        <w:tc>
          <w:tcPr>
            <w:tcW w:w="2792" w:type="dxa"/>
            <w:tcBorders>
              <w:top w:val="nil"/>
              <w:left w:val="nil"/>
              <w:bottom w:val="single" w:sz="8" w:space="0" w:color="auto"/>
              <w:right w:val="nil"/>
            </w:tcBorders>
            <w:hideMark/>
          </w:tcPr>
          <w:p w:rsidR="00FD1466" w:rsidRPr="00285368" w:rsidRDefault="00FD1466" w:rsidP="00DF6E60">
            <w:pPr>
              <w:pStyle w:val="p1"/>
              <w:spacing w:line="240" w:lineRule="atLeast"/>
              <w:jc w:val="center"/>
              <w:rPr>
                <w:sz w:val="20"/>
                <w:szCs w:val="20"/>
                <w:lang w:eastAsia="en-GB"/>
              </w:rPr>
            </w:pPr>
            <w:r w:rsidRPr="00285368">
              <w:rPr>
                <w:sz w:val="20"/>
                <w:szCs w:val="20"/>
                <w:lang w:eastAsia="en-GB"/>
              </w:rPr>
              <w:t>–</w:t>
            </w:r>
          </w:p>
        </w:tc>
      </w:tr>
    </w:tbl>
    <w:p w:rsidR="00E03EAC" w:rsidRDefault="00E03EAC" w:rsidP="00FD1466">
      <w:pPr>
        <w:pStyle w:val="SingleTxtG"/>
        <w:rPr>
          <w:b/>
        </w:rPr>
      </w:pPr>
    </w:p>
    <w:p w:rsidR="00FD1466" w:rsidRPr="00F76320" w:rsidRDefault="00FD1466" w:rsidP="00FD1466">
      <w:pPr>
        <w:pStyle w:val="SingleTxtG"/>
        <w:rPr>
          <w:lang w:val="en-US"/>
        </w:rPr>
      </w:pPr>
      <w:r w:rsidRPr="006037D5">
        <w:rPr>
          <w:b/>
        </w:rPr>
        <w:t>Figure A10.1: Condensing chamber for Bergmann Junk test example 1</w:t>
      </w:r>
    </w:p>
    <w:p w:rsidR="00FD1466" w:rsidRPr="006037D5" w:rsidRDefault="00FD1466" w:rsidP="00FD1466">
      <w:pPr>
        <w:pStyle w:val="SingleTxtG"/>
        <w:rPr>
          <w:lang w:val="en-US"/>
        </w:rPr>
      </w:pPr>
      <w:r>
        <w:rPr>
          <w:noProof/>
          <w:lang w:val="en-US"/>
        </w:rPr>
        <w:drawing>
          <wp:inline distT="0" distB="0" distL="0" distR="0" wp14:anchorId="2146DB4D" wp14:editId="3657E64D">
            <wp:extent cx="4297680" cy="55337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man Junk Tube (003)_figure best resolution.jpg"/>
                    <pic:cNvPicPr/>
                  </pic:nvPicPr>
                  <pic:blipFill>
                    <a:blip r:embed="rId27">
                      <a:extLst>
                        <a:ext uri="{28A0092B-C50C-407E-A947-70E740481C1C}">
                          <a14:useLocalDpi xmlns:a14="http://schemas.microsoft.com/office/drawing/2010/main" val="0"/>
                        </a:ext>
                      </a:extLst>
                    </a:blip>
                    <a:stretch>
                      <a:fillRect/>
                    </a:stretch>
                  </pic:blipFill>
                  <pic:spPr>
                    <a:xfrm>
                      <a:off x="0" y="0"/>
                      <a:ext cx="4297680" cy="5533708"/>
                    </a:xfrm>
                    <a:prstGeom prst="rect">
                      <a:avLst/>
                    </a:prstGeom>
                  </pic:spPr>
                </pic:pic>
              </a:graphicData>
            </a:graphic>
          </wp:inline>
        </w:drawing>
      </w:r>
    </w:p>
    <w:p w:rsidR="00FD1466" w:rsidRPr="006037D5" w:rsidRDefault="00FD1466" w:rsidP="00FD1466">
      <w:pPr>
        <w:jc w:val="center"/>
        <w:rPr>
          <w:b/>
        </w:rPr>
      </w:pPr>
    </w:p>
    <w:p w:rsidR="00FD1466" w:rsidRPr="006037D5" w:rsidRDefault="00FD1466" w:rsidP="00FD1466">
      <w:pPr>
        <w:pStyle w:val="SingleTxtG"/>
      </w:pPr>
    </w:p>
    <w:p w:rsidR="00FD1466" w:rsidRPr="006037D5" w:rsidRDefault="00FD1466" w:rsidP="00FD1466">
      <w:pPr>
        <w:jc w:val="center"/>
        <w:rPr>
          <w:b/>
        </w:rPr>
      </w:pPr>
      <w:r w:rsidRPr="006037D5">
        <w:br w:type="page"/>
      </w:r>
      <w:r w:rsidRPr="006037D5">
        <w:rPr>
          <w:b/>
        </w:rPr>
        <w:lastRenderedPageBreak/>
        <w:t>Figure A10.2: Condensing chamber for Bergmann Junk test example 2</w:t>
      </w:r>
    </w:p>
    <w:p w:rsidR="00FD1466" w:rsidRPr="006037D5" w:rsidRDefault="00FD1466" w:rsidP="00FD1466">
      <w:pPr>
        <w:suppressAutoHyphens w:val="0"/>
        <w:spacing w:line="240" w:lineRule="auto"/>
      </w:pPr>
    </w:p>
    <w:p w:rsidR="00FD1466" w:rsidRPr="006037D5" w:rsidRDefault="00FD1466" w:rsidP="00FD1466">
      <w:pPr>
        <w:pStyle w:val="SingleTxtG"/>
      </w:pPr>
      <w:r w:rsidRPr="00991582">
        <w:rPr>
          <w:noProof/>
          <w:lang w:val="en-US"/>
        </w:rPr>
        <w:drawing>
          <wp:inline distT="0" distB="0" distL="0" distR="0" wp14:anchorId="652ADCD4" wp14:editId="3866AE72">
            <wp:extent cx="5286590" cy="777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6590" cy="7772400"/>
                    </a:xfrm>
                    <a:prstGeom prst="rect">
                      <a:avLst/>
                    </a:prstGeom>
                    <a:noFill/>
                    <a:ln>
                      <a:noFill/>
                    </a:ln>
                  </pic:spPr>
                </pic:pic>
              </a:graphicData>
            </a:graphic>
          </wp:inline>
        </w:drawing>
      </w:r>
    </w:p>
    <w:p w:rsidR="00FD1466" w:rsidRPr="00991582" w:rsidRDefault="00FD1466" w:rsidP="00FD1466">
      <w:pPr>
        <w:pStyle w:val="H1G"/>
        <w:tabs>
          <w:tab w:val="left" w:pos="1985"/>
        </w:tabs>
        <w:rPr>
          <w:sz w:val="20"/>
        </w:rPr>
      </w:pPr>
      <w:r w:rsidRPr="00991582">
        <w:rPr>
          <w:sz w:val="20"/>
        </w:rPr>
        <w:lastRenderedPageBreak/>
        <w:tab/>
      </w:r>
      <w:r w:rsidRPr="00991582">
        <w:rPr>
          <w:sz w:val="20"/>
        </w:rPr>
        <w:tab/>
        <w:t>3.</w:t>
      </w:r>
      <w:r w:rsidRPr="00991582">
        <w:rPr>
          <w:sz w:val="20"/>
        </w:rPr>
        <w:tab/>
        <w:t>Methyl violet paper test (</w:t>
      </w:r>
      <w:r w:rsidRPr="00991582">
        <w:rPr>
          <w:sz w:val="20"/>
          <w:lang w:val="en-US"/>
        </w:rPr>
        <w:t>134.5°C heat test)</w:t>
      </w:r>
    </w:p>
    <w:p w:rsidR="00FD1466" w:rsidRPr="006037D5" w:rsidRDefault="00FD1466" w:rsidP="00FD1466">
      <w:pPr>
        <w:pStyle w:val="H23G"/>
        <w:tabs>
          <w:tab w:val="left" w:pos="1134"/>
          <w:tab w:val="left" w:pos="1985"/>
        </w:tabs>
        <w:ind w:left="851" w:hanging="851"/>
      </w:pPr>
      <w:r w:rsidRPr="006037D5">
        <w:tab/>
      </w:r>
      <w:r w:rsidRPr="006037D5">
        <w:tab/>
        <w:t>3.1</w:t>
      </w:r>
      <w:r w:rsidRPr="006037D5">
        <w:tab/>
        <w:t>Introduction</w:t>
      </w:r>
    </w:p>
    <w:p w:rsidR="00FD1466" w:rsidRPr="006037D5" w:rsidRDefault="00FD1466" w:rsidP="00FD1466">
      <w:pPr>
        <w:pStyle w:val="SingleTxtG"/>
        <w:tabs>
          <w:tab w:val="left" w:pos="1985"/>
        </w:tabs>
      </w:pPr>
      <w:r w:rsidRPr="006037D5">
        <w:tab/>
        <w:t>The stability of nitrocellulose is tested by examining the colour change of reagent paper over a period of time.</w:t>
      </w:r>
    </w:p>
    <w:p w:rsidR="00FD1466" w:rsidRPr="006037D5" w:rsidRDefault="00FD1466" w:rsidP="00FD1466">
      <w:pPr>
        <w:pStyle w:val="H23G"/>
        <w:tabs>
          <w:tab w:val="left" w:pos="1985"/>
        </w:tabs>
      </w:pPr>
      <w:r>
        <w:tab/>
      </w:r>
      <w:r>
        <w:tab/>
        <w:t>3.2</w:t>
      </w:r>
      <w:r w:rsidRPr="006037D5">
        <w:tab/>
        <w:t>Apparatus and materials</w:t>
      </w:r>
    </w:p>
    <w:p w:rsidR="00FD1466" w:rsidRPr="00991582" w:rsidRDefault="00FD1466" w:rsidP="00FD1466">
      <w:pPr>
        <w:pStyle w:val="H4G"/>
        <w:tabs>
          <w:tab w:val="left" w:pos="1985"/>
        </w:tabs>
      </w:pPr>
      <w:r w:rsidRPr="006037D5">
        <w:tab/>
      </w:r>
      <w:r w:rsidRPr="006037D5">
        <w:tab/>
      </w:r>
      <w:r w:rsidRPr="006037D5">
        <w:rPr>
          <w:i w:val="0"/>
        </w:rPr>
        <w:t xml:space="preserve">3.2.1 </w:t>
      </w:r>
      <w:r w:rsidRPr="006037D5">
        <w:rPr>
          <w:i w:val="0"/>
        </w:rPr>
        <w:tab/>
      </w:r>
      <w:r w:rsidRPr="006037D5">
        <w:t>Apparatus</w:t>
      </w:r>
    </w:p>
    <w:p w:rsidR="00FD1466" w:rsidRPr="006037D5" w:rsidRDefault="00FD1466" w:rsidP="00FD1466">
      <w:pPr>
        <w:pStyle w:val="SingleTxtG"/>
        <w:tabs>
          <w:tab w:val="left" w:pos="1985"/>
        </w:tabs>
      </w:pPr>
      <w:r w:rsidRPr="006037D5">
        <w:tab/>
        <w:t>The following equipment shall be used in the apparatus for 134.5°C heat test (methyl violet paper test):</w:t>
      </w:r>
      <w:r w:rsidRPr="006037D5">
        <w:rPr>
          <w:rStyle w:val="apple-converted-space"/>
        </w:rPr>
        <w:t> </w:t>
      </w:r>
    </w:p>
    <w:p w:rsidR="00FD1466" w:rsidRPr="006037D5" w:rsidRDefault="00FD1466" w:rsidP="00FD1466">
      <w:pPr>
        <w:pStyle w:val="SingleTxtG"/>
        <w:ind w:left="2552" w:hanging="567"/>
      </w:pPr>
      <w:r w:rsidRPr="006037D5">
        <w:t>(a)</w:t>
      </w:r>
      <w:r w:rsidRPr="006037D5">
        <w:tab/>
        <w:t>Analytical balance, precision 0.01 g or better.</w:t>
      </w:r>
      <w:r w:rsidRPr="006037D5">
        <w:rPr>
          <w:rStyle w:val="apple-converted-space"/>
        </w:rPr>
        <w:t> </w:t>
      </w:r>
    </w:p>
    <w:p w:rsidR="00FD1466" w:rsidRPr="006037D5" w:rsidRDefault="00FD1466" w:rsidP="00FD1466">
      <w:pPr>
        <w:pStyle w:val="SingleTxtG"/>
        <w:ind w:left="2552" w:hanging="567"/>
      </w:pPr>
      <w:r w:rsidRPr="006037D5">
        <w:t>(b)</w:t>
      </w:r>
      <w:r w:rsidRPr="006037D5">
        <w:tab/>
        <w:t>Stability bath: Water-ethylene glycol bath, oil bath, or metal block oven capable of maintaining the temperature of the stability tubes at 134.5 ± 0.5°C. Temperature of bath has to be monitored with a calibrated thermometer or thermocouple (precision 0.1°C) which is located in a test tube filled with inert material (e.g., sand); the test tube is placed in one of the thermowells. The inner diameter of each thermowell in the apparatus shall be 19 </w:t>
      </w:r>
      <w:r w:rsidRPr="006037D5">
        <w:sym w:font="Symbol" w:char="F0B1"/>
      </w:r>
      <w:r w:rsidRPr="006037D5">
        <w:t> 0.5 mm. Depth of immersion of the stability test tubes shall be such that no more than 6 to 7 mm of the tubes project above the bath.</w:t>
      </w:r>
      <w:r w:rsidRPr="006037D5">
        <w:rPr>
          <w:rStyle w:val="apple-converted-space"/>
        </w:rPr>
        <w:t> </w:t>
      </w:r>
    </w:p>
    <w:p w:rsidR="00FD1466" w:rsidRPr="006037D5" w:rsidRDefault="00FD1466" w:rsidP="00FD1466">
      <w:pPr>
        <w:pStyle w:val="SingleTxtG"/>
        <w:ind w:left="2552" w:hanging="567"/>
      </w:pPr>
      <w:r w:rsidRPr="006037D5">
        <w:t>(c)</w:t>
      </w:r>
      <w:r w:rsidRPr="006037D5">
        <w:tab/>
        <w:t>Stability test tubes made of clear glass, approximately 15 mm inner diameter; 18 mm outer diameter; and 290 mm length.</w:t>
      </w:r>
      <w:r w:rsidRPr="006037D5">
        <w:rPr>
          <w:rStyle w:val="apple-converted-space"/>
        </w:rPr>
        <w:t> </w:t>
      </w:r>
    </w:p>
    <w:p w:rsidR="00FD1466" w:rsidRPr="006037D5" w:rsidRDefault="00FD1466" w:rsidP="00FD1466">
      <w:pPr>
        <w:pStyle w:val="SingleTxtG"/>
        <w:ind w:left="2552" w:hanging="567"/>
      </w:pPr>
      <w:r w:rsidRPr="006037D5">
        <w:t>(d)</w:t>
      </w:r>
      <w:r w:rsidRPr="006037D5">
        <w:tab/>
        <w:t>Powder funnel; metal or conductive plastic funnel with a long tube (to prevent electrostatic charging).</w:t>
      </w:r>
      <w:r w:rsidRPr="006037D5">
        <w:rPr>
          <w:rStyle w:val="apple-converted-space"/>
        </w:rPr>
        <w:t> </w:t>
      </w:r>
    </w:p>
    <w:p w:rsidR="00FD1466" w:rsidRPr="006037D5" w:rsidRDefault="00FD1466" w:rsidP="00FD1466">
      <w:pPr>
        <w:pStyle w:val="SingleTxtG"/>
        <w:tabs>
          <w:tab w:val="left" w:pos="1701"/>
        </w:tabs>
        <w:ind w:left="2552" w:hanging="567"/>
      </w:pPr>
      <w:r w:rsidRPr="006037D5">
        <w:t>(e)</w:t>
      </w:r>
      <w:r w:rsidRPr="006037D5">
        <w:tab/>
        <w:t>Corks, each containing one breather hole 4 mm in diameter (or notch of equivalent area).</w:t>
      </w:r>
      <w:r w:rsidRPr="006037D5">
        <w:rPr>
          <w:rStyle w:val="apple-converted-space"/>
        </w:rPr>
        <w:t> </w:t>
      </w:r>
    </w:p>
    <w:p w:rsidR="00FD1466" w:rsidRPr="00991582" w:rsidRDefault="00FD1466" w:rsidP="00FD1466">
      <w:pPr>
        <w:pStyle w:val="H4G"/>
        <w:tabs>
          <w:tab w:val="left" w:pos="1985"/>
        </w:tabs>
      </w:pPr>
      <w:r w:rsidRPr="006037D5">
        <w:tab/>
      </w:r>
      <w:r w:rsidRPr="006037D5">
        <w:tab/>
      </w:r>
      <w:r w:rsidRPr="006037D5">
        <w:rPr>
          <w:i w:val="0"/>
        </w:rPr>
        <w:t>3.2.2</w:t>
      </w:r>
      <w:r w:rsidRPr="006037D5">
        <w:rPr>
          <w:i w:val="0"/>
        </w:rPr>
        <w:tab/>
      </w:r>
      <w:r w:rsidRPr="006037D5">
        <w:t>Materials</w:t>
      </w:r>
    </w:p>
    <w:p w:rsidR="00FD1466" w:rsidRPr="006037D5" w:rsidRDefault="00FD1466" w:rsidP="00FD1466">
      <w:pPr>
        <w:pStyle w:val="SingleTxtG"/>
        <w:tabs>
          <w:tab w:val="left" w:pos="1985"/>
        </w:tabs>
      </w:pPr>
      <w:r w:rsidRPr="006037D5">
        <w:t>3.2.2.1</w:t>
      </w:r>
      <w:r w:rsidRPr="006037D5">
        <w:tab/>
      </w:r>
      <w:r w:rsidRPr="00285368">
        <w:t>A sample of dry nitrocellulose weighing 2.5</w:t>
      </w:r>
      <w:r>
        <w:t>0</w:t>
      </w:r>
      <w:r w:rsidRPr="00285368">
        <w:t xml:space="preserve"> ± 0.01 g. The moisture content of the sample must be below 1% after the drying process and at the time, when it is introduced in the tube. Drying conditions must be chosen, which avoid a decomposition of the </w:t>
      </w:r>
      <w:r w:rsidR="008E2823">
        <w:t>nitrocellulose</w:t>
      </w:r>
      <w:r w:rsidRPr="00285368">
        <w:t>, e.g. 50°C in a vacuum oven.</w:t>
      </w:r>
    </w:p>
    <w:p w:rsidR="00FD1466" w:rsidRPr="006037D5" w:rsidRDefault="00FD1466" w:rsidP="00FD1466">
      <w:pPr>
        <w:pStyle w:val="SingleTxtG"/>
        <w:tabs>
          <w:tab w:val="left" w:pos="1985"/>
        </w:tabs>
      </w:pPr>
      <w:r w:rsidRPr="006037D5">
        <w:rPr>
          <w:lang w:val="en-US"/>
        </w:rPr>
        <w:t>3</w:t>
      </w:r>
      <w:r w:rsidRPr="006037D5">
        <w:t>.2.2.2</w:t>
      </w:r>
      <w:r w:rsidRPr="006037D5">
        <w:tab/>
        <w:t>Standardized reagent methyl violet test papers approximately 70 ± 1.0 mm long and 20 ± 0.6 mm wide (see 6.16) or methyl violet test papers prepared and tested using the following method: </w:t>
      </w:r>
    </w:p>
    <w:p w:rsidR="00FD1466" w:rsidRPr="006037D5" w:rsidRDefault="00FD1466" w:rsidP="00FD1466">
      <w:pPr>
        <w:pStyle w:val="SingleTxtG"/>
        <w:tabs>
          <w:tab w:val="left" w:pos="1985"/>
        </w:tabs>
      </w:pPr>
      <w:r w:rsidRPr="006037D5">
        <w:t xml:space="preserve">3.2.2.2.1 </w:t>
      </w:r>
      <w:r w:rsidRPr="006037D5">
        <w:tab/>
        <w:t xml:space="preserve">Preparation of the indicator solution </w:t>
      </w:r>
    </w:p>
    <w:p w:rsidR="00FD1466" w:rsidRDefault="00FD1466" w:rsidP="00FD1466">
      <w:pPr>
        <w:pStyle w:val="SingleTxtG"/>
        <w:tabs>
          <w:tab w:val="left" w:pos="1985"/>
        </w:tabs>
        <w:ind w:firstLine="851"/>
      </w:pPr>
      <w:r w:rsidRPr="006037D5">
        <w:t>To prepare 100 ml of indicator solution (note: if different amount of solution is required, it can be prepared while maintaining these proportions): 0.250 g of basic rosaniline (equivalent to CAS number 632-99-5) is weighed into a porcelain dish, and about 10 ml of reagent grade acetic acid is added. The dish is heated on a water bath until all excess of acid is removed. In a 100 ml graduate cylinder, 0.168 g of crystal violet (equivalent to CAS number 548-62-9) is dissolved in 30 ml of high purity water and 5.0 g (4 ml) of reagent grade glycerine is added. The content of the porcelain dish is added to the cylinder using ethanol (minimum 95% v/v) and adjusted to produce 100 ml of solution. The solution is mixed thoroughly. </w:t>
      </w:r>
    </w:p>
    <w:p w:rsidR="00FD1466" w:rsidRPr="006037D5" w:rsidRDefault="00FD1466" w:rsidP="00FD1466">
      <w:pPr>
        <w:pStyle w:val="SingleTxtG"/>
        <w:tabs>
          <w:tab w:val="left" w:pos="1985"/>
        </w:tabs>
        <w:ind w:firstLine="851"/>
      </w:pPr>
    </w:p>
    <w:p w:rsidR="00FD1466" w:rsidRPr="006037D5" w:rsidRDefault="00FD1466" w:rsidP="00FD1466">
      <w:pPr>
        <w:pStyle w:val="SingleTxtG"/>
        <w:tabs>
          <w:tab w:val="left" w:pos="1985"/>
        </w:tabs>
      </w:pPr>
      <w:r w:rsidRPr="006037D5">
        <w:lastRenderedPageBreak/>
        <w:t xml:space="preserve">3.2.2.2.2 </w:t>
      </w:r>
      <w:r w:rsidRPr="006037D5">
        <w:tab/>
        <w:t>Preparation of the methyl violet paper</w:t>
      </w:r>
    </w:p>
    <w:p w:rsidR="00FD1466" w:rsidRPr="006037D5" w:rsidRDefault="00FD1466" w:rsidP="00FD1466">
      <w:pPr>
        <w:pStyle w:val="SingleTxtG"/>
        <w:tabs>
          <w:tab w:val="left" w:pos="1985"/>
        </w:tabs>
      </w:pPr>
      <w:r w:rsidRPr="006037D5">
        <w:tab/>
        <w:t xml:space="preserve">Sheets of paper are prepared by cutting filter papers (equivalent to Whatman 597, typically 580 mm </w:t>
      </w:r>
      <w:r w:rsidRPr="006037D5">
        <w:sym w:font="Symbol" w:char="F0B4"/>
      </w:r>
      <w:r w:rsidRPr="006037D5">
        <w:t xml:space="preserve"> 580 mm with approximately 8.5 mg/cm</w:t>
      </w:r>
      <w:r w:rsidRPr="00991582">
        <w:rPr>
          <w:vertAlign w:val="superscript"/>
        </w:rPr>
        <w:t>2</w:t>
      </w:r>
      <w:r w:rsidRPr="006037D5">
        <w:t xml:space="preserve">) into square parts that will fit into a low edge dish large enough to fit the cut sheet (typically cut in 4 square parts about 290 mm </w:t>
      </w:r>
      <w:r w:rsidRPr="006037D5">
        <w:sym w:font="Symbol" w:char="F0B4"/>
      </w:r>
      <w:r w:rsidRPr="006037D5">
        <w:t xml:space="preserve"> 290 mm). In a fume-hood, the methyl violet solution is poured into the low edge dish. Separately, each cut sheet of paper is dipped completely into the solution for about 30 seconds. The strip is removed from the solution and the wet sheet of paper rotated vertically until the solution stops dripping (excess alcohol will evaporate in about 1 minute). The strip is hung up overnight to dry in a room free from deleterious fumes. When dry, the strips are cut in the size of 70 ± 1.0 mm long and 20 ± 0.6 mm wide. Once certified, they are kept in tightly closed amber glass bottles or opaque plastic bottles with a maximum of 200 papers per bottle. The bottle shall be kept closed, stored at room temperature, and out of direct light at all times except to briefly extract indicator papers. </w:t>
      </w:r>
    </w:p>
    <w:p w:rsidR="00FD1466" w:rsidRPr="006037D5" w:rsidRDefault="00FD1466" w:rsidP="00FD1466">
      <w:pPr>
        <w:pStyle w:val="SingleTxtG"/>
        <w:tabs>
          <w:tab w:val="left" w:pos="1985"/>
        </w:tabs>
      </w:pPr>
      <w:r w:rsidRPr="006037D5">
        <w:t xml:space="preserve">3.2.2.2.3 </w:t>
      </w:r>
      <w:r w:rsidRPr="006037D5">
        <w:tab/>
        <w:t xml:space="preserve">Certification of the methyl violet paper </w:t>
      </w:r>
    </w:p>
    <w:p w:rsidR="00FD1466" w:rsidRPr="006037D5" w:rsidRDefault="00166353" w:rsidP="00FD1466">
      <w:pPr>
        <w:pStyle w:val="SingleTxtG"/>
        <w:tabs>
          <w:tab w:val="left" w:pos="1985"/>
        </w:tabs>
      </w:pPr>
      <w:r>
        <w:t xml:space="preserve">3.2.2.2.3.1 </w:t>
      </w:r>
      <w:r>
        <w:tab/>
      </w:r>
      <w:r w:rsidR="00FD1466" w:rsidRPr="006037D5">
        <w:t xml:space="preserve">A minimum of one paper from each 200 max bottle is tested for the content in water and shall be 7.5 to 15% water content by oven drying. If required, the paper may be rehydrated by keeping the paper in a controlled humidity chamber controlled at 60 to 80% relative humidity until the correct water content is obtained. </w:t>
      </w:r>
    </w:p>
    <w:p w:rsidR="00FD1466" w:rsidRPr="006037D5" w:rsidRDefault="00166353" w:rsidP="00FD1466">
      <w:pPr>
        <w:pStyle w:val="SingleTxtG"/>
        <w:tabs>
          <w:tab w:val="left" w:pos="1985"/>
        </w:tabs>
      </w:pPr>
      <w:r>
        <w:t xml:space="preserve">3.2.2.2.3.2 </w:t>
      </w:r>
      <w:r w:rsidR="00FD1466" w:rsidRPr="006037D5">
        <w:tab/>
        <w:t xml:space="preserve">To confirm that the reactivity of the methyl violet paper is acceptable, a minimum of 1 paper from each 200 max bottle shall be tested using nitrogen dioxide gas of known concentration in air between 1500 and 2500 ppm (v/v). The gas may be obtained already diluted and certified or obtained by dilution using pure nitrogen dioxide. The gas concentration shall be known with an accuracy of ± 2.5%. </w:t>
      </w:r>
    </w:p>
    <w:p w:rsidR="00FD1466" w:rsidRPr="006037D5" w:rsidRDefault="00166353" w:rsidP="00FD1466">
      <w:pPr>
        <w:pStyle w:val="SingleTxtG"/>
        <w:tabs>
          <w:tab w:val="left" w:pos="1985"/>
        </w:tabs>
      </w:pPr>
      <w:r>
        <w:t xml:space="preserve">3.2.2.2.3.3 </w:t>
      </w:r>
      <w:r w:rsidR="00FD1466" w:rsidRPr="006037D5">
        <w:tab/>
        <w:t xml:space="preserve">Based on the concentration of the nitrogen dioxide gas, the required flowrate for an end-point centered at 55 min is given by: </w:t>
      </w:r>
    </w:p>
    <w:p w:rsidR="00FD1466" w:rsidRPr="006037D5" w:rsidRDefault="00FD1466" w:rsidP="00166353">
      <w:pPr>
        <w:pStyle w:val="SingleTxtG"/>
        <w:tabs>
          <w:tab w:val="left" w:pos="1985"/>
        </w:tabs>
      </w:pPr>
      <w:r w:rsidRPr="006037D5">
        <w:t>Flowrate (ml/min) = 83636 / Gas concentration in ppm (v/v) of nitrogen dioxide gas.</w:t>
      </w:r>
    </w:p>
    <w:p w:rsidR="00FD1466" w:rsidRPr="006037D5" w:rsidRDefault="00166353" w:rsidP="00FD1466">
      <w:pPr>
        <w:pStyle w:val="SingleTxtG"/>
        <w:tabs>
          <w:tab w:val="left" w:pos="1985"/>
        </w:tabs>
      </w:pPr>
      <w:r>
        <w:t xml:space="preserve">3.2.2.2.3.4 </w:t>
      </w:r>
      <w:r w:rsidR="00FD1466" w:rsidRPr="006037D5">
        <w:tab/>
        <w:t xml:space="preserve">The flowrate shall be maintained within ± 1.5 ml/min of the calculated value during the certification of the paper. The paper is tested using the standard gas and a cylindrical flow cell of about 30 ml containing one paper (the flow cell diameter is similar to the methyl violet paper width). The end-point is obtained when the paper is completely salmon pink after 55 ± 7 min. </w:t>
      </w:r>
    </w:p>
    <w:p w:rsidR="00FD1466" w:rsidRPr="006037D5" w:rsidRDefault="00166353" w:rsidP="00FD1466">
      <w:pPr>
        <w:pStyle w:val="SingleTxtG"/>
        <w:tabs>
          <w:tab w:val="left" w:pos="1985"/>
        </w:tabs>
      </w:pPr>
      <w:r>
        <w:t xml:space="preserve">3.2.2.2.3.5 </w:t>
      </w:r>
      <w:r w:rsidR="00FD1466" w:rsidRPr="006037D5">
        <w:tab/>
        <w:t>Only the batches that meet those 2 criteria (water content and reaction time) will be considered certified methyl violet paper. The paper shall be stored at room temperature and in the shade. The maximum shelf-life of the indicator papers in a sealed bottle is 5 years. Once the bottle is open, the shelf-life of the bottle's contents is reduced to 1 year. After 1 year, the water content of the paper shall be verified and adjusted, if necessary. The bottle containing the verified indicator papers shall be given another 1 year of shelf-life. Under no circumstances shall the indicator paper shelf-life be extended beyond 5 years after manufacture. </w:t>
      </w:r>
    </w:p>
    <w:p w:rsidR="00FD1466" w:rsidRPr="006037D5" w:rsidRDefault="00FD1466" w:rsidP="00FD1466">
      <w:pPr>
        <w:pStyle w:val="H23G"/>
        <w:tabs>
          <w:tab w:val="left" w:pos="1985"/>
        </w:tabs>
      </w:pPr>
      <w:r w:rsidRPr="006037D5">
        <w:tab/>
      </w:r>
      <w:r w:rsidRPr="006037D5">
        <w:tab/>
        <w:t>3.3</w:t>
      </w:r>
      <w:r w:rsidRPr="006037D5">
        <w:tab/>
        <w:t>Procedure</w:t>
      </w:r>
    </w:p>
    <w:p w:rsidR="00FD1466" w:rsidRPr="00991582" w:rsidRDefault="00FD1466" w:rsidP="00FD1466">
      <w:pPr>
        <w:pStyle w:val="SingleTxtG"/>
        <w:tabs>
          <w:tab w:val="left" w:pos="1985"/>
        </w:tabs>
        <w:rPr>
          <w:rStyle w:val="apple-converted-space"/>
        </w:rPr>
      </w:pPr>
      <w:r w:rsidRPr="006037D5">
        <w:t>3.3.1</w:t>
      </w:r>
      <w:r w:rsidRPr="006037D5">
        <w:tab/>
        <w:t>Sample and interior of test tubes shall not be touched by bare hands. The test is to be performed in duplicate; with further repetition of test if the two results of the duplicate measurement differ by more than 5 min.</w:t>
      </w:r>
      <w:r w:rsidRPr="006037D5">
        <w:rPr>
          <w:rStyle w:val="apple-converted-space"/>
        </w:rPr>
        <w:t> </w:t>
      </w:r>
    </w:p>
    <w:p w:rsidR="00FD1466" w:rsidRPr="006037D5" w:rsidRDefault="00FD1466" w:rsidP="00FD1466">
      <w:pPr>
        <w:pStyle w:val="SingleTxtG"/>
        <w:tabs>
          <w:tab w:val="left" w:pos="1985"/>
        </w:tabs>
        <w:rPr>
          <w:rStyle w:val="apple-converted-space"/>
        </w:rPr>
      </w:pPr>
      <w:r w:rsidRPr="006037D5">
        <w:t>3.3.2</w:t>
      </w:r>
      <w:r w:rsidRPr="006037D5">
        <w:tab/>
        <w:t xml:space="preserve">Two portions of 2.5 ± 0.01 g each of dry nitrocellulose sample are transferred into the stability test tubes, preferably by a powder funnel. Each tube is tapped gently in order to settle the material, and any material adhering to the sides of the tubes is brushed down. If the nitrocellulose occupies a greater length than 5 cm, it has to be compressed to that length by </w:t>
      </w:r>
      <w:r w:rsidRPr="006037D5">
        <w:lastRenderedPageBreak/>
        <w:t>means of a flat headed rod. Into each tube a piece of the test paper is placed vertically so that the lower end of the paper is 25 mm above the specimen. Then a cork is placed in each tube. The two tubes are placed in the bath and maintained at a temperature of 134.5 ± 0.5°C.</w:t>
      </w:r>
      <w:r w:rsidRPr="006037D5">
        <w:rPr>
          <w:rStyle w:val="apple-converted-space"/>
        </w:rPr>
        <w:t> </w:t>
      </w:r>
    </w:p>
    <w:p w:rsidR="00FD1466" w:rsidRPr="006037D5" w:rsidRDefault="00FD1466" w:rsidP="00FD1466">
      <w:pPr>
        <w:pStyle w:val="H23G"/>
        <w:tabs>
          <w:tab w:val="left" w:pos="1985"/>
        </w:tabs>
      </w:pPr>
      <w:r w:rsidRPr="006037D5">
        <w:tab/>
      </w:r>
      <w:r w:rsidRPr="006037D5">
        <w:tab/>
        <w:t>3.4</w:t>
      </w:r>
      <w:r w:rsidRPr="006037D5">
        <w:tab/>
        <w:t>Test criteria and method of assessing results</w:t>
      </w:r>
    </w:p>
    <w:p w:rsidR="00FD1466" w:rsidRPr="006037D5" w:rsidRDefault="00FD1466" w:rsidP="00FD1466">
      <w:pPr>
        <w:pStyle w:val="SingleTxtG"/>
        <w:tabs>
          <w:tab w:val="left" w:pos="1985"/>
        </w:tabs>
      </w:pPr>
      <w:r w:rsidRPr="006037D5">
        <w:t>3.4.1</w:t>
      </w:r>
      <w:r w:rsidRPr="006037D5">
        <w:tab/>
        <w:t>In order to determine the test time, the test papers are examined after the first 20 min in the bath, and thereafter at 5 min intervals. For each examination of test papers, the tubes are lifted half way out of the bath to monitor test paper colour change, and</w:t>
      </w:r>
      <w:r w:rsidRPr="006037D5">
        <w:rPr>
          <w:rStyle w:val="apple-converted-space"/>
        </w:rPr>
        <w:t> </w:t>
      </w:r>
      <w:r w:rsidRPr="006037D5">
        <w:t xml:space="preserve">quickly replaced. </w:t>
      </w:r>
    </w:p>
    <w:p w:rsidR="00FD1466" w:rsidRPr="006037D5" w:rsidRDefault="00FD1466" w:rsidP="00FD1466">
      <w:pPr>
        <w:pStyle w:val="SingleTxtG"/>
        <w:tabs>
          <w:tab w:val="left" w:pos="1985"/>
        </w:tabs>
      </w:pPr>
      <w:r w:rsidRPr="006037D5">
        <w:t>3.4.2</w:t>
      </w:r>
      <w:r w:rsidRPr="006037D5">
        <w:tab/>
        <w:t xml:space="preserve">When the test paper in any tube has changed colour completely to salmon pink, the test is considered complete. </w:t>
      </w:r>
    </w:p>
    <w:p w:rsidR="00FD1466" w:rsidRPr="006037D5" w:rsidRDefault="00FD1466" w:rsidP="00FD1466">
      <w:pPr>
        <w:pStyle w:val="SingleTxtG"/>
        <w:tabs>
          <w:tab w:val="left" w:pos="1985"/>
        </w:tabs>
        <w:rPr>
          <w:rStyle w:val="apple-converted-space"/>
        </w:rPr>
      </w:pPr>
      <w:r w:rsidRPr="006037D5">
        <w:t>3.4.3</w:t>
      </w:r>
      <w:r w:rsidRPr="006037D5">
        <w:tab/>
        <w:t>The test time is then recorded (for example, if the violet paper is not completely changed in 25 min, but is completely changed in 30 min, the time of the test is recorded as 30 min). The test is discontinued when the salmon pink end point is attained in any of the papers.</w:t>
      </w:r>
      <w:r w:rsidRPr="006037D5">
        <w:rPr>
          <w:rStyle w:val="apple-converted-space"/>
        </w:rPr>
        <w:t> </w:t>
      </w:r>
    </w:p>
    <w:p w:rsidR="00FD1466" w:rsidRPr="006037D5" w:rsidRDefault="00FD1466" w:rsidP="00FD1466">
      <w:pPr>
        <w:pStyle w:val="SingleTxtG"/>
        <w:tabs>
          <w:tab w:val="left" w:pos="1985"/>
        </w:tabs>
      </w:pPr>
      <w:r w:rsidRPr="006037D5">
        <w:t xml:space="preserve">3.4.4 </w:t>
      </w:r>
      <w:r w:rsidRPr="006037D5">
        <w:tab/>
        <w:t>The test result is considered "+" and the substance is classified as unstable if the test paper completely changes colour in less than 30 min.  If the colour change exceeds 30 min the result is "-" and the substance is classified as stable.</w:t>
      </w:r>
    </w:p>
    <w:p w:rsidR="00FD1466" w:rsidRPr="006037D5" w:rsidRDefault="00FD1466" w:rsidP="00FD1466">
      <w:pPr>
        <w:pStyle w:val="H23G"/>
      </w:pPr>
      <w:r w:rsidRPr="006037D5">
        <w:tab/>
      </w:r>
      <w:r w:rsidRPr="006037D5">
        <w:tab/>
        <w:t xml:space="preserve">3.5 </w:t>
      </w:r>
      <w:r w:rsidRPr="006037D5">
        <w:tab/>
        <w:t>Examples of results</w:t>
      </w:r>
    </w:p>
    <w:tbl>
      <w:tblPr>
        <w:tblStyle w:val="TableGrid"/>
        <w:tblW w:w="0" w:type="auto"/>
        <w:jc w:val="center"/>
        <w:tblLook w:val="04A0" w:firstRow="1" w:lastRow="0" w:firstColumn="1" w:lastColumn="0" w:noHBand="0" w:noVBand="1"/>
      </w:tblPr>
      <w:tblGrid>
        <w:gridCol w:w="3587"/>
        <w:gridCol w:w="2792"/>
      </w:tblGrid>
      <w:tr w:rsidR="00FD1466" w:rsidRPr="006037D5" w:rsidTr="00DF6E60">
        <w:trPr>
          <w:jc w:val="center"/>
        </w:trPr>
        <w:tc>
          <w:tcPr>
            <w:tcW w:w="3587" w:type="dxa"/>
            <w:tcBorders>
              <w:top w:val="single" w:sz="4" w:space="0" w:color="auto"/>
              <w:left w:val="nil"/>
              <w:bottom w:val="single" w:sz="4" w:space="0" w:color="auto"/>
              <w:right w:val="nil"/>
            </w:tcBorders>
          </w:tcPr>
          <w:p w:rsidR="00FD1466" w:rsidRPr="00991582" w:rsidRDefault="00FD1466" w:rsidP="00DF6E60">
            <w:pPr>
              <w:pStyle w:val="p1"/>
              <w:spacing w:before="30" w:after="30"/>
              <w:jc w:val="center"/>
              <w:rPr>
                <w:b/>
                <w:sz w:val="20"/>
                <w:szCs w:val="20"/>
              </w:rPr>
            </w:pPr>
            <w:r w:rsidRPr="00991582">
              <w:rPr>
                <w:b/>
                <w:sz w:val="20"/>
                <w:szCs w:val="20"/>
              </w:rPr>
              <w:t>Time</w:t>
            </w:r>
          </w:p>
        </w:tc>
        <w:tc>
          <w:tcPr>
            <w:tcW w:w="2792" w:type="dxa"/>
            <w:tcBorders>
              <w:top w:val="single" w:sz="4" w:space="0" w:color="auto"/>
              <w:left w:val="nil"/>
              <w:bottom w:val="single" w:sz="4" w:space="0" w:color="auto"/>
              <w:right w:val="nil"/>
            </w:tcBorders>
          </w:tcPr>
          <w:p w:rsidR="00FD1466" w:rsidRPr="00991582" w:rsidRDefault="00FD1466" w:rsidP="00DF6E60">
            <w:pPr>
              <w:pStyle w:val="p1"/>
              <w:spacing w:before="30" w:after="30"/>
              <w:jc w:val="center"/>
              <w:rPr>
                <w:b/>
                <w:sz w:val="20"/>
                <w:szCs w:val="20"/>
              </w:rPr>
            </w:pPr>
            <w:r w:rsidRPr="00991582">
              <w:rPr>
                <w:b/>
                <w:sz w:val="20"/>
                <w:szCs w:val="20"/>
              </w:rPr>
              <w:t>Result</w:t>
            </w:r>
          </w:p>
        </w:tc>
      </w:tr>
      <w:tr w:rsidR="00FD1466" w:rsidRPr="006037D5" w:rsidTr="00DF6E60">
        <w:trPr>
          <w:jc w:val="center"/>
        </w:trPr>
        <w:tc>
          <w:tcPr>
            <w:tcW w:w="3587" w:type="dxa"/>
            <w:tcBorders>
              <w:top w:val="single" w:sz="4" w:space="0" w:color="auto"/>
              <w:left w:val="nil"/>
              <w:bottom w:val="nil"/>
              <w:right w:val="nil"/>
            </w:tcBorders>
          </w:tcPr>
          <w:p w:rsidR="00FD1466" w:rsidRPr="006037D5" w:rsidRDefault="00FD1466" w:rsidP="00DF6E60">
            <w:pPr>
              <w:pStyle w:val="p1"/>
              <w:jc w:val="center"/>
              <w:rPr>
                <w:sz w:val="20"/>
                <w:szCs w:val="20"/>
              </w:rPr>
            </w:pPr>
            <w:r w:rsidRPr="006037D5">
              <w:rPr>
                <w:sz w:val="20"/>
                <w:szCs w:val="20"/>
              </w:rPr>
              <w:t>25 min</w:t>
            </w:r>
          </w:p>
        </w:tc>
        <w:tc>
          <w:tcPr>
            <w:tcW w:w="2792" w:type="dxa"/>
            <w:tcBorders>
              <w:top w:val="single" w:sz="4" w:space="0" w:color="auto"/>
              <w:left w:val="nil"/>
              <w:bottom w:val="nil"/>
              <w:right w:val="nil"/>
            </w:tcBorders>
          </w:tcPr>
          <w:p w:rsidR="00FD1466" w:rsidRPr="006037D5" w:rsidRDefault="00FD1466" w:rsidP="00DF6E60">
            <w:pPr>
              <w:pStyle w:val="p1"/>
              <w:jc w:val="center"/>
              <w:rPr>
                <w:sz w:val="20"/>
                <w:szCs w:val="20"/>
              </w:rPr>
            </w:pPr>
            <w:r w:rsidRPr="006037D5">
              <w:rPr>
                <w:sz w:val="20"/>
                <w:szCs w:val="20"/>
              </w:rPr>
              <w:t>+</w:t>
            </w:r>
          </w:p>
        </w:tc>
      </w:tr>
      <w:tr w:rsidR="00FD1466" w:rsidRPr="006037D5" w:rsidTr="00DF6E60">
        <w:trPr>
          <w:jc w:val="center"/>
        </w:trPr>
        <w:tc>
          <w:tcPr>
            <w:tcW w:w="3587" w:type="dxa"/>
            <w:tcBorders>
              <w:top w:val="nil"/>
              <w:left w:val="nil"/>
              <w:bottom w:val="single" w:sz="4" w:space="0" w:color="auto"/>
              <w:right w:val="nil"/>
            </w:tcBorders>
          </w:tcPr>
          <w:p w:rsidR="00FD1466" w:rsidRPr="006037D5" w:rsidRDefault="00FD1466" w:rsidP="00DF6E60">
            <w:pPr>
              <w:pStyle w:val="p1"/>
              <w:jc w:val="center"/>
              <w:rPr>
                <w:sz w:val="20"/>
                <w:szCs w:val="20"/>
              </w:rPr>
            </w:pPr>
            <w:r w:rsidRPr="006037D5">
              <w:rPr>
                <w:sz w:val="20"/>
                <w:szCs w:val="20"/>
              </w:rPr>
              <w:t>35 min</w:t>
            </w:r>
          </w:p>
        </w:tc>
        <w:tc>
          <w:tcPr>
            <w:tcW w:w="2792" w:type="dxa"/>
            <w:tcBorders>
              <w:top w:val="nil"/>
              <w:left w:val="nil"/>
              <w:bottom w:val="single" w:sz="4" w:space="0" w:color="auto"/>
              <w:right w:val="nil"/>
            </w:tcBorders>
          </w:tcPr>
          <w:p w:rsidR="00FD1466" w:rsidRPr="006037D5" w:rsidRDefault="00FD1466" w:rsidP="00DF6E60">
            <w:pPr>
              <w:pStyle w:val="p1"/>
              <w:jc w:val="center"/>
              <w:rPr>
                <w:sz w:val="20"/>
                <w:szCs w:val="20"/>
              </w:rPr>
            </w:pPr>
            <w:r w:rsidRPr="006037D5">
              <w:rPr>
                <w:sz w:val="20"/>
                <w:szCs w:val="20"/>
              </w:rPr>
              <w:t>–</w:t>
            </w:r>
          </w:p>
        </w:tc>
      </w:tr>
    </w:tbl>
    <w:p w:rsidR="00FD1466" w:rsidRDefault="00FD1466" w:rsidP="00FD1466">
      <w:pPr>
        <w:rPr>
          <w:u w:val="single"/>
        </w:rPr>
      </w:pPr>
    </w:p>
    <w:p w:rsidR="00DA001F" w:rsidRDefault="00DA001F" w:rsidP="00DA001F">
      <w:pPr>
        <w:pStyle w:val="SingleTxtG"/>
        <w:spacing w:after="0"/>
        <w:rPr>
          <w:i/>
          <w:iCs/>
          <w:lang w:val="en-US"/>
        </w:rPr>
      </w:pP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t>”</w:t>
      </w:r>
    </w:p>
    <w:p w:rsidR="00DD17FA" w:rsidRPr="00166353" w:rsidRDefault="00FD1466" w:rsidP="00166353">
      <w:pPr>
        <w:pStyle w:val="SingleTxtG"/>
        <w:rPr>
          <w:i/>
          <w:iCs/>
          <w:lang w:val="en-US"/>
        </w:rPr>
      </w:pPr>
      <w:r w:rsidRPr="009A1E17">
        <w:rPr>
          <w:i/>
          <w:iCs/>
          <w:lang w:val="en-US"/>
        </w:rPr>
        <w:t xml:space="preserve">(Reference document: </w:t>
      </w:r>
      <w:r w:rsidR="009068A0" w:rsidRPr="00020245">
        <w:rPr>
          <w:i/>
          <w:iCs/>
        </w:rPr>
        <w:t>ST/SG/AC.10/C.3/</w:t>
      </w:r>
      <w:r w:rsidR="009068A0">
        <w:rPr>
          <w:i/>
          <w:iCs/>
        </w:rPr>
        <w:t>106/Add.1</w:t>
      </w:r>
      <w:r w:rsidRPr="009A1E17">
        <w:rPr>
          <w:i/>
          <w:iCs/>
          <w:lang w:val="en-US"/>
        </w:rPr>
        <w:t>)</w:t>
      </w:r>
    </w:p>
    <w:p w:rsidR="00161211" w:rsidRPr="00161211" w:rsidRDefault="00161211" w:rsidP="00161211">
      <w:pPr>
        <w:pStyle w:val="SingleTxtG"/>
        <w:spacing w:before="240" w:after="0"/>
        <w:jc w:val="center"/>
        <w:rPr>
          <w:iCs/>
          <w:u w:val="single"/>
        </w:rPr>
      </w:pPr>
      <w:r>
        <w:rPr>
          <w:iCs/>
          <w:u w:val="single"/>
        </w:rPr>
        <w:tab/>
      </w:r>
      <w:r>
        <w:rPr>
          <w:iCs/>
          <w:u w:val="single"/>
        </w:rPr>
        <w:tab/>
      </w:r>
      <w:r>
        <w:rPr>
          <w:iCs/>
          <w:u w:val="single"/>
        </w:rPr>
        <w:tab/>
      </w:r>
    </w:p>
    <w:sectPr w:rsidR="00161211" w:rsidRPr="00161211" w:rsidSect="00115E2C">
      <w:headerReference w:type="even" r:id="rId29"/>
      <w:headerReference w:type="default" r:id="rId30"/>
      <w:footerReference w:type="even" r:id="rId31"/>
      <w:footerReference w:type="default" r:id="rId32"/>
      <w:headerReference w:type="first" r:id="rId3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D5" w:rsidRDefault="007B5DD5"/>
  </w:endnote>
  <w:endnote w:type="continuationSeparator" w:id="0">
    <w:p w:rsidR="007B5DD5" w:rsidRDefault="007B5DD5"/>
  </w:endnote>
  <w:endnote w:type="continuationNotice" w:id="1">
    <w:p w:rsidR="007B5DD5" w:rsidRDefault="007B5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DD5" w:rsidRPr="00724CC6" w:rsidRDefault="007B5DD5" w:rsidP="00724CC6">
    <w:pPr>
      <w:pStyle w:val="Footer"/>
      <w:tabs>
        <w:tab w:val="right" w:pos="9638"/>
      </w:tabs>
      <w:rPr>
        <w:sz w:val="18"/>
      </w:rPr>
    </w:pPr>
    <w:r w:rsidRPr="00724CC6">
      <w:rPr>
        <w:b/>
        <w:sz w:val="18"/>
      </w:rPr>
      <w:fldChar w:fldCharType="begin"/>
    </w:r>
    <w:r w:rsidRPr="00724CC6">
      <w:rPr>
        <w:b/>
        <w:sz w:val="18"/>
      </w:rPr>
      <w:instrText xml:space="preserve"> PAGE  \* MERGEFORMAT </w:instrText>
    </w:r>
    <w:r w:rsidRPr="00724CC6">
      <w:rPr>
        <w:b/>
        <w:sz w:val="18"/>
      </w:rPr>
      <w:fldChar w:fldCharType="separate"/>
    </w:r>
    <w:r w:rsidRPr="00724CC6">
      <w:rPr>
        <w:b/>
        <w:noProof/>
        <w:sz w:val="18"/>
      </w:rPr>
      <w:t>2</w:t>
    </w:r>
    <w:r w:rsidRPr="00724C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DD5" w:rsidRPr="00724CC6" w:rsidRDefault="007B5DD5" w:rsidP="00724CC6">
    <w:pPr>
      <w:pStyle w:val="Footer"/>
      <w:tabs>
        <w:tab w:val="right" w:pos="9638"/>
      </w:tabs>
      <w:rPr>
        <w:b/>
        <w:sz w:val="18"/>
      </w:rPr>
    </w:pPr>
    <w:r>
      <w:tab/>
    </w:r>
    <w:r w:rsidRPr="00724CC6">
      <w:rPr>
        <w:b/>
        <w:sz w:val="18"/>
      </w:rPr>
      <w:fldChar w:fldCharType="begin"/>
    </w:r>
    <w:r w:rsidRPr="00724CC6">
      <w:rPr>
        <w:b/>
        <w:sz w:val="18"/>
      </w:rPr>
      <w:instrText xml:space="preserve"> PAGE  \* MERGEFORMAT </w:instrText>
    </w:r>
    <w:r w:rsidRPr="00724CC6">
      <w:rPr>
        <w:b/>
        <w:sz w:val="18"/>
      </w:rPr>
      <w:fldChar w:fldCharType="separate"/>
    </w:r>
    <w:r w:rsidRPr="00724CC6">
      <w:rPr>
        <w:b/>
        <w:noProof/>
        <w:sz w:val="18"/>
      </w:rPr>
      <w:t>3</w:t>
    </w:r>
    <w:r w:rsidRPr="00724CC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D5" w:rsidRPr="000B175B" w:rsidRDefault="007B5DD5" w:rsidP="000B175B">
      <w:pPr>
        <w:tabs>
          <w:tab w:val="right" w:pos="2155"/>
        </w:tabs>
        <w:spacing w:after="80"/>
        <w:ind w:left="680"/>
        <w:rPr>
          <w:u w:val="single"/>
        </w:rPr>
      </w:pPr>
      <w:r>
        <w:rPr>
          <w:u w:val="single"/>
        </w:rPr>
        <w:tab/>
      </w:r>
    </w:p>
  </w:footnote>
  <w:footnote w:type="continuationSeparator" w:id="0">
    <w:p w:rsidR="007B5DD5" w:rsidRPr="00FC68B7" w:rsidRDefault="007B5DD5" w:rsidP="00FC68B7">
      <w:pPr>
        <w:tabs>
          <w:tab w:val="left" w:pos="2155"/>
        </w:tabs>
        <w:spacing w:after="80"/>
        <w:ind w:left="680"/>
        <w:rPr>
          <w:u w:val="single"/>
        </w:rPr>
      </w:pPr>
      <w:r>
        <w:rPr>
          <w:u w:val="single"/>
        </w:rPr>
        <w:tab/>
      </w:r>
    </w:p>
  </w:footnote>
  <w:footnote w:type="continuationNotice" w:id="1">
    <w:p w:rsidR="007B5DD5" w:rsidRDefault="007B5DD5"/>
  </w:footnote>
  <w:footnote w:id="2">
    <w:p w:rsidR="00E26FF8" w:rsidRPr="00E26FF8" w:rsidRDefault="00E26FF8">
      <w:pPr>
        <w:pStyle w:val="FootnoteText"/>
        <w:rPr>
          <w:lang w:val="fr-CH"/>
        </w:rPr>
      </w:pPr>
      <w:r>
        <w:tab/>
      </w:r>
      <w:r>
        <w:tab/>
      </w:r>
      <w:r>
        <w:rPr>
          <w:rStyle w:val="FootnoteReference"/>
        </w:rPr>
        <w:t>*</w:t>
      </w:r>
      <w:r>
        <w:t xml:space="preserve"> </w:t>
      </w:r>
      <w:r w:rsidRPr="00DB63BF">
        <w:t xml:space="preserve">In accordance with the programme of work of the </w:t>
      </w:r>
      <w:r w:rsidRPr="00E26FF8">
        <w:rPr>
          <w:rStyle w:val="FootnoteReference"/>
        </w:rPr>
        <w:t>Sub</w:t>
      </w:r>
      <w:r w:rsidRPr="00DB63BF">
        <w:t>-Committee for 201</w:t>
      </w:r>
      <w:r>
        <w:t>7</w:t>
      </w:r>
      <w:r w:rsidRPr="00DB63BF">
        <w:t>–201</w:t>
      </w:r>
      <w:r>
        <w:t>8</w:t>
      </w:r>
      <w:r w:rsidRPr="00DB63BF">
        <w:t xml:space="preserve"> approved by the Committee at its seventh session (see ST/SG/AC.10/C.3/</w:t>
      </w:r>
      <w:r>
        <w:t>100</w:t>
      </w:r>
      <w:r w:rsidRPr="00DB63BF">
        <w:t>, paragraph 9</w:t>
      </w:r>
      <w:r>
        <w:t>8</w:t>
      </w:r>
      <w:r w:rsidRPr="00DB63BF">
        <w:t xml:space="preserve"> and ST/SG/AC.10/4</w:t>
      </w:r>
      <w:r>
        <w:t>4</w:t>
      </w:r>
      <w:r w:rsidRPr="00DB63BF">
        <w:t>, para. 1</w:t>
      </w:r>
      <w:r>
        <w:t>4</w:t>
      </w:r>
      <w:r w:rsidRPr="00DB63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DD5" w:rsidRPr="00724CC6" w:rsidRDefault="007B5DD5">
    <w:pPr>
      <w:pStyle w:val="Header"/>
    </w:pPr>
    <w:r>
      <w:t>ST/SG/AC.10/C.3/2018/65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DD5" w:rsidRPr="00724CC6" w:rsidRDefault="007B5DD5" w:rsidP="00724CC6">
    <w:pPr>
      <w:pStyle w:val="Header"/>
      <w:jc w:val="right"/>
    </w:pPr>
    <w:r>
      <w:t>ST/SG/AC.10/C.3/2018/65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DD5" w:rsidRDefault="007B5DD5" w:rsidP="00E26FF8">
    <w:pPr>
      <w:pStyle w:val="Header"/>
      <w:tabs>
        <w:tab w:val="left" w:pos="865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BFC1291"/>
    <w:multiLevelType w:val="hybridMultilevel"/>
    <w:tmpl w:val="8E1E99E6"/>
    <w:lvl w:ilvl="0" w:tplc="8BF47ED8">
      <w:start w:val="1"/>
      <w:numFmt w:val="lowerLetter"/>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20"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21"/>
  </w:num>
  <w:num w:numId="15">
    <w:abstractNumId w:val="22"/>
  </w:num>
  <w:num w:numId="16">
    <w:abstractNumId w:val="19"/>
  </w:num>
  <w:num w:numId="17">
    <w:abstractNumId w:val="23"/>
  </w:num>
  <w:num w:numId="18">
    <w:abstractNumId w:val="20"/>
  </w:num>
  <w:num w:numId="19">
    <w:abstractNumId w:val="11"/>
  </w:num>
  <w:num w:numId="20">
    <w:abstractNumId w:val="15"/>
  </w:num>
  <w:num w:numId="21">
    <w:abstractNumId w:val="16"/>
  </w:num>
  <w:num w:numId="22">
    <w:abstractNumId w:val="13"/>
  </w:num>
  <w:num w:numId="23">
    <w:abstractNumId w:val="10"/>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C6"/>
    <w:rsid w:val="00015EAC"/>
    <w:rsid w:val="00020245"/>
    <w:rsid w:val="00024E90"/>
    <w:rsid w:val="00032726"/>
    <w:rsid w:val="000358A2"/>
    <w:rsid w:val="00050F6B"/>
    <w:rsid w:val="00064D87"/>
    <w:rsid w:val="00072C8C"/>
    <w:rsid w:val="00073ABB"/>
    <w:rsid w:val="000768BA"/>
    <w:rsid w:val="00085E35"/>
    <w:rsid w:val="00091419"/>
    <w:rsid w:val="00091ABA"/>
    <w:rsid w:val="000931C0"/>
    <w:rsid w:val="000B175B"/>
    <w:rsid w:val="000B3A0F"/>
    <w:rsid w:val="000B4DF2"/>
    <w:rsid w:val="000D5193"/>
    <w:rsid w:val="000D7A3B"/>
    <w:rsid w:val="000E0415"/>
    <w:rsid w:val="000E1BD9"/>
    <w:rsid w:val="000E3494"/>
    <w:rsid w:val="000F77A6"/>
    <w:rsid w:val="00112DC7"/>
    <w:rsid w:val="00115E2C"/>
    <w:rsid w:val="00117787"/>
    <w:rsid w:val="00120DF3"/>
    <w:rsid w:val="0012381E"/>
    <w:rsid w:val="001301C0"/>
    <w:rsid w:val="00131D42"/>
    <w:rsid w:val="001334AD"/>
    <w:rsid w:val="00161211"/>
    <w:rsid w:val="001633FB"/>
    <w:rsid w:val="0016567C"/>
    <w:rsid w:val="001656D3"/>
    <w:rsid w:val="00166353"/>
    <w:rsid w:val="00172231"/>
    <w:rsid w:val="00193203"/>
    <w:rsid w:val="001A27DC"/>
    <w:rsid w:val="001A4274"/>
    <w:rsid w:val="001A6F4E"/>
    <w:rsid w:val="001B4B04"/>
    <w:rsid w:val="001C6663"/>
    <w:rsid w:val="001C7895"/>
    <w:rsid w:val="001D26DF"/>
    <w:rsid w:val="001D2FDC"/>
    <w:rsid w:val="001E0234"/>
    <w:rsid w:val="001E25F4"/>
    <w:rsid w:val="001F6883"/>
    <w:rsid w:val="00203722"/>
    <w:rsid w:val="00205AC4"/>
    <w:rsid w:val="00211E0B"/>
    <w:rsid w:val="0021282C"/>
    <w:rsid w:val="00215FC6"/>
    <w:rsid w:val="00216E16"/>
    <w:rsid w:val="0022022D"/>
    <w:rsid w:val="002309A7"/>
    <w:rsid w:val="00231D92"/>
    <w:rsid w:val="00237785"/>
    <w:rsid w:val="00241466"/>
    <w:rsid w:val="002516DD"/>
    <w:rsid w:val="002555DB"/>
    <w:rsid w:val="002725CA"/>
    <w:rsid w:val="00280EB7"/>
    <w:rsid w:val="002A12F8"/>
    <w:rsid w:val="002A575D"/>
    <w:rsid w:val="002A6C9B"/>
    <w:rsid w:val="002B1CDA"/>
    <w:rsid w:val="002B64E8"/>
    <w:rsid w:val="002C55EE"/>
    <w:rsid w:val="002D255C"/>
    <w:rsid w:val="002D5C92"/>
    <w:rsid w:val="002E53CD"/>
    <w:rsid w:val="003107FA"/>
    <w:rsid w:val="003229D8"/>
    <w:rsid w:val="00335E3C"/>
    <w:rsid w:val="003370F1"/>
    <w:rsid w:val="0034199F"/>
    <w:rsid w:val="00362663"/>
    <w:rsid w:val="0037639C"/>
    <w:rsid w:val="0039277A"/>
    <w:rsid w:val="003972E0"/>
    <w:rsid w:val="00397BE1"/>
    <w:rsid w:val="003C0306"/>
    <w:rsid w:val="003C10B9"/>
    <w:rsid w:val="003C266F"/>
    <w:rsid w:val="003C2CC4"/>
    <w:rsid w:val="003C54C7"/>
    <w:rsid w:val="003C7661"/>
    <w:rsid w:val="003C7F5D"/>
    <w:rsid w:val="003D4B23"/>
    <w:rsid w:val="003E0C1D"/>
    <w:rsid w:val="003E1F3D"/>
    <w:rsid w:val="003E7DBC"/>
    <w:rsid w:val="00403E0C"/>
    <w:rsid w:val="0040705D"/>
    <w:rsid w:val="00412D01"/>
    <w:rsid w:val="00412F73"/>
    <w:rsid w:val="004325CB"/>
    <w:rsid w:val="00437F3F"/>
    <w:rsid w:val="00446DE4"/>
    <w:rsid w:val="00450213"/>
    <w:rsid w:val="00451C8E"/>
    <w:rsid w:val="00454036"/>
    <w:rsid w:val="004631AC"/>
    <w:rsid w:val="004660D9"/>
    <w:rsid w:val="00474F32"/>
    <w:rsid w:val="004803E9"/>
    <w:rsid w:val="004A2399"/>
    <w:rsid w:val="004B2C9D"/>
    <w:rsid w:val="004B4807"/>
    <w:rsid w:val="004C0DFE"/>
    <w:rsid w:val="004E331F"/>
    <w:rsid w:val="004E428F"/>
    <w:rsid w:val="004F1C3F"/>
    <w:rsid w:val="0051406B"/>
    <w:rsid w:val="00515C26"/>
    <w:rsid w:val="00517A3F"/>
    <w:rsid w:val="00522AF8"/>
    <w:rsid w:val="00527910"/>
    <w:rsid w:val="00534508"/>
    <w:rsid w:val="00535AFD"/>
    <w:rsid w:val="0054034B"/>
    <w:rsid w:val="005420F2"/>
    <w:rsid w:val="005466A0"/>
    <w:rsid w:val="0054752D"/>
    <w:rsid w:val="0055533E"/>
    <w:rsid w:val="00556791"/>
    <w:rsid w:val="00560543"/>
    <w:rsid w:val="005655B1"/>
    <w:rsid w:val="005861D5"/>
    <w:rsid w:val="00590144"/>
    <w:rsid w:val="005911B2"/>
    <w:rsid w:val="005A36A6"/>
    <w:rsid w:val="005B3DB3"/>
    <w:rsid w:val="005B6F18"/>
    <w:rsid w:val="005D01E7"/>
    <w:rsid w:val="005D1B4C"/>
    <w:rsid w:val="005E0022"/>
    <w:rsid w:val="00611FC4"/>
    <w:rsid w:val="00616904"/>
    <w:rsid w:val="006176FB"/>
    <w:rsid w:val="0063419C"/>
    <w:rsid w:val="00640B26"/>
    <w:rsid w:val="006500BA"/>
    <w:rsid w:val="006610DA"/>
    <w:rsid w:val="006A594A"/>
    <w:rsid w:val="006A7392"/>
    <w:rsid w:val="006A7EA5"/>
    <w:rsid w:val="006C0D34"/>
    <w:rsid w:val="006C7E11"/>
    <w:rsid w:val="006E564B"/>
    <w:rsid w:val="006E6530"/>
    <w:rsid w:val="006F07EB"/>
    <w:rsid w:val="006F6BD6"/>
    <w:rsid w:val="00700112"/>
    <w:rsid w:val="007100D5"/>
    <w:rsid w:val="00724CC6"/>
    <w:rsid w:val="0072632A"/>
    <w:rsid w:val="0073029F"/>
    <w:rsid w:val="007512BD"/>
    <w:rsid w:val="00753C8C"/>
    <w:rsid w:val="00756E04"/>
    <w:rsid w:val="0077634B"/>
    <w:rsid w:val="007764BB"/>
    <w:rsid w:val="00781002"/>
    <w:rsid w:val="00790791"/>
    <w:rsid w:val="007A3C45"/>
    <w:rsid w:val="007A4978"/>
    <w:rsid w:val="007B24C4"/>
    <w:rsid w:val="007B3641"/>
    <w:rsid w:val="007B5DD5"/>
    <w:rsid w:val="007B6374"/>
    <w:rsid w:val="007B6BA5"/>
    <w:rsid w:val="007C3390"/>
    <w:rsid w:val="007C4F4B"/>
    <w:rsid w:val="007D348A"/>
    <w:rsid w:val="007D5E2D"/>
    <w:rsid w:val="007E6A03"/>
    <w:rsid w:val="007F4731"/>
    <w:rsid w:val="007F62CB"/>
    <w:rsid w:val="007F6611"/>
    <w:rsid w:val="008043EC"/>
    <w:rsid w:val="00814CE2"/>
    <w:rsid w:val="008175E9"/>
    <w:rsid w:val="008242D7"/>
    <w:rsid w:val="00832913"/>
    <w:rsid w:val="00835E04"/>
    <w:rsid w:val="00841626"/>
    <w:rsid w:val="00846BC9"/>
    <w:rsid w:val="00847938"/>
    <w:rsid w:val="008705A6"/>
    <w:rsid w:val="00871FD5"/>
    <w:rsid w:val="00873334"/>
    <w:rsid w:val="00874C04"/>
    <w:rsid w:val="0089110F"/>
    <w:rsid w:val="008979B1"/>
    <w:rsid w:val="008A581F"/>
    <w:rsid w:val="008A6B25"/>
    <w:rsid w:val="008A6C4F"/>
    <w:rsid w:val="008B7066"/>
    <w:rsid w:val="008B78EE"/>
    <w:rsid w:val="008E0E46"/>
    <w:rsid w:val="008E2823"/>
    <w:rsid w:val="008E542A"/>
    <w:rsid w:val="009005B8"/>
    <w:rsid w:val="00900C30"/>
    <w:rsid w:val="00902DEE"/>
    <w:rsid w:val="009068A0"/>
    <w:rsid w:val="009239FE"/>
    <w:rsid w:val="00945717"/>
    <w:rsid w:val="00945A5D"/>
    <w:rsid w:val="00945D78"/>
    <w:rsid w:val="0094601A"/>
    <w:rsid w:val="00946D2D"/>
    <w:rsid w:val="00950C40"/>
    <w:rsid w:val="00954092"/>
    <w:rsid w:val="00963CBA"/>
    <w:rsid w:val="009763D5"/>
    <w:rsid w:val="00982952"/>
    <w:rsid w:val="009841F0"/>
    <w:rsid w:val="00985363"/>
    <w:rsid w:val="00987F74"/>
    <w:rsid w:val="0099124E"/>
    <w:rsid w:val="00991261"/>
    <w:rsid w:val="0099190A"/>
    <w:rsid w:val="00994B6E"/>
    <w:rsid w:val="009B3B0D"/>
    <w:rsid w:val="009B5004"/>
    <w:rsid w:val="009B79E8"/>
    <w:rsid w:val="009C10AD"/>
    <w:rsid w:val="009C3671"/>
    <w:rsid w:val="009E2557"/>
    <w:rsid w:val="009F0F06"/>
    <w:rsid w:val="009F4A8B"/>
    <w:rsid w:val="00A000B7"/>
    <w:rsid w:val="00A02EF8"/>
    <w:rsid w:val="00A033D9"/>
    <w:rsid w:val="00A139B3"/>
    <w:rsid w:val="00A1427D"/>
    <w:rsid w:val="00A204C8"/>
    <w:rsid w:val="00A314F3"/>
    <w:rsid w:val="00A413DC"/>
    <w:rsid w:val="00A4448D"/>
    <w:rsid w:val="00A64CB8"/>
    <w:rsid w:val="00A71BCF"/>
    <w:rsid w:val="00A72F22"/>
    <w:rsid w:val="00A748A6"/>
    <w:rsid w:val="00A75EC9"/>
    <w:rsid w:val="00A76335"/>
    <w:rsid w:val="00A867E2"/>
    <w:rsid w:val="00A879A4"/>
    <w:rsid w:val="00A917A6"/>
    <w:rsid w:val="00AA217C"/>
    <w:rsid w:val="00AA3A82"/>
    <w:rsid w:val="00AB4901"/>
    <w:rsid w:val="00AC0C09"/>
    <w:rsid w:val="00AD331A"/>
    <w:rsid w:val="00AD4A11"/>
    <w:rsid w:val="00AD599F"/>
    <w:rsid w:val="00AF3F0A"/>
    <w:rsid w:val="00AF7A4B"/>
    <w:rsid w:val="00B03947"/>
    <w:rsid w:val="00B04B7B"/>
    <w:rsid w:val="00B21123"/>
    <w:rsid w:val="00B23C54"/>
    <w:rsid w:val="00B30043"/>
    <w:rsid w:val="00B30179"/>
    <w:rsid w:val="00B3317B"/>
    <w:rsid w:val="00B331BB"/>
    <w:rsid w:val="00B41534"/>
    <w:rsid w:val="00B41577"/>
    <w:rsid w:val="00B45918"/>
    <w:rsid w:val="00B562D6"/>
    <w:rsid w:val="00B63457"/>
    <w:rsid w:val="00B72F0F"/>
    <w:rsid w:val="00B75D1E"/>
    <w:rsid w:val="00B81E12"/>
    <w:rsid w:val="00B87B3F"/>
    <w:rsid w:val="00B93068"/>
    <w:rsid w:val="00BA4A1A"/>
    <w:rsid w:val="00BB0DD1"/>
    <w:rsid w:val="00BC064E"/>
    <w:rsid w:val="00BC207D"/>
    <w:rsid w:val="00BC74E9"/>
    <w:rsid w:val="00BC7A94"/>
    <w:rsid w:val="00BD6F08"/>
    <w:rsid w:val="00BE618E"/>
    <w:rsid w:val="00BF450B"/>
    <w:rsid w:val="00C07282"/>
    <w:rsid w:val="00C20F67"/>
    <w:rsid w:val="00C217FE"/>
    <w:rsid w:val="00C3339B"/>
    <w:rsid w:val="00C35350"/>
    <w:rsid w:val="00C4365D"/>
    <w:rsid w:val="00C44C13"/>
    <w:rsid w:val="00C44E8B"/>
    <w:rsid w:val="00C463DD"/>
    <w:rsid w:val="00C60AEB"/>
    <w:rsid w:val="00C62F76"/>
    <w:rsid w:val="00C745C3"/>
    <w:rsid w:val="00C923E2"/>
    <w:rsid w:val="00CD3225"/>
    <w:rsid w:val="00CE4A8F"/>
    <w:rsid w:val="00CE5EDB"/>
    <w:rsid w:val="00CE7930"/>
    <w:rsid w:val="00D024D6"/>
    <w:rsid w:val="00D11F8F"/>
    <w:rsid w:val="00D13BBF"/>
    <w:rsid w:val="00D2031B"/>
    <w:rsid w:val="00D23764"/>
    <w:rsid w:val="00D25FE2"/>
    <w:rsid w:val="00D32156"/>
    <w:rsid w:val="00D37129"/>
    <w:rsid w:val="00D43252"/>
    <w:rsid w:val="00D5729B"/>
    <w:rsid w:val="00D621F0"/>
    <w:rsid w:val="00D753D8"/>
    <w:rsid w:val="00D82131"/>
    <w:rsid w:val="00D9042E"/>
    <w:rsid w:val="00D96CC5"/>
    <w:rsid w:val="00D978C6"/>
    <w:rsid w:val="00DA001F"/>
    <w:rsid w:val="00DA47FD"/>
    <w:rsid w:val="00DA67AD"/>
    <w:rsid w:val="00DA7554"/>
    <w:rsid w:val="00DB72C8"/>
    <w:rsid w:val="00DC75AB"/>
    <w:rsid w:val="00DD17FA"/>
    <w:rsid w:val="00DE0726"/>
    <w:rsid w:val="00DF6E60"/>
    <w:rsid w:val="00DF763D"/>
    <w:rsid w:val="00E03EAC"/>
    <w:rsid w:val="00E0473D"/>
    <w:rsid w:val="00E130AB"/>
    <w:rsid w:val="00E20018"/>
    <w:rsid w:val="00E26FF8"/>
    <w:rsid w:val="00E4386C"/>
    <w:rsid w:val="00E5530E"/>
    <w:rsid w:val="00E5644E"/>
    <w:rsid w:val="00E62922"/>
    <w:rsid w:val="00E7260F"/>
    <w:rsid w:val="00E8190E"/>
    <w:rsid w:val="00E8523B"/>
    <w:rsid w:val="00E85289"/>
    <w:rsid w:val="00E8535A"/>
    <w:rsid w:val="00E96630"/>
    <w:rsid w:val="00EA772F"/>
    <w:rsid w:val="00EB4351"/>
    <w:rsid w:val="00EB4961"/>
    <w:rsid w:val="00EB5083"/>
    <w:rsid w:val="00EB6832"/>
    <w:rsid w:val="00EB7D73"/>
    <w:rsid w:val="00EC4002"/>
    <w:rsid w:val="00EC4F90"/>
    <w:rsid w:val="00ED1E5E"/>
    <w:rsid w:val="00ED7A2A"/>
    <w:rsid w:val="00EE0584"/>
    <w:rsid w:val="00EE7C13"/>
    <w:rsid w:val="00EF1D7F"/>
    <w:rsid w:val="00EF2068"/>
    <w:rsid w:val="00F23977"/>
    <w:rsid w:val="00F40E75"/>
    <w:rsid w:val="00F54674"/>
    <w:rsid w:val="00F827E8"/>
    <w:rsid w:val="00F97CD2"/>
    <w:rsid w:val="00FA54AA"/>
    <w:rsid w:val="00FC0C52"/>
    <w:rsid w:val="00FC68B7"/>
    <w:rsid w:val="00FC6E94"/>
    <w:rsid w:val="00FD03C8"/>
    <w:rsid w:val="00FD1466"/>
    <w:rsid w:val="00FD3323"/>
    <w:rsid w:val="00FD6B2B"/>
    <w:rsid w:val="00FF03BB"/>
    <w:rsid w:val="00FF20B3"/>
    <w:rsid w:val="00FF2FA9"/>
    <w:rsid w:val="00FF7D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55B401E-A37A-4F70-9E6D-4532CA0C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uiPriority w:val="99"/>
    <w:rsid w:val="0054034B"/>
    <w:rPr>
      <w:sz w:val="18"/>
      <w:lang w:eastAsia="en-US"/>
    </w:rPr>
  </w:style>
  <w:style w:type="character" w:customStyle="1" w:styleId="H1GChar">
    <w:name w:val="_ H_1_G Char"/>
    <w:link w:val="H1G"/>
    <w:rsid w:val="0054034B"/>
    <w:rPr>
      <w:b/>
      <w:sz w:val="24"/>
      <w:lang w:eastAsia="en-US"/>
    </w:rPr>
  </w:style>
  <w:style w:type="character" w:customStyle="1" w:styleId="HChGChar">
    <w:name w:val="_ H _Ch_G Char"/>
    <w:link w:val="HChG"/>
    <w:locked/>
    <w:rsid w:val="0054034B"/>
    <w:rPr>
      <w:b/>
      <w:sz w:val="28"/>
      <w:lang w:eastAsia="en-US"/>
    </w:rPr>
  </w:style>
  <w:style w:type="character" w:customStyle="1" w:styleId="SingleTxtGZchnZchn">
    <w:name w:val="_ Single Txt_G Zchn Zchn"/>
    <w:link w:val="SingleTxtG"/>
    <w:rsid w:val="0054034B"/>
    <w:rPr>
      <w:lang w:eastAsia="en-US"/>
    </w:rPr>
  </w:style>
  <w:style w:type="character" w:customStyle="1" w:styleId="SingleTxtGChar">
    <w:name w:val="_ Single Txt_G Char"/>
    <w:qFormat/>
    <w:rsid w:val="00FD1466"/>
    <w:rPr>
      <w:lang w:eastAsia="en-US"/>
    </w:rPr>
  </w:style>
  <w:style w:type="character" w:customStyle="1" w:styleId="H23GChar">
    <w:name w:val="_ H_2/3_G Char"/>
    <w:link w:val="H23G"/>
    <w:locked/>
    <w:rsid w:val="00FD1466"/>
    <w:rPr>
      <w:b/>
      <w:lang w:eastAsia="en-US"/>
    </w:rPr>
  </w:style>
  <w:style w:type="paragraph" w:customStyle="1" w:styleId="p1">
    <w:name w:val="p1"/>
    <w:basedOn w:val="Normal"/>
    <w:rsid w:val="00FD1466"/>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FD1466"/>
  </w:style>
  <w:style w:type="paragraph" w:styleId="CommentSubject">
    <w:name w:val="annotation subject"/>
    <w:basedOn w:val="CommentText"/>
    <w:next w:val="CommentText"/>
    <w:link w:val="CommentSubjectChar"/>
    <w:semiHidden/>
    <w:unhideWhenUsed/>
    <w:rsid w:val="00FD1466"/>
    <w:pPr>
      <w:spacing w:line="240" w:lineRule="auto"/>
    </w:pPr>
    <w:rPr>
      <w:b/>
      <w:bCs/>
    </w:rPr>
  </w:style>
  <w:style w:type="character" w:customStyle="1" w:styleId="CommentTextChar">
    <w:name w:val="Comment Text Char"/>
    <w:basedOn w:val="DefaultParagraphFont"/>
    <w:link w:val="CommentText"/>
    <w:semiHidden/>
    <w:rsid w:val="00FD1466"/>
    <w:rPr>
      <w:lang w:eastAsia="en-US"/>
    </w:rPr>
  </w:style>
  <w:style w:type="character" w:customStyle="1" w:styleId="CommentSubjectChar">
    <w:name w:val="Comment Subject Char"/>
    <w:basedOn w:val="CommentTextChar"/>
    <w:link w:val="CommentSubject"/>
    <w:semiHidden/>
    <w:rsid w:val="00FD1466"/>
    <w:rPr>
      <w:b/>
      <w:bCs/>
      <w:lang w:eastAsia="en-US"/>
    </w:rPr>
  </w:style>
  <w:style w:type="paragraph" w:styleId="Revision">
    <w:name w:val="Revision"/>
    <w:hidden/>
    <w:uiPriority w:val="99"/>
    <w:semiHidden/>
    <w:rsid w:val="00FD1466"/>
    <w:rPr>
      <w:lang w:eastAsia="en-US"/>
    </w:rPr>
  </w:style>
  <w:style w:type="paragraph" w:styleId="BalloonText">
    <w:name w:val="Balloon Text"/>
    <w:basedOn w:val="Normal"/>
    <w:link w:val="BalloonTextChar"/>
    <w:rsid w:val="00FD1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FD1466"/>
    <w:rPr>
      <w:rFonts w:ascii="Segoe UI" w:hAnsi="Segoe UI" w:cs="Segoe UI"/>
      <w:sz w:val="18"/>
      <w:szCs w:val="18"/>
      <w:lang w:eastAsia="en-US"/>
    </w:rPr>
  </w:style>
  <w:style w:type="character" w:customStyle="1" w:styleId="Heading1Char">
    <w:name w:val="Heading 1 Char"/>
    <w:aliases w:val="Table_G Char"/>
    <w:basedOn w:val="DefaultParagraphFont"/>
    <w:link w:val="Heading1"/>
    <w:rsid w:val="00DF6E60"/>
    <w:rPr>
      <w:lang w:eastAsia="en-US"/>
    </w:rPr>
  </w:style>
  <w:style w:type="character" w:customStyle="1" w:styleId="Heading2Char">
    <w:name w:val="Heading 2 Char"/>
    <w:basedOn w:val="DefaultParagraphFont"/>
    <w:link w:val="Heading2"/>
    <w:rsid w:val="00DF6E60"/>
    <w:rPr>
      <w:lang w:eastAsia="en-US"/>
    </w:rPr>
  </w:style>
  <w:style w:type="character" w:customStyle="1" w:styleId="Heading3Char">
    <w:name w:val="Heading 3 Char"/>
    <w:basedOn w:val="DefaultParagraphFont"/>
    <w:link w:val="Heading3"/>
    <w:rsid w:val="00DF6E60"/>
    <w:rPr>
      <w:lang w:eastAsia="en-US"/>
    </w:rPr>
  </w:style>
  <w:style w:type="character" w:customStyle="1" w:styleId="Heading4Char">
    <w:name w:val="Heading 4 Char"/>
    <w:basedOn w:val="DefaultParagraphFont"/>
    <w:link w:val="Heading4"/>
    <w:rsid w:val="00DF6E60"/>
    <w:rPr>
      <w:lang w:eastAsia="en-US"/>
    </w:rPr>
  </w:style>
  <w:style w:type="character" w:customStyle="1" w:styleId="Heading5Char">
    <w:name w:val="Heading 5 Char"/>
    <w:basedOn w:val="DefaultParagraphFont"/>
    <w:link w:val="Heading5"/>
    <w:rsid w:val="00DF6E60"/>
    <w:rPr>
      <w:lang w:eastAsia="en-US"/>
    </w:rPr>
  </w:style>
  <w:style w:type="character" w:customStyle="1" w:styleId="Heading6Char">
    <w:name w:val="Heading 6 Char"/>
    <w:basedOn w:val="DefaultParagraphFont"/>
    <w:link w:val="Heading6"/>
    <w:rsid w:val="00DF6E60"/>
    <w:rPr>
      <w:lang w:eastAsia="en-US"/>
    </w:rPr>
  </w:style>
  <w:style w:type="character" w:customStyle="1" w:styleId="Heading7Char">
    <w:name w:val="Heading 7 Char"/>
    <w:basedOn w:val="DefaultParagraphFont"/>
    <w:link w:val="Heading7"/>
    <w:rsid w:val="00DF6E60"/>
    <w:rPr>
      <w:lang w:eastAsia="en-US"/>
    </w:rPr>
  </w:style>
  <w:style w:type="character" w:customStyle="1" w:styleId="Heading8Char">
    <w:name w:val="Heading 8 Char"/>
    <w:basedOn w:val="DefaultParagraphFont"/>
    <w:link w:val="Heading8"/>
    <w:rsid w:val="00DF6E60"/>
    <w:rPr>
      <w:lang w:eastAsia="en-US"/>
    </w:rPr>
  </w:style>
  <w:style w:type="character" w:customStyle="1" w:styleId="Heading9Char">
    <w:name w:val="Heading 9 Char"/>
    <w:basedOn w:val="DefaultParagraphFont"/>
    <w:link w:val="Heading9"/>
    <w:rsid w:val="00DF6E60"/>
    <w:rPr>
      <w:lang w:eastAsia="en-US"/>
    </w:rPr>
  </w:style>
  <w:style w:type="character" w:customStyle="1" w:styleId="EndnoteTextChar">
    <w:name w:val="Endnote Text Char"/>
    <w:aliases w:val="2_G Char"/>
    <w:basedOn w:val="DefaultParagraphFont"/>
    <w:link w:val="EndnoteText"/>
    <w:rsid w:val="00DF6E60"/>
    <w:rPr>
      <w:sz w:val="18"/>
      <w:lang w:eastAsia="en-US"/>
    </w:rPr>
  </w:style>
  <w:style w:type="character" w:customStyle="1" w:styleId="FooterChar">
    <w:name w:val="Footer Char"/>
    <w:aliases w:val="3_G Char"/>
    <w:basedOn w:val="DefaultParagraphFont"/>
    <w:link w:val="Footer"/>
    <w:rsid w:val="00DF6E60"/>
    <w:rPr>
      <w:sz w:val="16"/>
      <w:lang w:eastAsia="en-US"/>
    </w:rPr>
  </w:style>
  <w:style w:type="character" w:customStyle="1" w:styleId="HeaderChar">
    <w:name w:val="Header Char"/>
    <w:aliases w:val="6_G Char"/>
    <w:basedOn w:val="DefaultParagraphFont"/>
    <w:link w:val="Header"/>
    <w:rsid w:val="00DF6E60"/>
    <w:rPr>
      <w:b/>
      <w:sz w:val="18"/>
      <w:lang w:eastAsia="en-US"/>
    </w:rPr>
  </w:style>
  <w:style w:type="character" w:customStyle="1" w:styleId="PlainTextChar">
    <w:name w:val="Plain Text Char"/>
    <w:basedOn w:val="DefaultParagraphFont"/>
    <w:link w:val="PlainText"/>
    <w:semiHidden/>
    <w:rsid w:val="00DF6E60"/>
    <w:rPr>
      <w:rFonts w:cs="Courier New"/>
      <w:lang w:eastAsia="en-US"/>
    </w:rPr>
  </w:style>
  <w:style w:type="character" w:customStyle="1" w:styleId="BodyTextChar">
    <w:name w:val="Body Text Char"/>
    <w:basedOn w:val="DefaultParagraphFont"/>
    <w:link w:val="BodyText"/>
    <w:semiHidden/>
    <w:rsid w:val="00DF6E60"/>
    <w:rPr>
      <w:lang w:eastAsia="en-US"/>
    </w:rPr>
  </w:style>
  <w:style w:type="character" w:customStyle="1" w:styleId="BodyTextIndentChar">
    <w:name w:val="Body Text Indent Char"/>
    <w:basedOn w:val="DefaultParagraphFont"/>
    <w:link w:val="BodyTextIndent"/>
    <w:semiHidden/>
    <w:rsid w:val="00DF6E60"/>
    <w:rPr>
      <w:lang w:eastAsia="en-US"/>
    </w:rPr>
  </w:style>
  <w:style w:type="character" w:customStyle="1" w:styleId="BodyText2Char">
    <w:name w:val="Body Text 2 Char"/>
    <w:basedOn w:val="DefaultParagraphFont"/>
    <w:link w:val="BodyText2"/>
    <w:semiHidden/>
    <w:rsid w:val="00DF6E60"/>
    <w:rPr>
      <w:lang w:eastAsia="en-US"/>
    </w:rPr>
  </w:style>
  <w:style w:type="character" w:customStyle="1" w:styleId="BodyText3Char">
    <w:name w:val="Body Text 3 Char"/>
    <w:basedOn w:val="DefaultParagraphFont"/>
    <w:link w:val="BodyText3"/>
    <w:semiHidden/>
    <w:rsid w:val="00DF6E60"/>
    <w:rPr>
      <w:sz w:val="16"/>
      <w:szCs w:val="16"/>
      <w:lang w:eastAsia="en-US"/>
    </w:rPr>
  </w:style>
  <w:style w:type="character" w:customStyle="1" w:styleId="BodyTextFirstIndentChar">
    <w:name w:val="Body Text First Indent Char"/>
    <w:basedOn w:val="BodyTextChar"/>
    <w:link w:val="BodyTextFirstIndent"/>
    <w:semiHidden/>
    <w:rsid w:val="00DF6E60"/>
    <w:rPr>
      <w:lang w:eastAsia="en-US"/>
    </w:rPr>
  </w:style>
  <w:style w:type="character" w:customStyle="1" w:styleId="BodyTextFirstIndent2Char">
    <w:name w:val="Body Text First Indent 2 Char"/>
    <w:basedOn w:val="BodyTextIndentChar"/>
    <w:link w:val="BodyTextFirstIndent2"/>
    <w:semiHidden/>
    <w:rsid w:val="00DF6E60"/>
    <w:rPr>
      <w:lang w:eastAsia="en-US"/>
    </w:rPr>
  </w:style>
  <w:style w:type="character" w:customStyle="1" w:styleId="BodyTextIndent2Char">
    <w:name w:val="Body Text Indent 2 Char"/>
    <w:basedOn w:val="DefaultParagraphFont"/>
    <w:link w:val="BodyTextIndent2"/>
    <w:semiHidden/>
    <w:rsid w:val="00DF6E60"/>
    <w:rPr>
      <w:lang w:eastAsia="en-US"/>
    </w:rPr>
  </w:style>
  <w:style w:type="character" w:customStyle="1" w:styleId="BodyTextIndent3Char">
    <w:name w:val="Body Text Indent 3 Char"/>
    <w:basedOn w:val="DefaultParagraphFont"/>
    <w:link w:val="BodyTextIndent3"/>
    <w:semiHidden/>
    <w:rsid w:val="00DF6E60"/>
    <w:rPr>
      <w:sz w:val="16"/>
      <w:szCs w:val="16"/>
      <w:lang w:eastAsia="en-US"/>
    </w:rPr>
  </w:style>
  <w:style w:type="character" w:customStyle="1" w:styleId="ClosingChar">
    <w:name w:val="Closing Char"/>
    <w:basedOn w:val="DefaultParagraphFont"/>
    <w:link w:val="Closing"/>
    <w:semiHidden/>
    <w:rsid w:val="00DF6E60"/>
    <w:rPr>
      <w:lang w:eastAsia="en-US"/>
    </w:rPr>
  </w:style>
  <w:style w:type="character" w:customStyle="1" w:styleId="DateChar">
    <w:name w:val="Date Char"/>
    <w:basedOn w:val="DefaultParagraphFont"/>
    <w:link w:val="Date"/>
    <w:semiHidden/>
    <w:rsid w:val="00DF6E60"/>
    <w:rPr>
      <w:lang w:eastAsia="en-US"/>
    </w:rPr>
  </w:style>
  <w:style w:type="character" w:customStyle="1" w:styleId="E-mailSignatureChar">
    <w:name w:val="E-mail Signature Char"/>
    <w:basedOn w:val="DefaultParagraphFont"/>
    <w:link w:val="E-mailSignature"/>
    <w:semiHidden/>
    <w:rsid w:val="00DF6E60"/>
    <w:rPr>
      <w:lang w:eastAsia="en-US"/>
    </w:rPr>
  </w:style>
  <w:style w:type="character" w:customStyle="1" w:styleId="HTMLAddressChar">
    <w:name w:val="HTML Address Char"/>
    <w:basedOn w:val="DefaultParagraphFont"/>
    <w:link w:val="HTMLAddress"/>
    <w:semiHidden/>
    <w:rsid w:val="00DF6E60"/>
    <w:rPr>
      <w:i/>
      <w:iCs/>
      <w:lang w:eastAsia="en-US"/>
    </w:rPr>
  </w:style>
  <w:style w:type="character" w:customStyle="1" w:styleId="HTMLPreformattedChar">
    <w:name w:val="HTML Preformatted Char"/>
    <w:basedOn w:val="DefaultParagraphFont"/>
    <w:link w:val="HTMLPreformatted"/>
    <w:semiHidden/>
    <w:rsid w:val="00DF6E60"/>
    <w:rPr>
      <w:rFonts w:ascii="Courier New" w:hAnsi="Courier New" w:cs="Courier New"/>
      <w:lang w:eastAsia="en-US"/>
    </w:rPr>
  </w:style>
  <w:style w:type="character" w:customStyle="1" w:styleId="MessageHeaderChar">
    <w:name w:val="Message Header Char"/>
    <w:basedOn w:val="DefaultParagraphFont"/>
    <w:link w:val="MessageHeader"/>
    <w:semiHidden/>
    <w:rsid w:val="00DF6E60"/>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F6E60"/>
    <w:rPr>
      <w:lang w:eastAsia="en-US"/>
    </w:rPr>
  </w:style>
  <w:style w:type="character" w:customStyle="1" w:styleId="SalutationChar">
    <w:name w:val="Salutation Char"/>
    <w:basedOn w:val="DefaultParagraphFont"/>
    <w:link w:val="Salutation"/>
    <w:semiHidden/>
    <w:rsid w:val="00DF6E60"/>
    <w:rPr>
      <w:lang w:eastAsia="en-US"/>
    </w:rPr>
  </w:style>
  <w:style w:type="character" w:customStyle="1" w:styleId="SignatureChar">
    <w:name w:val="Signature Char"/>
    <w:basedOn w:val="DefaultParagraphFont"/>
    <w:link w:val="Signature"/>
    <w:semiHidden/>
    <w:rsid w:val="00DF6E60"/>
    <w:rPr>
      <w:lang w:eastAsia="en-US"/>
    </w:rPr>
  </w:style>
  <w:style w:type="character" w:customStyle="1" w:styleId="SubtitleChar">
    <w:name w:val="Subtitle Char"/>
    <w:basedOn w:val="DefaultParagraphFont"/>
    <w:link w:val="Subtitle"/>
    <w:rsid w:val="00DF6E60"/>
    <w:rPr>
      <w:rFonts w:ascii="Arial" w:hAnsi="Arial" w:cs="Arial"/>
      <w:sz w:val="24"/>
      <w:szCs w:val="24"/>
      <w:lang w:eastAsia="en-US"/>
    </w:rPr>
  </w:style>
  <w:style w:type="character" w:customStyle="1" w:styleId="TitleChar">
    <w:name w:val="Title Char"/>
    <w:basedOn w:val="DefaultParagraphFont"/>
    <w:link w:val="Title"/>
    <w:rsid w:val="00DF6E60"/>
    <w:rPr>
      <w:rFonts w:ascii="Arial" w:hAnsi="Arial" w:cs="Arial"/>
      <w:b/>
      <w:bCs/>
      <w:kern w:val="28"/>
      <w:sz w:val="32"/>
      <w:szCs w:val="32"/>
      <w:lang w:eastAsia="en-US"/>
    </w:rPr>
  </w:style>
  <w:style w:type="paragraph" w:styleId="ListParagraph">
    <w:name w:val="List Paragraph"/>
    <w:basedOn w:val="Normal"/>
    <w:uiPriority w:val="34"/>
    <w:qFormat/>
    <w:rsid w:val="00DF6E60"/>
    <w:pPr>
      <w:ind w:left="720"/>
      <w:contextualSpacing/>
    </w:pPr>
  </w:style>
  <w:style w:type="paragraph" w:styleId="NoSpacing">
    <w:name w:val="No Spacing"/>
    <w:uiPriority w:val="1"/>
    <w:qFormat/>
    <w:rsid w:val="00DF6E60"/>
    <w:rPr>
      <w:rFonts w:eastAsia="Calibri"/>
      <w:color w:val="000000"/>
      <w:sz w:val="24"/>
      <w:szCs w:val="24"/>
      <w:lang w:val="en-US" w:eastAsia="en-US"/>
    </w:rPr>
  </w:style>
  <w:style w:type="paragraph" w:customStyle="1" w:styleId="TableParagraph">
    <w:name w:val="Table Paragraph"/>
    <w:basedOn w:val="Normal"/>
    <w:uiPriority w:val="1"/>
    <w:qFormat/>
    <w:rsid w:val="00DF6E60"/>
    <w:pPr>
      <w:widowControl w:val="0"/>
      <w:suppressAutoHyphens w:val="0"/>
      <w:autoSpaceDE w:val="0"/>
      <w:autoSpaceDN w:val="0"/>
      <w:spacing w:line="240" w:lineRule="auto"/>
      <w:jc w:val="center"/>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Visio_Drawing7.vsdx"/><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2.emf"/><Relationship Id="rId10" Type="http://schemas.openxmlformats.org/officeDocument/2006/relationships/package" Target="embeddings/Microsoft_Visio_Drawing.vsdx"/><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image" Target="media/image11.jpg"/><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3A81-95B9-4B0B-9CAE-11689E6B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2023</TotalTime>
  <Pages>64</Pages>
  <Words>18271</Words>
  <Characters>102319</Characters>
  <Application>Microsoft Office Word</Application>
  <DocSecurity>0</DocSecurity>
  <Lines>2692</Lines>
  <Paragraphs>1884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Secretariat</dc:creator>
  <cp:lastModifiedBy>Laurence Berthet</cp:lastModifiedBy>
  <cp:revision>97</cp:revision>
  <cp:lastPrinted>2018-09-13T14:34:00Z</cp:lastPrinted>
  <dcterms:created xsi:type="dcterms:W3CDTF">2018-09-03T06:59:00Z</dcterms:created>
  <dcterms:modified xsi:type="dcterms:W3CDTF">2018-09-13T14:34:00Z</dcterms:modified>
</cp:coreProperties>
</file>