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0E3282" w:rsidRPr="003F006C" w:rsidTr="006A4157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282" w:rsidRPr="003F006C" w:rsidRDefault="000E3282" w:rsidP="006A4157">
            <w:pPr>
              <w:spacing w:after="80" w:line="340" w:lineRule="exact"/>
            </w:pPr>
            <w:bookmarkStart w:id="0" w:name="_Hlk507352837"/>
            <w:bookmarkStart w:id="1" w:name="_GoBack"/>
            <w:bookmarkEnd w:id="1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3282" w:rsidRPr="003F006C" w:rsidRDefault="000E3282" w:rsidP="006A4157">
            <w:pPr>
              <w:spacing w:after="80" w:line="340" w:lineRule="exact"/>
              <w:rPr>
                <w:sz w:val="28"/>
                <w:szCs w:val="28"/>
              </w:rPr>
            </w:pPr>
            <w:r w:rsidRPr="003F00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3282" w:rsidRPr="00DB656E" w:rsidRDefault="000E3282" w:rsidP="006A4157">
            <w:pPr>
              <w:suppressAutoHyphens w:val="0"/>
              <w:spacing w:after="20"/>
              <w:jc w:val="right"/>
            </w:pPr>
            <w:bookmarkStart w:id="2" w:name="_Hlk507580044"/>
            <w:r w:rsidRPr="00DB656E">
              <w:rPr>
                <w:sz w:val="40"/>
              </w:rPr>
              <w:t>ST</w:t>
            </w:r>
            <w:r w:rsidRPr="00DB656E">
              <w:t>/SG/AC.10/C.3/2018/</w:t>
            </w:r>
            <w:r w:rsidR="00925F3C">
              <w:t>50</w:t>
            </w:r>
            <w:bookmarkEnd w:id="2"/>
          </w:p>
        </w:tc>
      </w:tr>
      <w:tr w:rsidR="000E3282" w:rsidRPr="003F006C" w:rsidTr="006A4157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E3282" w:rsidRPr="003F006C" w:rsidRDefault="000E3282" w:rsidP="006A4157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A9A8D0" wp14:editId="32BE023D">
                  <wp:extent cx="714375" cy="591185"/>
                  <wp:effectExtent l="0" t="0" r="9525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E3282" w:rsidRPr="003F006C" w:rsidRDefault="000E3282" w:rsidP="006A4157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F00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E3282" w:rsidRPr="003F006C" w:rsidRDefault="000E3282" w:rsidP="006A4157">
            <w:pPr>
              <w:suppressAutoHyphens w:val="0"/>
              <w:spacing w:before="240" w:line="240" w:lineRule="exact"/>
            </w:pPr>
            <w:r w:rsidRPr="003F006C">
              <w:t>Distr.: General</w:t>
            </w:r>
          </w:p>
          <w:p w:rsidR="000E3282" w:rsidRPr="003F006C" w:rsidRDefault="000D69B7" w:rsidP="006A4157">
            <w:pPr>
              <w:suppressAutoHyphens w:val="0"/>
            </w:pPr>
            <w:r>
              <w:t>6</w:t>
            </w:r>
            <w:r w:rsidR="00925F3C">
              <w:t xml:space="preserve"> April</w:t>
            </w:r>
            <w:r w:rsidR="00DB656E">
              <w:t xml:space="preserve"> </w:t>
            </w:r>
            <w:r w:rsidR="000E3282" w:rsidRPr="003F006C">
              <w:t>201</w:t>
            </w:r>
            <w:r w:rsidR="00DB656E">
              <w:t>8</w:t>
            </w:r>
          </w:p>
          <w:p w:rsidR="000E3282" w:rsidRPr="003F006C" w:rsidRDefault="000E3282" w:rsidP="006A4157">
            <w:pPr>
              <w:suppressAutoHyphens w:val="0"/>
            </w:pPr>
          </w:p>
          <w:p w:rsidR="000E3282" w:rsidRPr="003F006C" w:rsidRDefault="000E3282" w:rsidP="006A4157">
            <w:pPr>
              <w:suppressAutoHyphens w:val="0"/>
            </w:pPr>
            <w:r w:rsidRPr="003F006C">
              <w:t>Original: English</w:t>
            </w:r>
          </w:p>
        </w:tc>
      </w:tr>
    </w:tbl>
    <w:p w:rsidR="000E3282" w:rsidRPr="003F006C" w:rsidRDefault="000E3282" w:rsidP="000E3282">
      <w:pPr>
        <w:spacing w:before="120" w:after="120"/>
        <w:rPr>
          <w:b/>
          <w:sz w:val="24"/>
          <w:szCs w:val="24"/>
        </w:rPr>
      </w:pPr>
      <w:r w:rsidRPr="003F006C">
        <w:rPr>
          <w:b/>
          <w:sz w:val="24"/>
          <w:szCs w:val="24"/>
        </w:rPr>
        <w:t>Committee of Experts on the Transport of Dangerous Goods</w:t>
      </w:r>
      <w:r w:rsidRPr="003F006C">
        <w:rPr>
          <w:b/>
          <w:sz w:val="24"/>
          <w:szCs w:val="24"/>
        </w:rPr>
        <w:br/>
        <w:t>and on the Globally Harmonized System of Classification</w:t>
      </w:r>
      <w:r w:rsidRPr="003F006C">
        <w:rPr>
          <w:b/>
          <w:sz w:val="24"/>
          <w:szCs w:val="24"/>
        </w:rPr>
        <w:br/>
        <w:t>and Labelling of Chemicals</w:t>
      </w:r>
    </w:p>
    <w:p w:rsidR="000E3282" w:rsidRPr="003F006C" w:rsidRDefault="000E3282" w:rsidP="000E3282">
      <w:pPr>
        <w:spacing w:before="120"/>
        <w:rPr>
          <w:b/>
          <w:lang w:val="en-US"/>
        </w:rPr>
      </w:pPr>
      <w:r w:rsidRPr="003F006C">
        <w:rPr>
          <w:b/>
          <w:lang w:val="en-US"/>
        </w:rPr>
        <w:t>Sub-Committee of Experts on the Transport of Dangerous Goods</w:t>
      </w:r>
    </w:p>
    <w:p w:rsidR="000E3282" w:rsidRPr="00DB656E" w:rsidRDefault="000E3282" w:rsidP="000E3282">
      <w:pPr>
        <w:spacing w:before="120"/>
        <w:rPr>
          <w:b/>
        </w:rPr>
      </w:pPr>
      <w:r w:rsidRPr="003F006C">
        <w:rPr>
          <w:b/>
        </w:rPr>
        <w:t>F</w:t>
      </w:r>
      <w:r>
        <w:rPr>
          <w:b/>
        </w:rPr>
        <w:t>i</w:t>
      </w:r>
      <w:r w:rsidRPr="00DB656E">
        <w:rPr>
          <w:b/>
        </w:rPr>
        <w:t>fty-third session</w:t>
      </w:r>
    </w:p>
    <w:p w:rsidR="000E3282" w:rsidRPr="00DB656E" w:rsidRDefault="000E3282" w:rsidP="000E3282">
      <w:pPr>
        <w:rPr>
          <w:color w:val="333333"/>
          <w:lang w:eastAsia="it-IT"/>
        </w:rPr>
      </w:pPr>
      <w:r w:rsidRPr="00DB656E">
        <w:t xml:space="preserve">Geneva, </w:t>
      </w:r>
      <w:r w:rsidR="00925F3C">
        <w:rPr>
          <w:color w:val="333333"/>
          <w:lang w:eastAsia="it-IT"/>
        </w:rPr>
        <w:t>25 June</w:t>
      </w:r>
      <w:r w:rsidR="00820BCC" w:rsidRPr="00DB656E">
        <w:rPr>
          <w:color w:val="333333"/>
          <w:lang w:eastAsia="it-IT"/>
        </w:rPr>
        <w:t>-4</w:t>
      </w:r>
      <w:r w:rsidRPr="00DB656E">
        <w:rPr>
          <w:color w:val="333333"/>
          <w:lang w:eastAsia="it-IT"/>
        </w:rPr>
        <w:t xml:space="preserve"> July 2018</w:t>
      </w:r>
    </w:p>
    <w:p w:rsidR="000E3282" w:rsidRPr="00DB656E" w:rsidRDefault="000E3282" w:rsidP="000E3282">
      <w:r w:rsidRPr="00DB656E">
        <w:t xml:space="preserve">Item </w:t>
      </w:r>
      <w:r w:rsidR="00820BCC" w:rsidRPr="00DB656E">
        <w:t>4 (e</w:t>
      </w:r>
      <w:r w:rsidRPr="00DB656E">
        <w:t>) of the provisional agenda</w:t>
      </w:r>
    </w:p>
    <w:p w:rsidR="000E3282" w:rsidRPr="00DB656E" w:rsidRDefault="000E3282" w:rsidP="000E3282">
      <w:pPr>
        <w:rPr>
          <w:b/>
        </w:rPr>
      </w:pPr>
      <w:r w:rsidRPr="00DB656E">
        <w:rPr>
          <w:b/>
        </w:rPr>
        <w:t>Electric storage systems: miscellaneous</w:t>
      </w:r>
    </w:p>
    <w:p w:rsidR="000E3282" w:rsidRPr="00DB656E" w:rsidRDefault="003D3528" w:rsidP="000E3282">
      <w:pPr>
        <w:pStyle w:val="HChG"/>
      </w:pPr>
      <w:r>
        <w:tab/>
      </w:r>
      <w:r>
        <w:tab/>
      </w:r>
      <w:r w:rsidR="000E0715">
        <w:t xml:space="preserve">Testing </w:t>
      </w:r>
      <w:r w:rsidR="0062747C">
        <w:t xml:space="preserve">of </w:t>
      </w:r>
      <w:r>
        <w:t>d</w:t>
      </w:r>
      <w:r w:rsidR="000E0715">
        <w:t xml:space="preserve">ischarged </w:t>
      </w:r>
      <w:r>
        <w:t>p</w:t>
      </w:r>
      <w:r w:rsidR="0062747C">
        <w:t xml:space="preserve">rimary </w:t>
      </w:r>
      <w:r>
        <w:t>l</w:t>
      </w:r>
      <w:r w:rsidR="000E0715">
        <w:t xml:space="preserve">ithium </w:t>
      </w:r>
      <w:r>
        <w:t>c</w:t>
      </w:r>
      <w:r w:rsidR="0062747C">
        <w:t>ells and</w:t>
      </w:r>
      <w:r>
        <w:t xml:space="preserve"> b</w:t>
      </w:r>
      <w:r w:rsidR="000E0715">
        <w:t>atteries</w:t>
      </w:r>
    </w:p>
    <w:p w:rsidR="000E3282" w:rsidRPr="003F006C" w:rsidRDefault="000E3282" w:rsidP="000E3282">
      <w:pPr>
        <w:pStyle w:val="H1G"/>
      </w:pPr>
      <w:r w:rsidRPr="00DB656E">
        <w:tab/>
      </w:r>
      <w:r w:rsidRPr="00DB656E">
        <w:tab/>
        <w:t xml:space="preserve">Transmitted by </w:t>
      </w:r>
      <w:r w:rsidR="00925F3C">
        <w:t>t</w:t>
      </w:r>
      <w:r w:rsidRPr="00DB656E">
        <w:t>he R</w:t>
      </w:r>
      <w:r w:rsidR="000E0715">
        <w:t xml:space="preserve">echargeable Battery Association </w:t>
      </w:r>
      <w:r w:rsidR="00925F3C">
        <w:t>(</w:t>
      </w:r>
      <w:r w:rsidR="00925F3C" w:rsidRPr="00DB656E">
        <w:t>PRBA</w:t>
      </w:r>
      <w:r w:rsidR="00925F3C">
        <w:t>)</w:t>
      </w:r>
      <w:r w:rsidR="00925F3C" w:rsidRPr="00DB656E">
        <w:t xml:space="preserve"> </w:t>
      </w:r>
      <w:r w:rsidR="000E0715">
        <w:t xml:space="preserve">and </w:t>
      </w:r>
      <w:r w:rsidR="00925F3C">
        <w:t>t</w:t>
      </w:r>
      <w:r w:rsidR="000E0715">
        <w:t>he Advanced Rechargeable &amp; Lithium Batteries Association</w:t>
      </w:r>
      <w:r w:rsidR="00925F3C">
        <w:t xml:space="preserve"> (RECHARGE)</w:t>
      </w:r>
      <w:r w:rsidR="00925F3C">
        <w:rPr>
          <w:rStyle w:val="FootnoteReference"/>
        </w:rPr>
        <w:footnoteReference w:customMarkFollows="1" w:id="1"/>
        <w:t>*</w:t>
      </w:r>
    </w:p>
    <w:p w:rsidR="000E3282" w:rsidRPr="00AA5E6C" w:rsidRDefault="000E3282" w:rsidP="00925F3C">
      <w:pPr>
        <w:pStyle w:val="HChG"/>
      </w:pPr>
      <w:r w:rsidRPr="003F006C">
        <w:tab/>
      </w:r>
      <w:r w:rsidRPr="003F006C">
        <w:tab/>
      </w:r>
      <w:r w:rsidRPr="00925F3C">
        <w:t>Introduction</w:t>
      </w:r>
    </w:p>
    <w:p w:rsidR="000804D0" w:rsidRPr="00925F3C" w:rsidRDefault="00DD457F" w:rsidP="00925F3C">
      <w:pPr>
        <w:pStyle w:val="SingleTxtG"/>
        <w:numPr>
          <w:ilvl w:val="0"/>
          <w:numId w:val="7"/>
        </w:numPr>
        <w:tabs>
          <w:tab w:val="left" w:pos="1701"/>
        </w:tabs>
        <w:ind w:left="1134" w:firstLine="0"/>
      </w:pPr>
      <w:r w:rsidRPr="00925F3C">
        <w:t xml:space="preserve">Primary lithium cells and batteries are subject to </w:t>
      </w:r>
      <w:r w:rsidR="003D0986" w:rsidRPr="00925F3C">
        <w:t xml:space="preserve">a </w:t>
      </w:r>
      <w:r w:rsidR="00F36E7B" w:rsidRPr="00925F3C">
        <w:t xml:space="preserve">series of abuse tests found at Sub-section 38.3 of the </w:t>
      </w:r>
      <w:r w:rsidR="00925F3C">
        <w:t xml:space="preserve">Manual of Tests and Criteria. </w:t>
      </w:r>
      <w:r w:rsidR="00F36E7B" w:rsidRPr="00925F3C">
        <w:t>The tests require cells and batteries be tested at a disc</w:t>
      </w:r>
      <w:r w:rsidR="00925F3C">
        <w:t xml:space="preserve">harged and undischarged state. </w:t>
      </w:r>
      <w:r w:rsidR="00F36E7B" w:rsidRPr="00925F3C">
        <w:t xml:space="preserve">In this paper, we are proposing to eliminate the testing of discharged </w:t>
      </w:r>
      <w:r w:rsidR="003D0986" w:rsidRPr="00925F3C">
        <w:t xml:space="preserve">primary </w:t>
      </w:r>
      <w:r w:rsidR="00F36E7B" w:rsidRPr="00925F3C">
        <w:t>lithium cells and batteries.</w:t>
      </w:r>
      <w:r w:rsidR="00925E86" w:rsidRPr="00925F3C">
        <w:t xml:space="preserve">  </w:t>
      </w:r>
    </w:p>
    <w:p w:rsidR="000C2811" w:rsidRPr="00925F3C" w:rsidRDefault="00925E86" w:rsidP="00925F3C">
      <w:pPr>
        <w:pStyle w:val="SingleTxtG"/>
        <w:numPr>
          <w:ilvl w:val="0"/>
          <w:numId w:val="7"/>
        </w:numPr>
        <w:tabs>
          <w:tab w:val="left" w:pos="1701"/>
        </w:tabs>
        <w:ind w:left="1134" w:firstLine="0"/>
      </w:pPr>
      <w:r w:rsidRPr="00925F3C">
        <w:t>A simila</w:t>
      </w:r>
      <w:r w:rsidR="00A277C7" w:rsidRPr="00925F3C">
        <w:t>r issue was addressed by the Sub-Committee in 2008 based on a paper</w:t>
      </w:r>
      <w:r w:rsidR="00947D76" w:rsidRPr="00925F3C">
        <w:t xml:space="preserve"> </w:t>
      </w:r>
      <w:r w:rsidR="003D3528">
        <w:t>submitted</w:t>
      </w:r>
      <w:r w:rsidR="00947D76" w:rsidRPr="00925F3C">
        <w:t xml:space="preserve"> by PRBA</w:t>
      </w:r>
      <w:r w:rsidR="00A277C7" w:rsidRPr="00925F3C">
        <w:t xml:space="preserve"> (</w:t>
      </w:r>
      <w:r w:rsidR="00617AE3" w:rsidRPr="00925F3C">
        <w:t xml:space="preserve">See </w:t>
      </w:r>
      <w:r w:rsidR="00A277C7" w:rsidRPr="00925F3C">
        <w:t>ST/SG/AC.10/C.3/2008/57</w:t>
      </w:r>
      <w:r w:rsidR="005B3F8F" w:rsidRPr="00925F3C">
        <w:t>)</w:t>
      </w:r>
      <w:r w:rsidR="003D3528">
        <w:t>.</w:t>
      </w:r>
      <w:r w:rsidR="005B3F8F" w:rsidRPr="00925F3C">
        <w:t xml:space="preserve"> </w:t>
      </w:r>
      <w:r w:rsidR="00A277C7" w:rsidRPr="00925F3C">
        <w:t xml:space="preserve">The Sub-Committee </w:t>
      </w:r>
      <w:r w:rsidR="00942C71" w:rsidRPr="00925F3C">
        <w:t xml:space="preserve">agreed </w:t>
      </w:r>
      <w:r w:rsidR="005B3F8F" w:rsidRPr="00925F3C">
        <w:t xml:space="preserve">at that time </w:t>
      </w:r>
      <w:r w:rsidR="00942C71" w:rsidRPr="00925F3C">
        <w:t>to</w:t>
      </w:r>
      <w:r w:rsidR="00A277C7" w:rsidRPr="00925F3C">
        <w:t xml:space="preserve"> </w:t>
      </w:r>
      <w:r w:rsidR="00942C71" w:rsidRPr="00925F3C">
        <w:t xml:space="preserve">eliminate the </w:t>
      </w:r>
      <w:r w:rsidR="00A277C7" w:rsidRPr="00925F3C">
        <w:t xml:space="preserve">testing </w:t>
      </w:r>
      <w:r w:rsidR="005B3F8F" w:rsidRPr="00925F3C">
        <w:t xml:space="preserve">of </w:t>
      </w:r>
      <w:r w:rsidR="00A277C7" w:rsidRPr="00925F3C">
        <w:t xml:space="preserve">discharged </w:t>
      </w:r>
      <w:r w:rsidR="007B3F99" w:rsidRPr="00925F3C">
        <w:t>rechargeable (</w:t>
      </w:r>
      <w:r w:rsidR="00A277C7" w:rsidRPr="00925F3C">
        <w:t>lithium ion</w:t>
      </w:r>
      <w:r w:rsidR="007B3F99" w:rsidRPr="00925F3C">
        <w:t>)</w:t>
      </w:r>
      <w:r w:rsidR="00A277C7" w:rsidRPr="00925F3C">
        <w:t xml:space="preserve"> cells and batteries.  </w:t>
      </w:r>
      <w:r w:rsidR="006012E5" w:rsidRPr="00925F3C">
        <w:t>I</w:t>
      </w:r>
      <w:r w:rsidR="000804D0" w:rsidRPr="00925F3C">
        <w:t xml:space="preserve">t should be noted that the T.8 Forced discharge test still requires testing of discharged lithium ion cells because the intent of the test is to evaluate the ability of a primary </w:t>
      </w:r>
      <w:r w:rsidR="006012E5" w:rsidRPr="00925F3C">
        <w:t>and</w:t>
      </w:r>
      <w:r w:rsidR="000804D0" w:rsidRPr="00925F3C">
        <w:t xml:space="preserve"> rechargeable cell</w:t>
      </w:r>
      <w:r w:rsidR="006012E5" w:rsidRPr="00925F3C">
        <w:t xml:space="preserve"> </w:t>
      </w:r>
      <w:r w:rsidR="000804D0" w:rsidRPr="00925F3C">
        <w:t>to withstand a forced discharge condition.  Therefore, we are not proposing to eliminate the</w:t>
      </w:r>
      <w:r w:rsidR="000C2811" w:rsidRPr="00925F3C">
        <w:t xml:space="preserve"> testing requirements in T.8 for primary cells.  </w:t>
      </w:r>
    </w:p>
    <w:p w:rsidR="000C2811" w:rsidRDefault="00435132" w:rsidP="00925F3C">
      <w:pPr>
        <w:pStyle w:val="SingleTxtG"/>
        <w:numPr>
          <w:ilvl w:val="0"/>
          <w:numId w:val="7"/>
        </w:numPr>
        <w:tabs>
          <w:tab w:val="left" w:pos="1701"/>
        </w:tabs>
        <w:ind w:left="1134" w:firstLine="0"/>
        <w:rPr>
          <w:lang w:val="en-US"/>
        </w:rPr>
      </w:pPr>
      <w:r w:rsidRPr="000C2811">
        <w:rPr>
          <w:lang w:val="en-US"/>
        </w:rPr>
        <w:t xml:space="preserve">PRBA </w:t>
      </w:r>
      <w:r w:rsidR="003D0986" w:rsidRPr="000C2811">
        <w:rPr>
          <w:lang w:val="en-US"/>
        </w:rPr>
        <w:t xml:space="preserve">and RECHARGE </w:t>
      </w:r>
      <w:r w:rsidRPr="000C2811">
        <w:rPr>
          <w:lang w:val="en-US"/>
        </w:rPr>
        <w:t>members have acquired considerable</w:t>
      </w:r>
      <w:r w:rsidR="004319F1" w:rsidRPr="000C2811">
        <w:rPr>
          <w:lang w:val="en-US"/>
        </w:rPr>
        <w:t xml:space="preserve"> experience </w:t>
      </w:r>
      <w:r w:rsidR="00617AE3" w:rsidRPr="000C2811">
        <w:rPr>
          <w:lang w:val="en-US"/>
        </w:rPr>
        <w:t>over the past 35</w:t>
      </w:r>
      <w:r w:rsidR="003D0986" w:rsidRPr="000C2811">
        <w:rPr>
          <w:lang w:val="en-US"/>
        </w:rPr>
        <w:t xml:space="preserve"> </w:t>
      </w:r>
      <w:r w:rsidR="00942C71" w:rsidRPr="000C2811">
        <w:rPr>
          <w:lang w:val="en-US"/>
        </w:rPr>
        <w:t xml:space="preserve">years </w:t>
      </w:r>
      <w:r w:rsidR="004319F1" w:rsidRPr="000C2811">
        <w:rPr>
          <w:lang w:val="en-US"/>
        </w:rPr>
        <w:t>testing primary lithium cells and batteries</w:t>
      </w:r>
      <w:r w:rsidRPr="000C2811">
        <w:rPr>
          <w:lang w:val="en-US"/>
        </w:rPr>
        <w:t xml:space="preserve">. Through this experience it has become apparent that subjecting </w:t>
      </w:r>
      <w:r w:rsidR="004319F1" w:rsidRPr="000C2811">
        <w:rPr>
          <w:lang w:val="en-US"/>
        </w:rPr>
        <w:t>primary lithium</w:t>
      </w:r>
      <w:r w:rsidRPr="000C2811">
        <w:rPr>
          <w:lang w:val="en-US"/>
        </w:rPr>
        <w:t xml:space="preserve"> cells and batteries to </w:t>
      </w:r>
      <w:r w:rsidR="003D3528">
        <w:rPr>
          <w:lang w:val="en-US"/>
        </w:rPr>
        <w:t xml:space="preserve">the </w:t>
      </w:r>
      <w:r w:rsidRPr="000C2811">
        <w:rPr>
          <w:lang w:val="en-US"/>
        </w:rPr>
        <w:t xml:space="preserve">Tests </w:t>
      </w:r>
      <w:r w:rsidR="004319F1" w:rsidRPr="000C2811">
        <w:rPr>
          <w:lang w:val="en-US"/>
        </w:rPr>
        <w:t>T.</w:t>
      </w:r>
      <w:r w:rsidRPr="000C2811">
        <w:rPr>
          <w:lang w:val="en-US"/>
        </w:rPr>
        <w:t xml:space="preserve">1 to </w:t>
      </w:r>
      <w:r w:rsidR="004319F1" w:rsidRPr="000C2811">
        <w:rPr>
          <w:lang w:val="en-US"/>
        </w:rPr>
        <w:t>T.</w:t>
      </w:r>
      <w:r w:rsidRPr="000C2811">
        <w:rPr>
          <w:lang w:val="en-US"/>
        </w:rPr>
        <w:t>6 (</w:t>
      </w:r>
      <w:r w:rsidRPr="000C2811">
        <w:rPr>
          <w:i/>
          <w:lang w:val="en-US"/>
        </w:rPr>
        <w:t>i.e</w:t>
      </w:r>
      <w:r w:rsidRPr="000C2811">
        <w:rPr>
          <w:lang w:val="en-US"/>
        </w:rPr>
        <w:t xml:space="preserve">., altitude, simulation, thermal, vibration, shock, external short circuit, and impact tests) “in fully discharged state” provides no useful information regarding the classification and </w:t>
      </w:r>
      <w:r w:rsidRPr="000C2811">
        <w:rPr>
          <w:lang w:val="en-US"/>
        </w:rPr>
        <w:lastRenderedPageBreak/>
        <w:t xml:space="preserve">safety of the cells and batteries when these tests already require testing at </w:t>
      </w:r>
      <w:r w:rsidR="002D6B30" w:rsidRPr="000C2811">
        <w:rPr>
          <w:lang w:val="en-US"/>
        </w:rPr>
        <w:t>an undischa</w:t>
      </w:r>
      <w:r w:rsidRPr="000C2811">
        <w:rPr>
          <w:lang w:val="en-US"/>
        </w:rPr>
        <w:t xml:space="preserve">rged state.   </w:t>
      </w:r>
    </w:p>
    <w:p w:rsidR="003F6938" w:rsidRDefault="0004307F" w:rsidP="00925F3C">
      <w:pPr>
        <w:pStyle w:val="SingleTxtG"/>
        <w:numPr>
          <w:ilvl w:val="0"/>
          <w:numId w:val="7"/>
        </w:numPr>
        <w:ind w:left="1134" w:firstLine="0"/>
        <w:rPr>
          <w:lang w:val="en-US"/>
        </w:rPr>
      </w:pPr>
      <w:r w:rsidRPr="000C2811">
        <w:rPr>
          <w:lang w:val="en-US"/>
        </w:rPr>
        <w:t>When testing a new, un</w:t>
      </w:r>
      <w:r w:rsidR="00FE550B">
        <w:rPr>
          <w:lang w:val="en-US"/>
        </w:rPr>
        <w:t xml:space="preserve">discharged primary lithium cell, </w:t>
      </w:r>
      <w:r w:rsidRPr="000C2811">
        <w:rPr>
          <w:lang w:val="en-US"/>
        </w:rPr>
        <w:t>lithium metal i</w:t>
      </w:r>
      <w:r w:rsidR="002F7032" w:rsidRPr="000C2811">
        <w:rPr>
          <w:lang w:val="en-US"/>
        </w:rPr>
        <w:t xml:space="preserve">s present in </w:t>
      </w:r>
      <w:r w:rsidRPr="000C2811">
        <w:rPr>
          <w:lang w:val="en-US"/>
        </w:rPr>
        <w:t xml:space="preserve">the anode </w:t>
      </w:r>
      <w:r w:rsidR="00AE39AA" w:rsidRPr="000C2811">
        <w:rPr>
          <w:lang w:val="en-US"/>
        </w:rPr>
        <w:t xml:space="preserve">and </w:t>
      </w:r>
      <w:r w:rsidRPr="000C2811">
        <w:rPr>
          <w:lang w:val="en-US"/>
        </w:rPr>
        <w:t>voltage will be at its highest (</w:t>
      </w:r>
      <w:r w:rsidRPr="000C2811">
        <w:rPr>
          <w:i/>
          <w:lang w:val="en-US"/>
        </w:rPr>
        <w:t>e.g</w:t>
      </w:r>
      <w:r w:rsidR="00617AE3" w:rsidRPr="000C2811">
        <w:rPr>
          <w:lang w:val="en-US"/>
        </w:rPr>
        <w:t>., 3.1</w:t>
      </w:r>
      <w:r w:rsidRPr="000C2811">
        <w:rPr>
          <w:lang w:val="en-US"/>
        </w:rPr>
        <w:t xml:space="preserve"> V</w:t>
      </w:r>
      <w:r w:rsidR="006012E5">
        <w:rPr>
          <w:lang w:val="en-US"/>
        </w:rPr>
        <w:t xml:space="preserve"> for a </w:t>
      </w:r>
      <w:r w:rsidR="006012E5" w:rsidRPr="000C2811">
        <w:rPr>
          <w:lang w:val="en-US"/>
        </w:rPr>
        <w:t>LiMnO</w:t>
      </w:r>
      <w:r w:rsidR="006012E5" w:rsidRPr="000C2811">
        <w:rPr>
          <w:vertAlign w:val="subscript"/>
          <w:lang w:val="en-US"/>
        </w:rPr>
        <w:t>2</w:t>
      </w:r>
      <w:r w:rsidR="006012E5">
        <w:rPr>
          <w:vertAlign w:val="subscript"/>
          <w:lang w:val="en-US"/>
        </w:rPr>
        <w:t xml:space="preserve"> </w:t>
      </w:r>
      <w:r w:rsidR="006012E5">
        <w:rPr>
          <w:lang w:val="en-US"/>
        </w:rPr>
        <w:t>cell</w:t>
      </w:r>
      <w:r w:rsidRPr="000C2811">
        <w:rPr>
          <w:lang w:val="en-US"/>
        </w:rPr>
        <w:t>)</w:t>
      </w:r>
      <w:r w:rsidR="002F7032" w:rsidRPr="000C2811">
        <w:rPr>
          <w:lang w:val="en-US"/>
        </w:rPr>
        <w:t xml:space="preserve">.  </w:t>
      </w:r>
      <w:r w:rsidR="005B3F8F" w:rsidRPr="000C2811">
        <w:rPr>
          <w:lang w:val="en-US"/>
        </w:rPr>
        <w:t>In a discharged state, t</w:t>
      </w:r>
      <w:r w:rsidR="002F7032" w:rsidRPr="000C2811">
        <w:rPr>
          <w:lang w:val="en-US"/>
        </w:rPr>
        <w:t xml:space="preserve">he voltage when most of the capacity has been expended will be approximately 2.0 V </w:t>
      </w:r>
      <w:r w:rsidR="006E6D9F">
        <w:rPr>
          <w:lang w:val="en-US"/>
        </w:rPr>
        <w:t xml:space="preserve">(for a </w:t>
      </w:r>
      <w:r w:rsidR="006E6D9F" w:rsidRPr="006E6D9F">
        <w:rPr>
          <w:lang w:val="en-US"/>
        </w:rPr>
        <w:t>LiMnO2</w:t>
      </w:r>
      <w:r w:rsidR="006E6D9F">
        <w:rPr>
          <w:lang w:val="en-US"/>
        </w:rPr>
        <w:t xml:space="preserve"> cell) </w:t>
      </w:r>
      <w:r w:rsidR="002F7032" w:rsidRPr="006E6D9F">
        <w:rPr>
          <w:lang w:val="en-US"/>
        </w:rPr>
        <w:t>and</w:t>
      </w:r>
      <w:r w:rsidR="002F7032" w:rsidRPr="000C2811">
        <w:rPr>
          <w:lang w:val="en-US"/>
        </w:rPr>
        <w:t xml:space="preserve"> </w:t>
      </w:r>
      <w:r w:rsidR="00545396">
        <w:rPr>
          <w:lang w:val="en-US"/>
        </w:rPr>
        <w:t xml:space="preserve">most, if not all, of the </w:t>
      </w:r>
      <w:r w:rsidR="002F7032" w:rsidRPr="000C2811">
        <w:rPr>
          <w:lang w:val="en-US"/>
        </w:rPr>
        <w:t xml:space="preserve">lithium </w:t>
      </w:r>
      <w:r w:rsidR="00AE39AA" w:rsidRPr="000C2811">
        <w:rPr>
          <w:lang w:val="en-US"/>
        </w:rPr>
        <w:t xml:space="preserve">metal </w:t>
      </w:r>
      <w:r w:rsidR="002F7032" w:rsidRPr="000C2811">
        <w:rPr>
          <w:lang w:val="en-US"/>
        </w:rPr>
        <w:t xml:space="preserve">in the </w:t>
      </w:r>
      <w:r w:rsidR="00AE39AA" w:rsidRPr="000C2811">
        <w:rPr>
          <w:lang w:val="en-US"/>
        </w:rPr>
        <w:t>an</w:t>
      </w:r>
      <w:r w:rsidR="002F7032" w:rsidRPr="000C2811">
        <w:rPr>
          <w:lang w:val="en-US"/>
        </w:rPr>
        <w:t>ode</w:t>
      </w:r>
      <w:r w:rsidR="00E55888">
        <w:rPr>
          <w:lang w:val="en-US"/>
        </w:rPr>
        <w:t xml:space="preserve"> is consumed</w:t>
      </w:r>
      <w:r w:rsidR="00AE39AA" w:rsidRPr="000C2811">
        <w:rPr>
          <w:lang w:val="en-US"/>
        </w:rPr>
        <w:t xml:space="preserve">.  This lower voltage and </w:t>
      </w:r>
      <w:r w:rsidR="00E55888">
        <w:rPr>
          <w:lang w:val="en-US"/>
        </w:rPr>
        <w:t xml:space="preserve">the </w:t>
      </w:r>
      <w:r w:rsidR="00AE39AA" w:rsidRPr="000C2811">
        <w:rPr>
          <w:lang w:val="en-US"/>
        </w:rPr>
        <w:t>absence of</w:t>
      </w:r>
      <w:r w:rsidR="00E55888">
        <w:rPr>
          <w:lang w:val="en-US"/>
        </w:rPr>
        <w:t>,</w:t>
      </w:r>
      <w:r w:rsidR="00AE39AA" w:rsidRPr="000C2811">
        <w:rPr>
          <w:lang w:val="en-US"/>
        </w:rPr>
        <w:t xml:space="preserve"> </w:t>
      </w:r>
      <w:r w:rsidR="007B3F99">
        <w:rPr>
          <w:lang w:val="en-US"/>
        </w:rPr>
        <w:t>or very small amount o</w:t>
      </w:r>
      <w:r w:rsidR="00E55888">
        <w:rPr>
          <w:lang w:val="en-US"/>
        </w:rPr>
        <w:t xml:space="preserve">f </w:t>
      </w:r>
      <w:r w:rsidR="00AE39AA" w:rsidRPr="000C2811">
        <w:rPr>
          <w:lang w:val="en-US"/>
        </w:rPr>
        <w:t>lithium metal</w:t>
      </w:r>
      <w:r w:rsidR="00E55888">
        <w:rPr>
          <w:lang w:val="en-US"/>
        </w:rPr>
        <w:t xml:space="preserve"> in the anode,</w:t>
      </w:r>
      <w:r w:rsidR="00AE39AA" w:rsidRPr="000C2811">
        <w:rPr>
          <w:lang w:val="en-US"/>
        </w:rPr>
        <w:t xml:space="preserve"> results in a far less reactive cell com</w:t>
      </w:r>
      <w:r w:rsidR="005B3F8F" w:rsidRPr="000C2811">
        <w:rPr>
          <w:lang w:val="en-US"/>
        </w:rPr>
        <w:t>pared to an undischarged cell.</w:t>
      </w:r>
    </w:p>
    <w:p w:rsidR="003F6938" w:rsidRPr="001D715A" w:rsidRDefault="00615876" w:rsidP="00925F3C">
      <w:pPr>
        <w:pStyle w:val="SingleTxtG"/>
        <w:numPr>
          <w:ilvl w:val="0"/>
          <w:numId w:val="7"/>
        </w:numPr>
        <w:ind w:left="1134" w:firstLine="0"/>
        <w:rPr>
          <w:lang w:val="en-US"/>
        </w:rPr>
      </w:pPr>
      <w:r w:rsidRPr="001D715A">
        <w:rPr>
          <w:lang w:val="en-US"/>
        </w:rPr>
        <w:t>Consistent with Sub-Committee</w:t>
      </w:r>
      <w:r w:rsidR="007A220B" w:rsidRPr="001D715A">
        <w:rPr>
          <w:lang w:val="en-US"/>
        </w:rPr>
        <w:t xml:space="preserve">’s decision </w:t>
      </w:r>
      <w:r w:rsidRPr="001D715A">
        <w:rPr>
          <w:lang w:val="en-US"/>
        </w:rPr>
        <w:t xml:space="preserve">in 2008 regarding the testing of discharged lithium ion cells, we are </w:t>
      </w:r>
      <w:r w:rsidRPr="001D715A">
        <w:rPr>
          <w:i/>
          <w:lang w:val="en-US"/>
        </w:rPr>
        <w:t>not</w:t>
      </w:r>
      <w:r w:rsidRPr="001D715A">
        <w:rPr>
          <w:lang w:val="en-US"/>
        </w:rPr>
        <w:t xml:space="preserve"> proposing to </w:t>
      </w:r>
      <w:r w:rsidR="00070E80" w:rsidRPr="001D715A">
        <w:rPr>
          <w:lang w:val="en-US"/>
        </w:rPr>
        <w:t xml:space="preserve">eliminate </w:t>
      </w:r>
      <w:r w:rsidRPr="001D715A">
        <w:rPr>
          <w:lang w:val="en-US"/>
        </w:rPr>
        <w:t xml:space="preserve">the testing requirements in the T.8 </w:t>
      </w:r>
      <w:r w:rsidR="00BD2812" w:rsidRPr="001D715A">
        <w:rPr>
          <w:lang w:val="en-US"/>
        </w:rPr>
        <w:t>Forced d</w:t>
      </w:r>
      <w:r w:rsidRPr="001D715A">
        <w:rPr>
          <w:lang w:val="en-US"/>
        </w:rPr>
        <w:t xml:space="preserve">ischarge test for primary </w:t>
      </w:r>
      <w:r w:rsidR="007B3F99" w:rsidRPr="001D715A">
        <w:rPr>
          <w:lang w:val="en-US"/>
        </w:rPr>
        <w:t>lithium</w:t>
      </w:r>
      <w:r w:rsidR="003F6938" w:rsidRPr="001D715A">
        <w:rPr>
          <w:lang w:val="en-US"/>
        </w:rPr>
        <w:t xml:space="preserve"> </w:t>
      </w:r>
      <w:r w:rsidRPr="001D715A">
        <w:rPr>
          <w:lang w:val="en-US"/>
        </w:rPr>
        <w:t>cells</w:t>
      </w:r>
      <w:r w:rsidR="003F6938" w:rsidRPr="001D715A">
        <w:rPr>
          <w:lang w:val="en-US"/>
        </w:rPr>
        <w:t xml:space="preserve">.  That is, cells will still be subject to a forced discharge at an initial current equal to the maximum discharge current specified by the cell manufacturer. The test requires </w:t>
      </w:r>
      <w:r w:rsidR="0056479F" w:rsidRPr="001D715A">
        <w:rPr>
          <w:lang w:val="en-US"/>
        </w:rPr>
        <w:t>that there be no</w:t>
      </w:r>
      <w:r w:rsidR="003F6938" w:rsidRPr="001D715A">
        <w:rPr>
          <w:lang w:val="en-US"/>
        </w:rPr>
        <w:t xml:space="preserve"> disassembly and no fire during the test and within seven days after the test.</w:t>
      </w:r>
      <w:r w:rsidR="0056479F" w:rsidRPr="001D715A">
        <w:rPr>
          <w:lang w:val="en-US"/>
        </w:rPr>
        <w:t xml:space="preserve">  This </w:t>
      </w:r>
      <w:r w:rsidR="007B3F99" w:rsidRPr="001D715A">
        <w:rPr>
          <w:lang w:val="en-US"/>
        </w:rPr>
        <w:t>will</w:t>
      </w:r>
      <w:r w:rsidR="0056479F" w:rsidRPr="001D715A">
        <w:rPr>
          <w:lang w:val="en-US"/>
        </w:rPr>
        <w:t xml:space="preserve"> </w:t>
      </w:r>
      <w:r w:rsidR="00BD2812" w:rsidRPr="001D715A">
        <w:rPr>
          <w:lang w:val="en-US"/>
        </w:rPr>
        <w:t xml:space="preserve">help to </w:t>
      </w:r>
      <w:r w:rsidR="00D86AFA" w:rsidRPr="001D715A">
        <w:rPr>
          <w:lang w:val="en-US"/>
        </w:rPr>
        <w:t>identify any potential</w:t>
      </w:r>
      <w:r w:rsidR="00BD2812" w:rsidRPr="001D715A">
        <w:rPr>
          <w:lang w:val="en-US"/>
        </w:rPr>
        <w:t xml:space="preserve"> </w:t>
      </w:r>
      <w:r w:rsidR="0056479F" w:rsidRPr="001D715A">
        <w:rPr>
          <w:lang w:val="en-US"/>
        </w:rPr>
        <w:t>safety</w:t>
      </w:r>
      <w:r w:rsidR="00BD2812" w:rsidRPr="001D715A">
        <w:rPr>
          <w:lang w:val="en-US"/>
        </w:rPr>
        <w:t xml:space="preserve"> </w:t>
      </w:r>
      <w:r w:rsidR="00D86AFA" w:rsidRPr="001D715A">
        <w:rPr>
          <w:lang w:val="en-US"/>
        </w:rPr>
        <w:t xml:space="preserve">issues associated with a </w:t>
      </w:r>
      <w:r w:rsidR="007B3F99" w:rsidRPr="001D715A">
        <w:rPr>
          <w:lang w:val="en-US"/>
        </w:rPr>
        <w:t xml:space="preserve">primary lithium </w:t>
      </w:r>
      <w:r w:rsidR="00BD2812" w:rsidRPr="001D715A">
        <w:rPr>
          <w:lang w:val="en-US"/>
        </w:rPr>
        <w:t>cell at a discharged state</w:t>
      </w:r>
      <w:r w:rsidR="00D86AFA" w:rsidRPr="001D715A">
        <w:rPr>
          <w:lang w:val="en-US"/>
        </w:rPr>
        <w:t>.</w:t>
      </w:r>
    </w:p>
    <w:p w:rsidR="00EB3A62" w:rsidRPr="003F6938" w:rsidRDefault="00AE39AA" w:rsidP="00925F3C">
      <w:pPr>
        <w:pStyle w:val="SingleTxtG"/>
        <w:numPr>
          <w:ilvl w:val="0"/>
          <w:numId w:val="7"/>
        </w:numPr>
        <w:spacing w:after="240"/>
        <w:ind w:left="1134" w:firstLine="0"/>
        <w:rPr>
          <w:lang w:val="en-US"/>
        </w:rPr>
      </w:pPr>
      <w:r w:rsidRPr="003F6938">
        <w:rPr>
          <w:lang w:val="en-US"/>
        </w:rPr>
        <w:t xml:space="preserve">Included with this paper are </w:t>
      </w:r>
      <w:r w:rsidR="009278F3">
        <w:rPr>
          <w:lang w:val="en-US"/>
        </w:rPr>
        <w:t xml:space="preserve">excerpts from </w:t>
      </w:r>
      <w:r w:rsidR="000B0540" w:rsidRPr="003F6938">
        <w:rPr>
          <w:lang w:val="en-US"/>
        </w:rPr>
        <w:t xml:space="preserve">test </w:t>
      </w:r>
      <w:r w:rsidRPr="003F6938">
        <w:rPr>
          <w:lang w:val="en-US"/>
        </w:rPr>
        <w:t xml:space="preserve">data </w:t>
      </w:r>
      <w:r w:rsidR="003D3528">
        <w:rPr>
          <w:lang w:val="en-US"/>
        </w:rPr>
        <w:t xml:space="preserve">section 38.3 </w:t>
      </w:r>
      <w:r w:rsidR="000B0540" w:rsidRPr="003F6938">
        <w:rPr>
          <w:lang w:val="en-US"/>
        </w:rPr>
        <w:t>from</w:t>
      </w:r>
      <w:r w:rsidRPr="003F6938">
        <w:rPr>
          <w:lang w:val="en-US"/>
        </w:rPr>
        <w:t xml:space="preserve"> the most common primary lithium cell form factors</w:t>
      </w:r>
      <w:r w:rsidR="000B0540" w:rsidRPr="003F6938">
        <w:rPr>
          <w:lang w:val="en-US"/>
        </w:rPr>
        <w:t xml:space="preserve"> and chemistries on the market today</w:t>
      </w:r>
      <w:r w:rsidRPr="003F6938">
        <w:rPr>
          <w:lang w:val="en-US"/>
        </w:rPr>
        <w:t>: CR2032 button cells (LiMnO</w:t>
      </w:r>
      <w:r w:rsidR="000B0540" w:rsidRPr="003F6938">
        <w:rPr>
          <w:vertAlign w:val="subscript"/>
          <w:lang w:val="en-US"/>
        </w:rPr>
        <w:t>2</w:t>
      </w:r>
      <w:r w:rsidR="000B0540" w:rsidRPr="003F6938">
        <w:rPr>
          <w:lang w:val="en-US"/>
        </w:rPr>
        <w:t>),</w:t>
      </w:r>
      <w:r w:rsidRPr="003F6938">
        <w:rPr>
          <w:lang w:val="en-US"/>
        </w:rPr>
        <w:t xml:space="preserve"> CR123</w:t>
      </w:r>
      <w:r w:rsidR="006E6D9F" w:rsidRPr="003F6938">
        <w:rPr>
          <w:lang w:val="en-US"/>
        </w:rPr>
        <w:t>A</w:t>
      </w:r>
      <w:r w:rsidRPr="003F6938">
        <w:rPr>
          <w:lang w:val="en-US"/>
        </w:rPr>
        <w:t xml:space="preserve"> cylindr</w:t>
      </w:r>
      <w:r w:rsidR="000B0540" w:rsidRPr="003F6938">
        <w:rPr>
          <w:lang w:val="en-US"/>
        </w:rPr>
        <w:t>ical cells (LiMnO</w:t>
      </w:r>
      <w:r w:rsidR="000B0540" w:rsidRPr="003F6938">
        <w:rPr>
          <w:vertAlign w:val="subscript"/>
          <w:lang w:val="en-US"/>
        </w:rPr>
        <w:t>2</w:t>
      </w:r>
      <w:r w:rsidR="000B0540" w:rsidRPr="003F6938">
        <w:rPr>
          <w:lang w:val="en-US"/>
        </w:rPr>
        <w:t>), and AA cylindrica</w:t>
      </w:r>
      <w:r w:rsidR="00260844" w:rsidRPr="003F6938">
        <w:rPr>
          <w:lang w:val="en-US"/>
        </w:rPr>
        <w:t>l l</w:t>
      </w:r>
      <w:r w:rsidR="000B0540" w:rsidRPr="003F6938">
        <w:rPr>
          <w:lang w:val="en-US"/>
        </w:rPr>
        <w:t>ithium iron disulfide (LiFeS</w:t>
      </w:r>
      <w:r w:rsidR="000B0540" w:rsidRPr="003F6938">
        <w:rPr>
          <w:vertAlign w:val="subscript"/>
          <w:lang w:val="en-US"/>
        </w:rPr>
        <w:t>2</w:t>
      </w:r>
      <w:r w:rsidR="000B0540" w:rsidRPr="003F6938">
        <w:rPr>
          <w:lang w:val="en-US"/>
        </w:rPr>
        <w:t>)</w:t>
      </w:r>
      <w:r w:rsidR="00260844" w:rsidRPr="003F6938">
        <w:rPr>
          <w:lang w:val="en-US"/>
        </w:rPr>
        <w:t>.  The data show</w:t>
      </w:r>
      <w:r w:rsidR="00A277C7" w:rsidRPr="003F6938">
        <w:rPr>
          <w:lang w:val="en-US"/>
        </w:rPr>
        <w:t xml:space="preserve"> virtually no difference in results between </w:t>
      </w:r>
      <w:r w:rsidR="00260844" w:rsidRPr="003F6938">
        <w:rPr>
          <w:lang w:val="en-US"/>
        </w:rPr>
        <w:t xml:space="preserve">cells tested in the undischarged state and </w:t>
      </w:r>
      <w:r w:rsidR="00A277C7" w:rsidRPr="003F6938">
        <w:rPr>
          <w:lang w:val="en-US"/>
        </w:rPr>
        <w:t xml:space="preserve">cells tested in the </w:t>
      </w:r>
      <w:r w:rsidR="00260844" w:rsidRPr="003F6938">
        <w:rPr>
          <w:lang w:val="en-US"/>
        </w:rPr>
        <w:t>discharged</w:t>
      </w:r>
      <w:r w:rsidR="003D3528">
        <w:rPr>
          <w:lang w:val="en-US"/>
        </w:rPr>
        <w:t xml:space="preserve"> state</w:t>
      </w:r>
      <w:r w:rsidR="00A277C7" w:rsidRPr="003F6938">
        <w:rPr>
          <w:lang w:val="en-US"/>
        </w:rPr>
        <w:t xml:space="preserve">. </w:t>
      </w:r>
      <w:r w:rsidR="002B35A0" w:rsidRPr="003F6938">
        <w:rPr>
          <w:lang w:val="en-US"/>
        </w:rPr>
        <w:t xml:space="preserve"> In most cases, the discharged cell is less reactive (</w:t>
      </w:r>
      <w:r w:rsidR="00551732" w:rsidRPr="003F6938">
        <w:rPr>
          <w:i/>
          <w:lang w:val="en-US"/>
        </w:rPr>
        <w:t>e.g</w:t>
      </w:r>
      <w:r w:rsidR="00551732" w:rsidRPr="003F6938">
        <w:rPr>
          <w:lang w:val="en-US"/>
        </w:rPr>
        <w:t>.,</w:t>
      </w:r>
      <w:r w:rsidR="002B35A0" w:rsidRPr="003F6938">
        <w:rPr>
          <w:lang w:val="en-US"/>
        </w:rPr>
        <w:t xml:space="preserve"> lower temperat</w:t>
      </w:r>
      <w:r w:rsidR="00551732" w:rsidRPr="003F6938">
        <w:rPr>
          <w:lang w:val="en-US"/>
        </w:rPr>
        <w:t>ures</w:t>
      </w:r>
      <w:r w:rsidR="00A277C7" w:rsidRPr="003F6938">
        <w:rPr>
          <w:lang w:val="en-US"/>
        </w:rPr>
        <w:t xml:space="preserve"> </w:t>
      </w:r>
      <w:r w:rsidR="006E6D9F" w:rsidRPr="003F6938">
        <w:rPr>
          <w:lang w:val="en-US"/>
        </w:rPr>
        <w:t xml:space="preserve">after testing </w:t>
      </w:r>
      <w:r w:rsidR="00551732" w:rsidRPr="003F6938">
        <w:rPr>
          <w:lang w:val="en-US"/>
        </w:rPr>
        <w:t>in T.5 and T.6 tests)</w:t>
      </w:r>
      <w:r w:rsidR="006E6D9F" w:rsidRPr="003F6938">
        <w:rPr>
          <w:lang w:val="en-US"/>
        </w:rPr>
        <w:t>.</w:t>
      </w:r>
      <w:r w:rsidR="00551732" w:rsidRPr="003F6938">
        <w:rPr>
          <w:lang w:val="en-US"/>
        </w:rPr>
        <w:t xml:space="preserve"> </w:t>
      </w:r>
      <w:proofErr w:type="gramStart"/>
      <w:r w:rsidR="009278F3">
        <w:rPr>
          <w:lang w:val="en-US"/>
        </w:rPr>
        <w:t>All of</w:t>
      </w:r>
      <w:proofErr w:type="gramEnd"/>
      <w:r w:rsidR="009278F3">
        <w:rPr>
          <w:lang w:val="en-US"/>
        </w:rPr>
        <w:t xml:space="preserve"> the test data associated with the excerpts </w:t>
      </w:r>
      <w:r w:rsidR="003D3528">
        <w:rPr>
          <w:lang w:val="en-US"/>
        </w:rPr>
        <w:t>will be provided in a separate informal d</w:t>
      </w:r>
      <w:r w:rsidR="009278F3">
        <w:rPr>
          <w:lang w:val="en-US"/>
        </w:rPr>
        <w:t>ocument.</w:t>
      </w:r>
      <w:r w:rsidR="00260844" w:rsidRPr="003F6938">
        <w:rPr>
          <w:lang w:val="en-US"/>
        </w:rPr>
        <w:t xml:space="preserve"> </w:t>
      </w:r>
    </w:p>
    <w:p w:rsidR="00FE5040" w:rsidRDefault="000D69B7" w:rsidP="00FE5040">
      <w:pPr>
        <w:pStyle w:val="SingleTxtG"/>
        <w:tabs>
          <w:tab w:val="left" w:pos="1800"/>
        </w:tabs>
        <w:ind w:left="1170"/>
        <w:jc w:val="center"/>
        <w:rPr>
          <w:b/>
          <w:lang w:val="en-US"/>
        </w:rPr>
      </w:pPr>
      <w:r>
        <w:rPr>
          <w:b/>
          <w:lang w:val="en-US"/>
        </w:rPr>
        <w:t>T.2 Thermal t</w:t>
      </w:r>
      <w:r w:rsidR="00FE5040" w:rsidRPr="00925F3C">
        <w:rPr>
          <w:b/>
          <w:lang w:val="en-US"/>
        </w:rPr>
        <w:t xml:space="preserve">est on </w:t>
      </w:r>
      <w:r w:rsidR="008843CF" w:rsidRPr="00925F3C">
        <w:rPr>
          <w:b/>
          <w:lang w:val="en-US"/>
        </w:rPr>
        <w:t>LiMnO</w:t>
      </w:r>
      <w:r w:rsidR="008843CF" w:rsidRPr="00925F3C">
        <w:rPr>
          <w:b/>
          <w:vertAlign w:val="subscript"/>
          <w:lang w:val="en-US"/>
        </w:rPr>
        <w:t>2</w:t>
      </w:r>
      <w:r w:rsidR="008843CF" w:rsidRPr="00925F3C">
        <w:rPr>
          <w:b/>
          <w:lang w:val="en-US"/>
        </w:rPr>
        <w:t xml:space="preserve">, </w:t>
      </w:r>
      <w:r w:rsidR="005340D1" w:rsidRPr="00925F3C">
        <w:rPr>
          <w:b/>
          <w:lang w:val="en-US"/>
        </w:rPr>
        <w:t>CR123A</w:t>
      </w:r>
      <w:r w:rsidR="008843CF" w:rsidRPr="00925F3C">
        <w:rPr>
          <w:b/>
          <w:lang w:val="en-US"/>
        </w:rPr>
        <w:t xml:space="preserve"> </w:t>
      </w:r>
      <w:r>
        <w:rPr>
          <w:b/>
          <w:lang w:val="en-US"/>
        </w:rPr>
        <w:t>c</w:t>
      </w:r>
      <w:r w:rsidR="008843CF" w:rsidRPr="00925F3C">
        <w:rPr>
          <w:b/>
          <w:lang w:val="en-US"/>
        </w:rPr>
        <w:t>ell</w:t>
      </w:r>
    </w:p>
    <w:tbl>
      <w:tblPr>
        <w:tblStyle w:val="TableGrid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997"/>
        <w:gridCol w:w="930"/>
        <w:gridCol w:w="850"/>
        <w:gridCol w:w="1134"/>
        <w:gridCol w:w="851"/>
        <w:gridCol w:w="850"/>
        <w:gridCol w:w="851"/>
        <w:gridCol w:w="992"/>
      </w:tblGrid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D69B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Sample No.</w:t>
            </w:r>
          </w:p>
        </w:tc>
        <w:tc>
          <w:tcPr>
            <w:tcW w:w="997" w:type="dxa"/>
          </w:tcPr>
          <w:p w:rsidR="00051450" w:rsidRPr="00051450" w:rsidRDefault="00051450" w:rsidP="000D69B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Sample condition</w:t>
            </w:r>
          </w:p>
        </w:tc>
        <w:tc>
          <w:tcPr>
            <w:tcW w:w="930" w:type="dxa"/>
          </w:tcPr>
          <w:p w:rsidR="00051450" w:rsidRPr="00051450" w:rsidRDefault="00051450" w:rsidP="000D69B7">
            <w:pPr>
              <w:pStyle w:val="SingleTxtG"/>
              <w:tabs>
                <w:tab w:val="left" w:pos="1800"/>
              </w:tabs>
              <w:ind w:left="0" w:right="51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Weight before test in grams</w:t>
            </w:r>
          </w:p>
        </w:tc>
        <w:tc>
          <w:tcPr>
            <w:tcW w:w="850" w:type="dxa"/>
          </w:tcPr>
          <w:p w:rsidR="00051450" w:rsidRPr="00051450" w:rsidRDefault="00051450" w:rsidP="000D69B7">
            <w:pPr>
              <w:pStyle w:val="SingleTxtG"/>
              <w:tabs>
                <w:tab w:val="left" w:pos="1800"/>
              </w:tabs>
              <w:ind w:left="0" w:right="10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Weight after test in grams</w:t>
            </w:r>
          </w:p>
        </w:tc>
        <w:tc>
          <w:tcPr>
            <w:tcW w:w="1134" w:type="dxa"/>
          </w:tcPr>
          <w:p w:rsidR="00051450" w:rsidRPr="00051450" w:rsidRDefault="00051450" w:rsidP="000D69B7">
            <w:pPr>
              <w:pStyle w:val="SingleTxtG"/>
              <w:ind w:left="0" w:right="0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Percentage of weight loss</w:t>
            </w:r>
          </w:p>
        </w:tc>
        <w:tc>
          <w:tcPr>
            <w:tcW w:w="851" w:type="dxa"/>
          </w:tcPr>
          <w:p w:rsidR="00051450" w:rsidRPr="00051450" w:rsidRDefault="00051450" w:rsidP="000D69B7">
            <w:pPr>
              <w:pStyle w:val="SingleTxtG"/>
              <w:tabs>
                <w:tab w:val="left" w:pos="1800"/>
              </w:tabs>
              <w:ind w:left="0" w:right="34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Voltage before test (V)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36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Voltage after test (V)</w:t>
            </w:r>
          </w:p>
        </w:tc>
        <w:tc>
          <w:tcPr>
            <w:tcW w:w="851" w:type="dxa"/>
          </w:tcPr>
          <w:p w:rsidR="00051450" w:rsidRPr="00051450" w:rsidRDefault="00051450" w:rsidP="000D69B7">
            <w:pPr>
              <w:pStyle w:val="SingleTxtG"/>
              <w:tabs>
                <w:tab w:val="left" w:pos="1800"/>
              </w:tabs>
              <w:ind w:left="-105" w:right="36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Percent of residual voltage</w:t>
            </w:r>
          </w:p>
        </w:tc>
        <w:tc>
          <w:tcPr>
            <w:tcW w:w="992" w:type="dxa"/>
          </w:tcPr>
          <w:p w:rsidR="00051450" w:rsidRPr="00051450" w:rsidRDefault="00051450" w:rsidP="000D69B7">
            <w:pPr>
              <w:pStyle w:val="SingleTxtG"/>
              <w:tabs>
                <w:tab w:val="left" w:pos="1800"/>
              </w:tabs>
              <w:ind w:left="-105" w:right="36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Results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S9788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16.498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16.487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0.067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S9789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16.428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16.417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0.067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S9790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16.582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16.576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0.036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S9791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16.587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16.582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0.030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--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S9792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16.482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16.473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0.055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3.187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3.246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S9793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16.565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16.562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0.018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3.184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3.246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S9794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16.374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16.368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0.037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3.193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3.249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S9795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16.554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16.549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0.030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3.195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3.250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jc w:val="center"/>
              <w:rPr>
                <w:sz w:val="18"/>
                <w:szCs w:val="18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  <w:tr w:rsidR="00051450" w:rsidRPr="00051450" w:rsidTr="00051450">
        <w:trPr>
          <w:jc w:val="center"/>
        </w:trPr>
        <w:tc>
          <w:tcPr>
            <w:tcW w:w="908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S9796</w:t>
            </w:r>
          </w:p>
        </w:tc>
        <w:tc>
          <w:tcPr>
            <w:tcW w:w="997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93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16.646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16.639</w:t>
            </w:r>
          </w:p>
        </w:tc>
        <w:tc>
          <w:tcPr>
            <w:tcW w:w="1134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0.042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3.167</w:t>
            </w:r>
          </w:p>
        </w:tc>
        <w:tc>
          <w:tcPr>
            <w:tcW w:w="850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3.241</w:t>
            </w:r>
          </w:p>
        </w:tc>
        <w:tc>
          <w:tcPr>
            <w:tcW w:w="851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100.000</w:t>
            </w:r>
          </w:p>
        </w:tc>
        <w:tc>
          <w:tcPr>
            <w:tcW w:w="992" w:type="dxa"/>
          </w:tcPr>
          <w:p w:rsidR="00051450" w:rsidRPr="00051450" w:rsidRDefault="00051450" w:rsidP="00051450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(6), (7)</w:t>
            </w:r>
          </w:p>
        </w:tc>
      </w:tr>
    </w:tbl>
    <w:p w:rsidR="00051450" w:rsidRDefault="005340D1" w:rsidP="005340D1">
      <w:pPr>
        <w:pStyle w:val="SingleTxtG"/>
        <w:tabs>
          <w:tab w:val="left" w:pos="1800"/>
        </w:tabs>
        <w:ind w:left="4320" w:hanging="3150"/>
        <w:rPr>
          <w:lang w:val="en-US"/>
        </w:rPr>
      </w:pPr>
      <w:r>
        <w:rPr>
          <w:sz w:val="24"/>
          <w:szCs w:val="24"/>
          <w:lang w:val="en-US"/>
        </w:rPr>
        <w:t>(</w:t>
      </w:r>
      <w:r w:rsidRPr="005340D1">
        <w:rPr>
          <w:lang w:val="en-US"/>
        </w:rPr>
        <w:t xml:space="preserve">A) Discharged </w:t>
      </w:r>
    </w:p>
    <w:p w:rsidR="005340D1" w:rsidRDefault="005340D1" w:rsidP="005340D1">
      <w:pPr>
        <w:pStyle w:val="SingleTxtG"/>
        <w:tabs>
          <w:tab w:val="left" w:pos="1800"/>
        </w:tabs>
        <w:ind w:left="4320" w:hanging="3150"/>
        <w:rPr>
          <w:lang w:val="en-US"/>
        </w:rPr>
      </w:pPr>
      <w:r w:rsidRPr="005340D1">
        <w:rPr>
          <w:lang w:val="en-US"/>
        </w:rPr>
        <w:t>(B) Undischarged</w:t>
      </w:r>
    </w:p>
    <w:p w:rsidR="00D05F0F" w:rsidRDefault="005340D1" w:rsidP="005340D1">
      <w:pPr>
        <w:pStyle w:val="SingleTxtG"/>
        <w:tabs>
          <w:tab w:val="left" w:pos="1800"/>
        </w:tabs>
        <w:ind w:left="4320" w:hanging="3150"/>
        <w:rPr>
          <w:lang w:val="en-US"/>
        </w:rPr>
      </w:pPr>
      <w:r w:rsidRPr="005340D1">
        <w:rPr>
          <w:lang w:val="en-US"/>
        </w:rPr>
        <w:t>(6)</w:t>
      </w:r>
      <w:r w:rsidR="00D05F0F">
        <w:rPr>
          <w:lang w:val="en-US"/>
        </w:rPr>
        <w:t xml:space="preserve"> </w:t>
      </w:r>
      <w:r w:rsidRPr="005340D1">
        <w:rPr>
          <w:lang w:val="en-US"/>
        </w:rPr>
        <w:t>No leakage, no venting, no disassembly, no rupture, no fire</w:t>
      </w:r>
    </w:p>
    <w:p w:rsidR="00260844" w:rsidRPr="005340D1" w:rsidRDefault="005340D1" w:rsidP="00051450">
      <w:pPr>
        <w:pStyle w:val="SingleTxtG"/>
        <w:tabs>
          <w:tab w:val="left" w:pos="1800"/>
        </w:tabs>
        <w:ind w:left="4320" w:hanging="3150"/>
        <w:rPr>
          <w:lang w:val="en-US"/>
        </w:rPr>
      </w:pPr>
      <w:r w:rsidRPr="005340D1">
        <w:rPr>
          <w:lang w:val="en-US"/>
        </w:rPr>
        <w:t>(7)</w:t>
      </w:r>
      <w:r>
        <w:rPr>
          <w:lang w:val="en-US"/>
        </w:rPr>
        <w:t xml:space="preserve"> </w:t>
      </w:r>
      <w:r w:rsidRPr="005340D1">
        <w:rPr>
          <w:lang w:val="en-US"/>
        </w:rPr>
        <w:t>Open circuit voltage after testing was greater than 90%</w:t>
      </w:r>
    </w:p>
    <w:p w:rsidR="00925F3C" w:rsidRDefault="00925F3C">
      <w:pPr>
        <w:suppressAutoHyphens w:val="0"/>
        <w:spacing w:after="160"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102FD5" w:rsidRPr="00925F3C" w:rsidRDefault="00102FD5" w:rsidP="002B35A0">
      <w:pPr>
        <w:pStyle w:val="SingleTxtG"/>
        <w:ind w:left="1080"/>
        <w:jc w:val="center"/>
        <w:rPr>
          <w:lang w:val="en-US"/>
        </w:rPr>
      </w:pPr>
      <w:r w:rsidRPr="00925F3C">
        <w:rPr>
          <w:b/>
          <w:lang w:val="en-US"/>
        </w:rPr>
        <w:lastRenderedPageBreak/>
        <w:t>T.5 Ex</w:t>
      </w:r>
      <w:r w:rsidR="00551732" w:rsidRPr="00925F3C">
        <w:rPr>
          <w:b/>
          <w:lang w:val="en-US"/>
        </w:rPr>
        <w:t>t</w:t>
      </w:r>
      <w:r w:rsidRPr="00925F3C">
        <w:rPr>
          <w:b/>
          <w:lang w:val="en-US"/>
        </w:rPr>
        <w:t xml:space="preserve">ernal </w:t>
      </w:r>
      <w:r w:rsidR="009A45C7">
        <w:rPr>
          <w:b/>
          <w:lang w:val="en-US"/>
        </w:rPr>
        <w:t>t</w:t>
      </w:r>
      <w:r w:rsidRPr="00925F3C">
        <w:rPr>
          <w:b/>
          <w:lang w:val="en-US"/>
        </w:rPr>
        <w:t>est on LiMnO</w:t>
      </w:r>
      <w:r w:rsidRPr="00925F3C">
        <w:rPr>
          <w:b/>
          <w:vertAlign w:val="subscript"/>
          <w:lang w:val="en-US"/>
        </w:rPr>
        <w:t>2</w:t>
      </w:r>
      <w:r w:rsidRPr="00925F3C">
        <w:rPr>
          <w:b/>
          <w:lang w:val="en-US"/>
        </w:rPr>
        <w:t>,</w:t>
      </w:r>
      <w:r w:rsidRPr="00925F3C">
        <w:rPr>
          <w:b/>
          <w:vertAlign w:val="subscript"/>
          <w:lang w:val="en-US"/>
        </w:rPr>
        <w:t xml:space="preserve"> </w:t>
      </w:r>
      <w:r w:rsidRPr="00925F3C">
        <w:rPr>
          <w:b/>
          <w:lang w:val="en-US"/>
        </w:rPr>
        <w:t xml:space="preserve">CR123A </w:t>
      </w:r>
      <w:r w:rsidR="009A45C7">
        <w:rPr>
          <w:b/>
          <w:lang w:val="en-US"/>
        </w:rPr>
        <w:t>c</w:t>
      </w:r>
      <w:r w:rsidRPr="00925F3C">
        <w:rPr>
          <w:b/>
          <w:lang w:val="en-US"/>
        </w:rPr>
        <w:t>ell</w:t>
      </w:r>
    </w:p>
    <w:tbl>
      <w:tblPr>
        <w:tblStyle w:val="TableGrid"/>
        <w:tblW w:w="679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1559"/>
        <w:gridCol w:w="1134"/>
      </w:tblGrid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Sample No.</w:t>
            </w:r>
          </w:p>
        </w:tc>
        <w:tc>
          <w:tcPr>
            <w:tcW w:w="993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Sample condition</w:t>
            </w:r>
          </w:p>
        </w:tc>
        <w:tc>
          <w:tcPr>
            <w:tcW w:w="1417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34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Voltage before test (V)</w:t>
            </w:r>
          </w:p>
        </w:tc>
        <w:tc>
          <w:tcPr>
            <w:tcW w:w="1559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3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Maximum temperature °C</w:t>
            </w:r>
          </w:p>
        </w:tc>
        <w:tc>
          <w:tcPr>
            <w:tcW w:w="1134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-105" w:right="36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Results</w:t>
            </w:r>
          </w:p>
        </w:tc>
      </w:tr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S9788</w:t>
            </w:r>
          </w:p>
        </w:tc>
        <w:tc>
          <w:tcPr>
            <w:tcW w:w="993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1417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2.587</w:t>
            </w:r>
          </w:p>
        </w:tc>
        <w:tc>
          <w:tcPr>
            <w:tcW w:w="1559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56.5</w:t>
            </w:r>
          </w:p>
        </w:tc>
        <w:tc>
          <w:tcPr>
            <w:tcW w:w="1134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4</w:t>
            </w:r>
            <w:r w:rsidRPr="00051450">
              <w:rPr>
                <w:sz w:val="18"/>
                <w:szCs w:val="18"/>
                <w:lang w:val="en-US"/>
              </w:rPr>
              <w:t>), (</w:t>
            </w:r>
            <w:r>
              <w:rPr>
                <w:sz w:val="18"/>
                <w:szCs w:val="18"/>
                <w:lang w:val="en-US"/>
              </w:rPr>
              <w:t>5</w:t>
            </w:r>
            <w:r w:rsidRPr="00051450">
              <w:rPr>
                <w:sz w:val="18"/>
                <w:szCs w:val="18"/>
                <w:lang w:val="en-US"/>
              </w:rPr>
              <w:t>)</w:t>
            </w:r>
          </w:p>
        </w:tc>
      </w:tr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S9789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2.517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56.1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6B0047">
              <w:rPr>
                <w:sz w:val="18"/>
                <w:szCs w:val="18"/>
                <w:lang w:val="en-US"/>
              </w:rPr>
              <w:t>(4), (5)</w:t>
            </w:r>
          </w:p>
        </w:tc>
      </w:tr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S9790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2.675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55.7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6B0047">
              <w:rPr>
                <w:sz w:val="18"/>
                <w:szCs w:val="18"/>
                <w:lang w:val="en-US"/>
              </w:rPr>
              <w:t>(4), (5)</w:t>
            </w:r>
          </w:p>
        </w:tc>
      </w:tr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S9791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2.654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54.3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6B0047">
              <w:rPr>
                <w:sz w:val="18"/>
                <w:szCs w:val="18"/>
                <w:lang w:val="en-US"/>
              </w:rPr>
              <w:t>(4), (5)</w:t>
            </w:r>
          </w:p>
        </w:tc>
      </w:tr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S9792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3.246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78.5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6B0047">
              <w:rPr>
                <w:sz w:val="18"/>
                <w:szCs w:val="18"/>
                <w:lang w:val="en-US"/>
              </w:rPr>
              <w:t>(4), (5)</w:t>
            </w:r>
          </w:p>
        </w:tc>
      </w:tr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S9793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3.245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80.1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6B0047">
              <w:rPr>
                <w:sz w:val="18"/>
                <w:szCs w:val="18"/>
                <w:lang w:val="en-US"/>
              </w:rPr>
              <w:t>(4), (5)</w:t>
            </w:r>
          </w:p>
        </w:tc>
      </w:tr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S9794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3.248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88.0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6B0047">
              <w:rPr>
                <w:sz w:val="18"/>
                <w:szCs w:val="18"/>
                <w:lang w:val="en-US"/>
              </w:rPr>
              <w:t>(4), (5)</w:t>
            </w:r>
          </w:p>
        </w:tc>
      </w:tr>
      <w:tr w:rsidR="009A45C7" w:rsidRPr="00051450" w:rsidTr="009A45C7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S9795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3.251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84.3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6B0047">
              <w:rPr>
                <w:sz w:val="18"/>
                <w:szCs w:val="18"/>
                <w:lang w:val="en-US"/>
              </w:rPr>
              <w:t>(4), (5)</w:t>
            </w:r>
          </w:p>
        </w:tc>
      </w:tr>
    </w:tbl>
    <w:p w:rsidR="009A45C7" w:rsidRDefault="00102FD5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  <w:r>
        <w:rPr>
          <w:sz w:val="24"/>
          <w:szCs w:val="24"/>
          <w:lang w:val="en-US"/>
        </w:rPr>
        <w:t>(</w:t>
      </w:r>
      <w:r w:rsidRPr="005340D1">
        <w:rPr>
          <w:lang w:val="en-US"/>
        </w:rPr>
        <w:t xml:space="preserve">A) Discharged </w:t>
      </w:r>
    </w:p>
    <w:p w:rsidR="00102FD5" w:rsidRDefault="00102FD5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  <w:r w:rsidRPr="005340D1">
        <w:rPr>
          <w:lang w:val="en-US"/>
        </w:rPr>
        <w:t>(B) Undischarged</w:t>
      </w:r>
    </w:p>
    <w:p w:rsidR="00102FD5" w:rsidRPr="00102FD5" w:rsidRDefault="00102FD5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  <w:r w:rsidRPr="00102FD5">
        <w:rPr>
          <w:lang w:val="en-US"/>
        </w:rPr>
        <w:t>(4) No d</w:t>
      </w:r>
      <w:r>
        <w:rPr>
          <w:lang w:val="en-US"/>
        </w:rPr>
        <w:t>isassembly, no rupture, no fire</w:t>
      </w:r>
    </w:p>
    <w:p w:rsidR="00102FD5" w:rsidRDefault="00102FD5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  <w:r w:rsidRPr="00102FD5">
        <w:rPr>
          <w:lang w:val="en-US"/>
        </w:rPr>
        <w:t>(5) The maximum</w:t>
      </w:r>
      <w:r>
        <w:rPr>
          <w:lang w:val="en-US"/>
        </w:rPr>
        <w:t xml:space="preserve"> temperature did not exceed 170 </w:t>
      </w:r>
      <w:r w:rsidR="00510E61">
        <w:rPr>
          <w:lang w:val="en-US"/>
        </w:rPr>
        <w:t>°</w:t>
      </w:r>
      <w:r w:rsidRPr="00102FD5">
        <w:rPr>
          <w:lang w:val="en-US"/>
        </w:rPr>
        <w:t>C</w:t>
      </w:r>
    </w:p>
    <w:p w:rsidR="00074621" w:rsidRDefault="00074621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</w:p>
    <w:p w:rsidR="00510E61" w:rsidRPr="00925F3C" w:rsidRDefault="00510E61" w:rsidP="00074621">
      <w:pPr>
        <w:pStyle w:val="SingleTxtG"/>
        <w:spacing w:after="240" w:line="240" w:lineRule="auto"/>
        <w:ind w:left="1077"/>
        <w:jc w:val="center"/>
        <w:rPr>
          <w:lang w:val="en-US"/>
        </w:rPr>
      </w:pPr>
      <w:r w:rsidRPr="00925F3C">
        <w:rPr>
          <w:b/>
          <w:lang w:val="en-US"/>
        </w:rPr>
        <w:t>T.</w:t>
      </w:r>
      <w:r w:rsidR="002B35A0" w:rsidRPr="00925F3C">
        <w:rPr>
          <w:b/>
          <w:lang w:val="en-US"/>
        </w:rPr>
        <w:t>6</w:t>
      </w:r>
      <w:r w:rsidRPr="00925F3C">
        <w:rPr>
          <w:b/>
          <w:lang w:val="en-US"/>
        </w:rPr>
        <w:t xml:space="preserve"> </w:t>
      </w:r>
      <w:r w:rsidR="002B35A0" w:rsidRPr="00925F3C">
        <w:rPr>
          <w:b/>
          <w:lang w:val="en-US"/>
        </w:rPr>
        <w:t>Crush</w:t>
      </w:r>
      <w:r w:rsidR="009A45C7">
        <w:rPr>
          <w:b/>
          <w:lang w:val="en-US"/>
        </w:rPr>
        <w:t xml:space="preserve"> t</w:t>
      </w:r>
      <w:r w:rsidRPr="00925F3C">
        <w:rPr>
          <w:b/>
          <w:lang w:val="en-US"/>
        </w:rPr>
        <w:t>est on LiMnO</w:t>
      </w:r>
      <w:r w:rsidRPr="00925F3C">
        <w:rPr>
          <w:b/>
          <w:vertAlign w:val="subscript"/>
          <w:lang w:val="en-US"/>
        </w:rPr>
        <w:t>2</w:t>
      </w:r>
      <w:r w:rsidRPr="00925F3C">
        <w:rPr>
          <w:b/>
          <w:lang w:val="en-US"/>
        </w:rPr>
        <w:t>,</w:t>
      </w:r>
      <w:r w:rsidRPr="00925F3C">
        <w:rPr>
          <w:b/>
          <w:vertAlign w:val="subscript"/>
          <w:lang w:val="en-US"/>
        </w:rPr>
        <w:t xml:space="preserve"> </w:t>
      </w:r>
      <w:r w:rsidR="009A45C7">
        <w:rPr>
          <w:b/>
          <w:lang w:val="en-US"/>
        </w:rPr>
        <w:t>CR123A c</w:t>
      </w:r>
      <w:r w:rsidRPr="00925F3C">
        <w:rPr>
          <w:b/>
          <w:lang w:val="en-US"/>
        </w:rPr>
        <w:t>ell</w:t>
      </w:r>
    </w:p>
    <w:tbl>
      <w:tblPr>
        <w:tblStyle w:val="TableGrid"/>
        <w:tblW w:w="679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1559"/>
        <w:gridCol w:w="1134"/>
      </w:tblGrid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Sample No.</w:t>
            </w:r>
          </w:p>
        </w:tc>
        <w:tc>
          <w:tcPr>
            <w:tcW w:w="993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Sample condition</w:t>
            </w:r>
          </w:p>
        </w:tc>
        <w:tc>
          <w:tcPr>
            <w:tcW w:w="1417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34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Voltage before test (V)</w:t>
            </w:r>
          </w:p>
        </w:tc>
        <w:tc>
          <w:tcPr>
            <w:tcW w:w="1559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3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Maximum temperature °C</w:t>
            </w:r>
          </w:p>
        </w:tc>
        <w:tc>
          <w:tcPr>
            <w:tcW w:w="1134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-105" w:right="36"/>
              <w:jc w:val="center"/>
              <w:rPr>
                <w:b/>
                <w:sz w:val="18"/>
                <w:szCs w:val="18"/>
                <w:lang w:val="en-US"/>
              </w:rPr>
            </w:pPr>
            <w:r w:rsidRPr="00051450">
              <w:rPr>
                <w:b/>
                <w:sz w:val="18"/>
                <w:szCs w:val="18"/>
                <w:lang w:val="en-US"/>
              </w:rPr>
              <w:t>Results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S9</w:t>
            </w: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993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1417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3.181</w:t>
            </w:r>
          </w:p>
        </w:tc>
        <w:tc>
          <w:tcPr>
            <w:tcW w:w="1559" w:type="dxa"/>
          </w:tcPr>
          <w:p w:rsidR="009A45C7" w:rsidRPr="00051450" w:rsidRDefault="009A45C7" w:rsidP="00370E23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23.7</w:t>
            </w:r>
          </w:p>
        </w:tc>
        <w:tc>
          <w:tcPr>
            <w:tcW w:w="1134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3</w:t>
            </w:r>
            <w:r w:rsidRPr="00051450">
              <w:rPr>
                <w:sz w:val="18"/>
                <w:szCs w:val="18"/>
                <w:lang w:val="en-US"/>
              </w:rPr>
              <w:t>), (</w:t>
            </w:r>
            <w:r>
              <w:rPr>
                <w:sz w:val="18"/>
                <w:szCs w:val="18"/>
                <w:lang w:val="en-US"/>
              </w:rPr>
              <w:t>4</w:t>
            </w:r>
            <w:r w:rsidRPr="00051450">
              <w:rPr>
                <w:sz w:val="18"/>
                <w:szCs w:val="18"/>
                <w:lang w:val="en-US"/>
              </w:rPr>
              <w:t>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Default="009A45C7" w:rsidP="009A45C7">
            <w:pPr>
              <w:jc w:val="center"/>
            </w:pPr>
            <w:r w:rsidRPr="00A10194">
              <w:rPr>
                <w:sz w:val="18"/>
                <w:szCs w:val="18"/>
                <w:lang w:val="en-US"/>
              </w:rPr>
              <w:t>S980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3.185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26.2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Default="009A45C7" w:rsidP="009A45C7">
            <w:pPr>
              <w:jc w:val="center"/>
            </w:pPr>
            <w:r w:rsidRPr="00A10194">
              <w:rPr>
                <w:sz w:val="18"/>
                <w:szCs w:val="18"/>
                <w:lang w:val="en-US"/>
              </w:rPr>
              <w:t>S980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3.192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21.3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Default="009A45C7" w:rsidP="009A45C7">
            <w:pPr>
              <w:jc w:val="center"/>
            </w:pPr>
            <w:r w:rsidRPr="00A10194">
              <w:rPr>
                <w:sz w:val="18"/>
                <w:szCs w:val="18"/>
                <w:lang w:val="en-US"/>
              </w:rPr>
              <w:t>S980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(A)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3.184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Default="009A45C7" w:rsidP="009A45C7">
            <w:pPr>
              <w:jc w:val="center"/>
            </w:pPr>
            <w:r w:rsidRPr="00A10194">
              <w:rPr>
                <w:sz w:val="18"/>
                <w:szCs w:val="18"/>
                <w:lang w:val="en-US"/>
              </w:rPr>
              <w:t>S980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 w:rsidRPr="0005145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3.180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29.3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Default="009A45C7" w:rsidP="009A45C7">
            <w:pPr>
              <w:jc w:val="center"/>
            </w:pPr>
            <w:r w:rsidRPr="00A10194">
              <w:rPr>
                <w:sz w:val="18"/>
                <w:szCs w:val="18"/>
                <w:lang w:val="en-US"/>
              </w:rPr>
              <w:t>S980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2.701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22.8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Default="009A45C7" w:rsidP="009A45C7">
            <w:pPr>
              <w:jc w:val="center"/>
            </w:pPr>
            <w:r w:rsidRPr="00A10194">
              <w:rPr>
                <w:sz w:val="18"/>
                <w:szCs w:val="18"/>
                <w:lang w:val="en-US"/>
              </w:rPr>
              <w:t>S980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2.693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23.6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Default="009A45C7" w:rsidP="009A45C7">
            <w:pPr>
              <w:jc w:val="center"/>
            </w:pPr>
            <w:r w:rsidRPr="00A10194">
              <w:rPr>
                <w:sz w:val="18"/>
                <w:szCs w:val="18"/>
                <w:lang w:val="en-US"/>
              </w:rPr>
              <w:t>S980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2.592</w:t>
            </w:r>
          </w:p>
        </w:tc>
        <w:tc>
          <w:tcPr>
            <w:tcW w:w="1559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25.4</w:t>
            </w:r>
          </w:p>
        </w:tc>
        <w:tc>
          <w:tcPr>
            <w:tcW w:w="1134" w:type="dxa"/>
          </w:tcPr>
          <w:p w:rsidR="009A45C7" w:rsidRDefault="009A45C7" w:rsidP="009A45C7">
            <w:pPr>
              <w:jc w:val="center"/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A10194">
              <w:rPr>
                <w:sz w:val="18"/>
                <w:szCs w:val="18"/>
                <w:lang w:val="en-US"/>
              </w:rPr>
              <w:t>S98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2.576</w:t>
            </w:r>
          </w:p>
        </w:tc>
        <w:tc>
          <w:tcPr>
            <w:tcW w:w="1559" w:type="dxa"/>
          </w:tcPr>
          <w:p w:rsidR="009A45C7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26.4</w:t>
            </w:r>
          </w:p>
        </w:tc>
        <w:tc>
          <w:tcPr>
            <w:tcW w:w="1134" w:type="dxa"/>
          </w:tcPr>
          <w:p w:rsidR="009A45C7" w:rsidRPr="003E0491" w:rsidRDefault="009A45C7" w:rsidP="009A45C7">
            <w:pPr>
              <w:jc w:val="center"/>
              <w:rPr>
                <w:sz w:val="18"/>
                <w:szCs w:val="18"/>
                <w:lang w:val="en-US"/>
              </w:rPr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  <w:tr w:rsidR="009A45C7" w:rsidRPr="00051450" w:rsidTr="00370E23">
        <w:trPr>
          <w:jc w:val="center"/>
        </w:trPr>
        <w:tc>
          <w:tcPr>
            <w:tcW w:w="1696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A10194">
              <w:rPr>
                <w:sz w:val="18"/>
                <w:szCs w:val="18"/>
                <w:lang w:val="en-US"/>
              </w:rPr>
              <w:t>S98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9A45C7" w:rsidRPr="00051450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051450">
              <w:rPr>
                <w:sz w:val="18"/>
                <w:szCs w:val="18"/>
                <w:lang w:val="en-US"/>
              </w:rPr>
              <w:t>(B)</w:t>
            </w:r>
          </w:p>
        </w:tc>
        <w:tc>
          <w:tcPr>
            <w:tcW w:w="1417" w:type="dxa"/>
          </w:tcPr>
          <w:p w:rsidR="009A45C7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2.588</w:t>
            </w:r>
          </w:p>
        </w:tc>
        <w:tc>
          <w:tcPr>
            <w:tcW w:w="1559" w:type="dxa"/>
          </w:tcPr>
          <w:p w:rsidR="009A45C7" w:rsidRDefault="009A45C7" w:rsidP="009A45C7">
            <w:pPr>
              <w:pStyle w:val="SingleTxtG"/>
              <w:tabs>
                <w:tab w:val="left" w:pos="1800"/>
              </w:tabs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23.8</w:t>
            </w:r>
          </w:p>
        </w:tc>
        <w:tc>
          <w:tcPr>
            <w:tcW w:w="1134" w:type="dxa"/>
          </w:tcPr>
          <w:p w:rsidR="009A45C7" w:rsidRPr="003E0491" w:rsidRDefault="009A45C7" w:rsidP="009A45C7">
            <w:pPr>
              <w:jc w:val="center"/>
              <w:rPr>
                <w:sz w:val="18"/>
                <w:szCs w:val="18"/>
                <w:lang w:val="en-US"/>
              </w:rPr>
            </w:pPr>
            <w:r w:rsidRPr="003E0491">
              <w:rPr>
                <w:sz w:val="18"/>
                <w:szCs w:val="18"/>
                <w:lang w:val="en-US"/>
              </w:rPr>
              <w:t>(3), (4)</w:t>
            </w:r>
          </w:p>
        </w:tc>
      </w:tr>
    </w:tbl>
    <w:p w:rsidR="009A45C7" w:rsidRDefault="002B35A0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  <w:r>
        <w:rPr>
          <w:sz w:val="24"/>
          <w:szCs w:val="24"/>
          <w:lang w:val="en-US"/>
        </w:rPr>
        <w:t>(</w:t>
      </w:r>
      <w:r>
        <w:rPr>
          <w:lang w:val="en-US"/>
        </w:rPr>
        <w:t>A) Undischarged</w:t>
      </w:r>
    </w:p>
    <w:p w:rsidR="002B35A0" w:rsidRDefault="002B35A0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  <w:r w:rsidRPr="005340D1">
        <w:rPr>
          <w:lang w:val="en-US"/>
        </w:rPr>
        <w:t xml:space="preserve">(B) </w:t>
      </w:r>
      <w:r>
        <w:rPr>
          <w:lang w:val="en-US"/>
        </w:rPr>
        <w:t>D</w:t>
      </w:r>
      <w:r w:rsidRPr="005340D1">
        <w:rPr>
          <w:lang w:val="en-US"/>
        </w:rPr>
        <w:t>ischarged</w:t>
      </w:r>
    </w:p>
    <w:p w:rsidR="002B35A0" w:rsidRDefault="002B35A0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  <w:r w:rsidRPr="002B35A0">
        <w:rPr>
          <w:lang w:val="en-US"/>
        </w:rPr>
        <w:t>(3) No disassembly, no fire</w:t>
      </w:r>
    </w:p>
    <w:p w:rsidR="00510E61" w:rsidRDefault="002B35A0" w:rsidP="00074621">
      <w:pPr>
        <w:pStyle w:val="SingleTxtG"/>
        <w:tabs>
          <w:tab w:val="left" w:pos="1800"/>
        </w:tabs>
        <w:ind w:left="4320" w:hanging="2902"/>
        <w:rPr>
          <w:lang w:val="en-US"/>
        </w:rPr>
      </w:pPr>
      <w:r w:rsidRPr="002B35A0">
        <w:rPr>
          <w:lang w:val="en-US"/>
        </w:rPr>
        <w:t xml:space="preserve">(4) The maximum temperature did not exceed </w:t>
      </w:r>
      <w:r w:rsidR="009E29CB">
        <w:rPr>
          <w:lang w:val="en-US"/>
        </w:rPr>
        <w:t>170 °</w:t>
      </w:r>
      <w:r w:rsidR="009E29CB" w:rsidRPr="00102FD5">
        <w:rPr>
          <w:lang w:val="en-US"/>
        </w:rPr>
        <w:t>C</w:t>
      </w:r>
    </w:p>
    <w:p w:rsidR="000E3282" w:rsidRDefault="00925F3C" w:rsidP="00074621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0E3282" w:rsidRPr="00AA5E6C">
        <w:rPr>
          <w:lang w:val="en-US"/>
        </w:rPr>
        <w:t>Proposal</w:t>
      </w:r>
    </w:p>
    <w:p w:rsidR="009A45C7" w:rsidRDefault="009A45C7" w:rsidP="00074621">
      <w:pPr>
        <w:pStyle w:val="SingleTxtG"/>
        <w:keepNext/>
        <w:keepLines/>
        <w:tabs>
          <w:tab w:val="left" w:pos="1701"/>
        </w:tabs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The proposed changes to the primary lithium cell and b</w:t>
      </w:r>
      <w:r w:rsidR="00074621">
        <w:rPr>
          <w:lang w:val="en-US"/>
        </w:rPr>
        <w:t xml:space="preserve">attery testing requirements in </w:t>
      </w:r>
      <w:r>
        <w:rPr>
          <w:lang w:val="en-US"/>
        </w:rPr>
        <w:t>38.3.3</w:t>
      </w:r>
      <w:r w:rsidR="00074621">
        <w:rPr>
          <w:lang w:val="en-US"/>
        </w:rPr>
        <w:t xml:space="preserve"> (a) and (c)</w:t>
      </w:r>
      <w:r>
        <w:rPr>
          <w:lang w:val="en-US"/>
        </w:rPr>
        <w:t xml:space="preserve"> </w:t>
      </w:r>
      <w:r w:rsidR="00074621">
        <w:rPr>
          <w:lang w:val="en-US"/>
        </w:rPr>
        <w:t xml:space="preserve">(Manual of Tests and Criteria, Rev.6, Amendment 1) </w:t>
      </w:r>
      <w:r>
        <w:rPr>
          <w:lang w:val="en-US"/>
        </w:rPr>
        <w:t>are provided below.</w:t>
      </w:r>
    </w:p>
    <w:p w:rsidR="00164B5A" w:rsidRDefault="009A45C7" w:rsidP="00925F3C">
      <w:pPr>
        <w:pStyle w:val="SingleTxtG"/>
        <w:rPr>
          <w:lang w:val="en-US"/>
        </w:rPr>
      </w:pPr>
      <w:r>
        <w:rPr>
          <w:lang w:val="en-US"/>
        </w:rPr>
        <w:t>“</w:t>
      </w:r>
      <w:r w:rsidR="00164B5A">
        <w:rPr>
          <w:lang w:val="en-US"/>
        </w:rPr>
        <w:t>38.3.3</w:t>
      </w:r>
      <w:r w:rsidR="00164B5A">
        <w:rPr>
          <w:lang w:val="en-US"/>
        </w:rPr>
        <w:tab/>
      </w:r>
      <w:r w:rsidR="00164B5A" w:rsidRPr="00925F3C">
        <w:t>When</w:t>
      </w:r>
      <w:r w:rsidR="00164B5A" w:rsidRPr="00164B5A">
        <w:rPr>
          <w:lang w:val="en-US"/>
        </w:rPr>
        <w:t xml:space="preserve"> a cell or battery type is to be tested under this sub-section, the number and condition</w:t>
      </w:r>
      <w:r w:rsidR="00164B5A">
        <w:rPr>
          <w:lang w:val="en-US"/>
        </w:rPr>
        <w:t xml:space="preserve"> </w:t>
      </w:r>
      <w:r w:rsidR="00164B5A" w:rsidRPr="00164B5A">
        <w:rPr>
          <w:lang w:val="en-US"/>
        </w:rPr>
        <w:t>of cells and batteries of each type to be tested are as follows:</w:t>
      </w:r>
    </w:p>
    <w:p w:rsidR="00164B5A" w:rsidRPr="00164B5A" w:rsidRDefault="00164B5A" w:rsidP="00925F3C">
      <w:pPr>
        <w:pStyle w:val="SingleTxtG"/>
        <w:tabs>
          <w:tab w:val="left" w:pos="2552"/>
        </w:tabs>
        <w:ind w:left="2552" w:hanging="425"/>
        <w:rPr>
          <w:lang w:val="en-US"/>
        </w:rPr>
      </w:pPr>
      <w:r w:rsidRPr="00164B5A">
        <w:rPr>
          <w:lang w:val="en-US"/>
        </w:rPr>
        <w:t xml:space="preserve">(a) </w:t>
      </w:r>
      <w:r>
        <w:rPr>
          <w:lang w:val="en-US"/>
        </w:rPr>
        <w:tab/>
      </w:r>
      <w:r w:rsidRPr="00164B5A">
        <w:rPr>
          <w:lang w:val="en-US"/>
        </w:rPr>
        <w:t xml:space="preserve">When </w:t>
      </w:r>
      <w:r w:rsidRPr="00925F3C">
        <w:t>testing</w:t>
      </w:r>
      <w:r w:rsidRPr="00164B5A">
        <w:rPr>
          <w:lang w:val="en-US"/>
        </w:rPr>
        <w:t xml:space="preserve"> primary cells and batteries under tests T.l to T.5 the following shall be</w:t>
      </w:r>
      <w:r>
        <w:rPr>
          <w:lang w:val="en-US"/>
        </w:rPr>
        <w:t xml:space="preserve"> </w:t>
      </w:r>
      <w:r w:rsidRPr="00164B5A">
        <w:rPr>
          <w:lang w:val="en-US"/>
        </w:rPr>
        <w:t>tested in the quantity indicated:</w:t>
      </w:r>
    </w:p>
    <w:p w:rsidR="00164B5A" w:rsidRPr="00925F3C" w:rsidRDefault="00164B5A" w:rsidP="00074621">
      <w:pPr>
        <w:pStyle w:val="SingleTxtG"/>
        <w:ind w:left="3119" w:hanging="567"/>
      </w:pPr>
      <w:r w:rsidRPr="00925F3C">
        <w:t>(</w:t>
      </w:r>
      <w:proofErr w:type="spellStart"/>
      <w:r w:rsidRPr="00925F3C">
        <w:t>i</w:t>
      </w:r>
      <w:proofErr w:type="spellEnd"/>
      <w:r w:rsidRPr="00925F3C">
        <w:t xml:space="preserve">) </w:t>
      </w:r>
      <w:r w:rsidRPr="00925F3C">
        <w:tab/>
        <w:t>ten cells in undischarged states;</w:t>
      </w:r>
    </w:p>
    <w:p w:rsidR="00164B5A" w:rsidRPr="00925F3C" w:rsidRDefault="00164B5A" w:rsidP="00074621">
      <w:pPr>
        <w:pStyle w:val="SingleTxtG"/>
        <w:ind w:left="3119" w:hanging="567"/>
      </w:pPr>
      <w:r w:rsidRPr="00074621">
        <w:rPr>
          <w:strike/>
        </w:rPr>
        <w:t xml:space="preserve">(ii) </w:t>
      </w:r>
      <w:r w:rsidRPr="00074621">
        <w:rPr>
          <w:strike/>
        </w:rPr>
        <w:tab/>
      </w:r>
      <w:r w:rsidRPr="00925F3C">
        <w:rPr>
          <w:strike/>
        </w:rPr>
        <w:t>ten cells in fully discharged states</w:t>
      </w:r>
      <w:r w:rsidRPr="00925F3C">
        <w:t>;</w:t>
      </w:r>
    </w:p>
    <w:p w:rsidR="00164B5A" w:rsidRPr="00925F3C" w:rsidRDefault="00164B5A" w:rsidP="00074621">
      <w:pPr>
        <w:pStyle w:val="SingleTxtG"/>
        <w:ind w:left="3119" w:hanging="567"/>
      </w:pPr>
      <w:r w:rsidRPr="00925F3C">
        <w:t>(ii</w:t>
      </w:r>
      <w:r w:rsidRPr="00074621">
        <w:rPr>
          <w:strike/>
        </w:rPr>
        <w:t>i</w:t>
      </w:r>
      <w:r w:rsidRPr="00925F3C">
        <w:t xml:space="preserve">) </w:t>
      </w:r>
      <w:r w:rsidR="00074621">
        <w:tab/>
      </w:r>
      <w:r w:rsidRPr="00925F3C">
        <w:t>four small batteries in undischarged states;</w:t>
      </w:r>
    </w:p>
    <w:p w:rsidR="00164B5A" w:rsidRPr="00925F3C" w:rsidRDefault="00164B5A" w:rsidP="00074621">
      <w:pPr>
        <w:pStyle w:val="SingleTxtG"/>
        <w:ind w:left="3119" w:hanging="567"/>
      </w:pPr>
      <w:r w:rsidRPr="00074621">
        <w:rPr>
          <w:strike/>
        </w:rPr>
        <w:t xml:space="preserve">(iv) </w:t>
      </w:r>
      <w:r w:rsidR="00074621">
        <w:rPr>
          <w:strike/>
        </w:rPr>
        <w:tab/>
      </w:r>
      <w:r w:rsidRPr="00074621">
        <w:rPr>
          <w:strike/>
        </w:rPr>
        <w:t>four</w:t>
      </w:r>
      <w:r w:rsidRPr="00925F3C">
        <w:rPr>
          <w:strike/>
        </w:rPr>
        <w:t xml:space="preserve"> </w:t>
      </w:r>
      <w:r w:rsidR="009C7E4E" w:rsidRPr="00925F3C">
        <w:rPr>
          <w:strike/>
        </w:rPr>
        <w:t xml:space="preserve">small batteries </w:t>
      </w:r>
      <w:r w:rsidRPr="00925F3C">
        <w:rPr>
          <w:strike/>
        </w:rPr>
        <w:t>in fully discharged states</w:t>
      </w:r>
      <w:r w:rsidRPr="00925F3C">
        <w:t>;</w:t>
      </w:r>
    </w:p>
    <w:p w:rsidR="00164B5A" w:rsidRPr="00925F3C" w:rsidRDefault="00074621" w:rsidP="00074621">
      <w:pPr>
        <w:pStyle w:val="SingleTxtG"/>
        <w:ind w:left="3119" w:hanging="567"/>
      </w:pPr>
      <w:r w:rsidRPr="00074621">
        <w:t>(iii)</w:t>
      </w:r>
      <w:r>
        <w:rPr>
          <w:strike/>
        </w:rPr>
        <w:t xml:space="preserve"> </w:t>
      </w:r>
      <w:r w:rsidR="00164B5A" w:rsidRPr="00074621">
        <w:rPr>
          <w:strike/>
        </w:rPr>
        <w:t>(v)</w:t>
      </w:r>
      <w:r w:rsidR="00164B5A" w:rsidRPr="00925F3C">
        <w:t xml:space="preserve"> four large batteries in undischarged states</w:t>
      </w:r>
      <w:r w:rsidR="00164B5A" w:rsidRPr="00074621">
        <w:rPr>
          <w:strike/>
        </w:rPr>
        <w:t>; and</w:t>
      </w:r>
    </w:p>
    <w:p w:rsidR="009D05A2" w:rsidRDefault="00164B5A" w:rsidP="00074621">
      <w:pPr>
        <w:pStyle w:val="SingleTxtG"/>
        <w:ind w:left="3119" w:hanging="567"/>
      </w:pPr>
      <w:r w:rsidRPr="00074621">
        <w:rPr>
          <w:strike/>
        </w:rPr>
        <w:t>(vi)</w:t>
      </w:r>
      <w:r w:rsidRPr="00925F3C">
        <w:t xml:space="preserve"> </w:t>
      </w:r>
      <w:r w:rsidR="00074621">
        <w:tab/>
      </w:r>
      <w:r w:rsidR="009C7E4E" w:rsidRPr="00C26505">
        <w:rPr>
          <w:strike/>
        </w:rPr>
        <w:t>four</w:t>
      </w:r>
      <w:r w:rsidR="000B22F0" w:rsidRPr="00C26505">
        <w:rPr>
          <w:strike/>
        </w:rPr>
        <w:t xml:space="preserve"> </w:t>
      </w:r>
      <w:r w:rsidR="009C7E4E" w:rsidRPr="00C26505">
        <w:rPr>
          <w:strike/>
        </w:rPr>
        <w:t xml:space="preserve">large batteries </w:t>
      </w:r>
      <w:r w:rsidRPr="00C26505">
        <w:rPr>
          <w:strike/>
        </w:rPr>
        <w:t>in fully discharged states</w:t>
      </w:r>
      <w:r w:rsidRPr="00074621">
        <w:rPr>
          <w:strike/>
        </w:rPr>
        <w:t>.</w:t>
      </w:r>
    </w:p>
    <w:p w:rsidR="009A45C7" w:rsidRPr="009A45C7" w:rsidRDefault="009A45C7" w:rsidP="009A45C7">
      <w:pPr>
        <w:pStyle w:val="SingleTxtG"/>
        <w:tabs>
          <w:tab w:val="left" w:pos="2552"/>
        </w:tabs>
        <w:ind w:left="2552" w:hanging="425"/>
        <w:rPr>
          <w:i/>
        </w:rPr>
      </w:pPr>
      <w:r>
        <w:t>(b)</w:t>
      </w:r>
      <w:r>
        <w:tab/>
      </w:r>
      <w:r w:rsidRPr="009A45C7">
        <w:rPr>
          <w:i/>
        </w:rPr>
        <w:t>[Unchanged]</w:t>
      </w:r>
    </w:p>
    <w:p w:rsidR="009D05A2" w:rsidRPr="009A45C7" w:rsidRDefault="009D05A2" w:rsidP="009A45C7">
      <w:pPr>
        <w:pStyle w:val="SingleTxtG"/>
        <w:tabs>
          <w:tab w:val="left" w:pos="2552"/>
        </w:tabs>
        <w:ind w:left="2552" w:hanging="425"/>
        <w:rPr>
          <w:lang w:val="en-US"/>
        </w:rPr>
      </w:pPr>
      <w:r w:rsidRPr="009A45C7">
        <w:rPr>
          <w:lang w:val="en-US"/>
        </w:rPr>
        <w:t xml:space="preserve">(c) </w:t>
      </w:r>
      <w:r w:rsidRPr="009A45C7">
        <w:rPr>
          <w:lang w:val="en-US"/>
        </w:rPr>
        <w:tab/>
        <w:t>When testing primary and rechargeable cells under test T.6, the following shall be tested in the quantity indicated:</w:t>
      </w:r>
    </w:p>
    <w:p w:rsidR="009D05A2" w:rsidRPr="00C26505" w:rsidRDefault="009D05A2" w:rsidP="00074621">
      <w:pPr>
        <w:pStyle w:val="SingleTxtG"/>
        <w:ind w:left="3119" w:hanging="567"/>
      </w:pPr>
      <w:r w:rsidRPr="00C26505">
        <w:t>(</w:t>
      </w:r>
      <w:proofErr w:type="spellStart"/>
      <w:r w:rsidRPr="00C26505">
        <w:t>i</w:t>
      </w:r>
      <w:proofErr w:type="spellEnd"/>
      <w:r w:rsidRPr="00C26505">
        <w:t xml:space="preserve">) </w:t>
      </w:r>
      <w:r w:rsidRPr="00C26505">
        <w:tab/>
        <w:t>for primary cells, five cells in undischarged states</w:t>
      </w:r>
      <w:r w:rsidR="00074621">
        <w:t xml:space="preserve"> </w:t>
      </w:r>
      <w:r w:rsidR="00074621" w:rsidRPr="00074621">
        <w:rPr>
          <w:strike/>
        </w:rPr>
        <w:t>and</w:t>
      </w:r>
      <w:r w:rsidR="0034044D" w:rsidRPr="00C26505">
        <w:rPr>
          <w:strike/>
        </w:rPr>
        <w:t xml:space="preserve"> </w:t>
      </w:r>
      <w:r w:rsidRPr="00C26505">
        <w:rPr>
          <w:strike/>
        </w:rPr>
        <w:t>five cells in fully discharged states</w:t>
      </w:r>
      <w:r w:rsidRPr="00C26505">
        <w:t>;</w:t>
      </w:r>
    </w:p>
    <w:p w:rsidR="00325762" w:rsidRDefault="009D05A2" w:rsidP="00074621">
      <w:pPr>
        <w:pStyle w:val="SingleTxtG"/>
        <w:ind w:left="3119" w:hanging="567"/>
      </w:pPr>
      <w:r w:rsidRPr="00C26505">
        <w:t xml:space="preserve">(ii) </w:t>
      </w:r>
      <w:r w:rsidRPr="00C26505">
        <w:tab/>
        <w:t>for component cells of primary batteries, five cells in undischarged states</w:t>
      </w:r>
      <w:r w:rsidR="00074621">
        <w:t xml:space="preserve"> </w:t>
      </w:r>
      <w:r w:rsidR="00074621" w:rsidRPr="00074621">
        <w:rPr>
          <w:strike/>
        </w:rPr>
        <w:t xml:space="preserve">and </w:t>
      </w:r>
      <w:r w:rsidRPr="00074621">
        <w:rPr>
          <w:strike/>
        </w:rPr>
        <w:t>f</w:t>
      </w:r>
      <w:r w:rsidRPr="00C26505">
        <w:rPr>
          <w:strike/>
        </w:rPr>
        <w:t>ive cells in fully discharged states</w:t>
      </w:r>
      <w:r w:rsidRPr="00C26505">
        <w:t>;</w:t>
      </w:r>
    </w:p>
    <w:p w:rsidR="00074621" w:rsidRPr="00074621" w:rsidRDefault="00074621" w:rsidP="00074621">
      <w:pPr>
        <w:pStyle w:val="SingleTxtG"/>
        <w:ind w:left="3119" w:hanging="567"/>
      </w:pPr>
      <w:r w:rsidRPr="00074621">
        <w:t>(iii)</w:t>
      </w:r>
      <w:r w:rsidRPr="00074621">
        <w:tab/>
        <w:t>for rechargeable cells, five cells at first cycle at 50% of the design rated capacity and five cells after 25 cycles ending at 50% of the design rated capacity; and</w:t>
      </w:r>
    </w:p>
    <w:p w:rsidR="00074621" w:rsidRPr="00074621" w:rsidRDefault="00074621" w:rsidP="00074621">
      <w:pPr>
        <w:pStyle w:val="SingleTxtG"/>
        <w:ind w:left="3119" w:hanging="567"/>
      </w:pPr>
      <w:r w:rsidRPr="00074621">
        <w:t>(iv)</w:t>
      </w:r>
      <w:r w:rsidRPr="00074621">
        <w:tab/>
        <w:t>for component cells of rechargeable batteries, five cells at first cycle at 50% of the design rated capacity and five cells after 25 cycles ending at 50% of the design rated capacity.</w:t>
      </w:r>
      <w:r w:rsidR="00955F6B">
        <w:t>”.</w:t>
      </w:r>
    </w:p>
    <w:p w:rsidR="000E3282" w:rsidRDefault="000E3282" w:rsidP="00325762">
      <w:pPr>
        <w:pStyle w:val="SingleTxtG"/>
        <w:ind w:left="1170"/>
        <w:jc w:val="center"/>
      </w:pPr>
      <w:r w:rsidRPr="00AA5E6C">
        <w:rPr>
          <w:iCs/>
          <w:sz w:val="24"/>
          <w:szCs w:val="24"/>
          <w:lang w:eastAsia="fr-CH"/>
        </w:rPr>
        <w:t>________________</w:t>
      </w:r>
      <w:bookmarkEnd w:id="0"/>
    </w:p>
    <w:sectPr w:rsidR="000E3282" w:rsidSect="00AB5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584" w:right="1138" w:bottom="2160" w:left="1138" w:header="1138" w:footer="16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9AA" w:rsidRDefault="00AE39AA" w:rsidP="000E3282">
      <w:pPr>
        <w:spacing w:line="240" w:lineRule="auto"/>
      </w:pPr>
      <w:r>
        <w:separator/>
      </w:r>
    </w:p>
  </w:endnote>
  <w:endnote w:type="continuationSeparator" w:id="0">
    <w:p w:rsidR="00AE39AA" w:rsidRDefault="00AE39AA" w:rsidP="000E3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AA" w:rsidRPr="009D2A5B" w:rsidRDefault="00AE39AA" w:rsidP="006A4157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61BF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AA" w:rsidRPr="009D2A5B" w:rsidRDefault="00AE39AA" w:rsidP="006A4157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61BF5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5D" w:rsidRDefault="00AB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9AA" w:rsidRDefault="00AE39AA" w:rsidP="000E3282">
      <w:pPr>
        <w:spacing w:line="240" w:lineRule="auto"/>
      </w:pPr>
      <w:r>
        <w:separator/>
      </w:r>
    </w:p>
  </w:footnote>
  <w:footnote w:type="continuationSeparator" w:id="0">
    <w:p w:rsidR="00AE39AA" w:rsidRDefault="00AE39AA" w:rsidP="000E3282">
      <w:pPr>
        <w:spacing w:line="240" w:lineRule="auto"/>
      </w:pPr>
      <w:r>
        <w:continuationSeparator/>
      </w:r>
    </w:p>
  </w:footnote>
  <w:footnote w:id="1">
    <w:p w:rsidR="00925F3C" w:rsidRPr="00925F3C" w:rsidRDefault="00925F3C" w:rsidP="00925F3C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AA" w:rsidRPr="00023445" w:rsidRDefault="00AB575D" w:rsidP="006A4157">
    <w:pPr>
      <w:pStyle w:val="Header"/>
      <w:rPr>
        <w:szCs w:val="18"/>
      </w:rPr>
    </w:pPr>
    <w:r>
      <w:rPr>
        <w:szCs w:val="18"/>
      </w:rPr>
      <w:t>ST/SG/AC.10/C.3/2018/50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AA" w:rsidRPr="00023445" w:rsidRDefault="00925F3C" w:rsidP="006A4157">
    <w:pPr>
      <w:pStyle w:val="Header"/>
      <w:jc w:val="right"/>
      <w:rPr>
        <w:szCs w:val="18"/>
      </w:rPr>
    </w:pPr>
    <w:r>
      <w:rPr>
        <w:szCs w:val="18"/>
      </w:rPr>
      <w:t>ST/SG/AC.10/C.3/2018/50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5D" w:rsidRDefault="00AB5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F79"/>
    <w:multiLevelType w:val="hybridMultilevel"/>
    <w:tmpl w:val="53F2D580"/>
    <w:lvl w:ilvl="0" w:tplc="52DC28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11C760C"/>
    <w:multiLevelType w:val="multilevel"/>
    <w:tmpl w:val="07C6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37742"/>
    <w:multiLevelType w:val="hybridMultilevel"/>
    <w:tmpl w:val="A404A4FA"/>
    <w:lvl w:ilvl="0" w:tplc="56F437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1827A79"/>
    <w:multiLevelType w:val="hybridMultilevel"/>
    <w:tmpl w:val="B2F860F8"/>
    <w:lvl w:ilvl="0" w:tplc="1840D8EE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E415BFB"/>
    <w:multiLevelType w:val="hybridMultilevel"/>
    <w:tmpl w:val="E084D0C6"/>
    <w:lvl w:ilvl="0" w:tplc="56F437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3F8F"/>
    <w:multiLevelType w:val="hybridMultilevel"/>
    <w:tmpl w:val="7D78F03A"/>
    <w:lvl w:ilvl="0" w:tplc="A7362B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F5D6FEB"/>
    <w:multiLevelType w:val="hybridMultilevel"/>
    <w:tmpl w:val="F6D8623A"/>
    <w:lvl w:ilvl="0" w:tplc="9D7294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2"/>
    <w:rsid w:val="0004307F"/>
    <w:rsid w:val="00050EC5"/>
    <w:rsid w:val="00051450"/>
    <w:rsid w:val="00070E80"/>
    <w:rsid w:val="00074621"/>
    <w:rsid w:val="000804D0"/>
    <w:rsid w:val="000B0540"/>
    <w:rsid w:val="000B22F0"/>
    <w:rsid w:val="000C1826"/>
    <w:rsid w:val="000C2811"/>
    <w:rsid w:val="000D69B7"/>
    <w:rsid w:val="000E0715"/>
    <w:rsid w:val="000E3282"/>
    <w:rsid w:val="00102FD5"/>
    <w:rsid w:val="00162D0E"/>
    <w:rsid w:val="00164B5A"/>
    <w:rsid w:val="0018790F"/>
    <w:rsid w:val="001D715A"/>
    <w:rsid w:val="00260844"/>
    <w:rsid w:val="002B35A0"/>
    <w:rsid w:val="002D6B30"/>
    <w:rsid w:val="002F7032"/>
    <w:rsid w:val="00325762"/>
    <w:rsid w:val="0034044D"/>
    <w:rsid w:val="003D0986"/>
    <w:rsid w:val="003D3528"/>
    <w:rsid w:val="003F6938"/>
    <w:rsid w:val="0040145C"/>
    <w:rsid w:val="004319F1"/>
    <w:rsid w:val="00435132"/>
    <w:rsid w:val="004652BC"/>
    <w:rsid w:val="00506271"/>
    <w:rsid w:val="00510E61"/>
    <w:rsid w:val="00530758"/>
    <w:rsid w:val="005340D1"/>
    <w:rsid w:val="00537050"/>
    <w:rsid w:val="00545396"/>
    <w:rsid w:val="00551732"/>
    <w:rsid w:val="0056479F"/>
    <w:rsid w:val="0059512D"/>
    <w:rsid w:val="005B3F8F"/>
    <w:rsid w:val="005E4A43"/>
    <w:rsid w:val="006012E5"/>
    <w:rsid w:val="00615876"/>
    <w:rsid w:val="00617AE3"/>
    <w:rsid w:val="0062747C"/>
    <w:rsid w:val="00672084"/>
    <w:rsid w:val="00682C59"/>
    <w:rsid w:val="006A4157"/>
    <w:rsid w:val="006E6D9F"/>
    <w:rsid w:val="007A220B"/>
    <w:rsid w:val="007B3F99"/>
    <w:rsid w:val="007F6F85"/>
    <w:rsid w:val="00810A43"/>
    <w:rsid w:val="00820BCC"/>
    <w:rsid w:val="00846E0A"/>
    <w:rsid w:val="00866FE1"/>
    <w:rsid w:val="0087578A"/>
    <w:rsid w:val="008843CF"/>
    <w:rsid w:val="008E324E"/>
    <w:rsid w:val="008E4FBD"/>
    <w:rsid w:val="008E7D90"/>
    <w:rsid w:val="00925E86"/>
    <w:rsid w:val="00925F3C"/>
    <w:rsid w:val="009278F3"/>
    <w:rsid w:val="00942C71"/>
    <w:rsid w:val="00947D76"/>
    <w:rsid w:val="00955F6B"/>
    <w:rsid w:val="009A45C7"/>
    <w:rsid w:val="009C7E4E"/>
    <w:rsid w:val="009D05A2"/>
    <w:rsid w:val="009D5EEC"/>
    <w:rsid w:val="009E29CB"/>
    <w:rsid w:val="009F105E"/>
    <w:rsid w:val="00A277C7"/>
    <w:rsid w:val="00A5753F"/>
    <w:rsid w:val="00AB575D"/>
    <w:rsid w:val="00AD21A7"/>
    <w:rsid w:val="00AE39AA"/>
    <w:rsid w:val="00AF45B7"/>
    <w:rsid w:val="00BD2812"/>
    <w:rsid w:val="00C26505"/>
    <w:rsid w:val="00D05F0F"/>
    <w:rsid w:val="00D16481"/>
    <w:rsid w:val="00D71456"/>
    <w:rsid w:val="00D7564E"/>
    <w:rsid w:val="00D7689C"/>
    <w:rsid w:val="00D86AFA"/>
    <w:rsid w:val="00D96584"/>
    <w:rsid w:val="00DB656E"/>
    <w:rsid w:val="00DD457F"/>
    <w:rsid w:val="00E230B0"/>
    <w:rsid w:val="00E3743D"/>
    <w:rsid w:val="00E55888"/>
    <w:rsid w:val="00E614BC"/>
    <w:rsid w:val="00E61BF5"/>
    <w:rsid w:val="00E9506B"/>
    <w:rsid w:val="00EB3A62"/>
    <w:rsid w:val="00EE684F"/>
    <w:rsid w:val="00F36E7B"/>
    <w:rsid w:val="00F4392D"/>
    <w:rsid w:val="00F865E9"/>
    <w:rsid w:val="00F86CB0"/>
    <w:rsid w:val="00FC5146"/>
    <w:rsid w:val="00FD44F1"/>
    <w:rsid w:val="00FE5040"/>
    <w:rsid w:val="00FE550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D0874-6DC7-4BCF-9352-792B0ECD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28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rsid w:val="000E328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SingleTxtG">
    <w:name w:val="_ Single Txt_G"/>
    <w:basedOn w:val="Normal"/>
    <w:rsid w:val="000E3282"/>
    <w:pPr>
      <w:spacing w:after="120"/>
      <w:ind w:left="1134" w:right="1134"/>
      <w:jc w:val="both"/>
    </w:pPr>
  </w:style>
  <w:style w:type="character" w:styleId="FootnoteReference">
    <w:name w:val="footnote reference"/>
    <w:aliases w:val="4_G,Footnote Reference/"/>
    <w:rsid w:val="000E328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E3282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E3282"/>
    <w:rPr>
      <w:rFonts w:ascii="Times New Roman" w:eastAsia="Times New Roman" w:hAnsi="Times New Roman" w:cs="Times New Roman"/>
      <w:sz w:val="18"/>
      <w:szCs w:val="20"/>
      <w:lang w:val="x-none"/>
    </w:rPr>
  </w:style>
  <w:style w:type="paragraph" w:customStyle="1" w:styleId="H1G">
    <w:name w:val="_ H_1_G"/>
    <w:basedOn w:val="Normal"/>
    <w:next w:val="Normal"/>
    <w:link w:val="H1GChar"/>
    <w:rsid w:val="000E328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0E3282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0E3282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0E3282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0E3282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1GChar">
    <w:name w:val="_ H_1_G Char"/>
    <w:link w:val="H1G"/>
    <w:rsid w:val="000E328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locked/>
    <w:rsid w:val="000E3282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B7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D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77AB-3B6F-4D27-98F9-A20B324C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1195</Words>
  <Characters>6086</Characters>
  <Application>Microsoft Office Word</Application>
  <DocSecurity>0</DocSecurity>
  <Lines>317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Kerchner, George</dc:creator>
  <cp:keywords/>
  <dc:description/>
  <cp:lastModifiedBy>Laurence Berthet</cp:lastModifiedBy>
  <cp:revision>8</cp:revision>
  <cp:lastPrinted>2018-04-06T07:55:00Z</cp:lastPrinted>
  <dcterms:created xsi:type="dcterms:W3CDTF">2018-04-03T12:34:00Z</dcterms:created>
  <dcterms:modified xsi:type="dcterms:W3CDTF">2018-04-06T08:25:00Z</dcterms:modified>
</cp:coreProperties>
</file>