
<file path=[Content_Types].xml><?xml version="1.0" encoding="utf-8"?>
<Types xmlns="http://schemas.openxmlformats.org/package/2006/content-types">
  <Default Extension="tmp" ContentType="image/png"/>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451A2">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451A2" w:rsidP="009451A2">
            <w:pPr>
              <w:jc w:val="right"/>
            </w:pPr>
            <w:r w:rsidRPr="009451A2">
              <w:rPr>
                <w:sz w:val="40"/>
              </w:rPr>
              <w:t>ST</w:t>
            </w:r>
            <w:r>
              <w:t>/SG/AC.10/C.3/2018/46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451A2" w:rsidP="00F01738">
            <w:pPr>
              <w:spacing w:before="240"/>
            </w:pPr>
            <w:proofErr w:type="spellStart"/>
            <w:r>
              <w:t>Distr</w:t>
            </w:r>
            <w:proofErr w:type="spellEnd"/>
            <w:r>
              <w:t xml:space="preserve">. </w:t>
            </w:r>
            <w:proofErr w:type="gramStart"/>
            <w:r>
              <w:t>générale</w:t>
            </w:r>
            <w:proofErr w:type="gramEnd"/>
          </w:p>
          <w:p w:rsidR="009451A2" w:rsidRDefault="009451A2" w:rsidP="009451A2">
            <w:pPr>
              <w:spacing w:line="240" w:lineRule="exact"/>
            </w:pPr>
            <w:r>
              <w:t>6 avril 2018</w:t>
            </w:r>
          </w:p>
          <w:p w:rsidR="009451A2" w:rsidRDefault="009451A2" w:rsidP="009451A2">
            <w:pPr>
              <w:spacing w:line="240" w:lineRule="exact"/>
            </w:pPr>
            <w:r>
              <w:t>Français</w:t>
            </w:r>
          </w:p>
          <w:p w:rsidR="009451A2" w:rsidRPr="00DB58B5" w:rsidRDefault="009451A2" w:rsidP="009451A2">
            <w:pPr>
              <w:spacing w:line="240" w:lineRule="exact"/>
            </w:pPr>
            <w:r>
              <w:t>Original : anglais</w:t>
            </w:r>
          </w:p>
        </w:tc>
      </w:tr>
    </w:tbl>
    <w:p w:rsidR="009451A2" w:rsidRPr="00CA0680" w:rsidRDefault="009451A2"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9451A2" w:rsidRPr="00CA0680" w:rsidRDefault="009451A2" w:rsidP="000305D3">
      <w:pPr>
        <w:spacing w:before="120"/>
        <w:rPr>
          <w:b/>
        </w:rPr>
      </w:pPr>
      <w:r w:rsidRPr="00CA0680">
        <w:rPr>
          <w:b/>
        </w:rPr>
        <w:t>Sous</w:t>
      </w:r>
      <w:r>
        <w:rPr>
          <w:b/>
        </w:rPr>
        <w:t>-</w:t>
      </w:r>
      <w:r w:rsidRPr="00CA0680">
        <w:rPr>
          <w:b/>
        </w:rPr>
        <w:t>Comité d’experts du transport des marchandises dangereuses</w:t>
      </w:r>
    </w:p>
    <w:p w:rsidR="009451A2" w:rsidRDefault="009451A2" w:rsidP="000305D3">
      <w:pPr>
        <w:spacing w:before="120"/>
        <w:rPr>
          <w:b/>
        </w:rPr>
      </w:pPr>
      <w:r>
        <w:rPr>
          <w:b/>
        </w:rPr>
        <w:t xml:space="preserve">Cinquante-troisième </w:t>
      </w:r>
      <w:r w:rsidRPr="00CA0680">
        <w:rPr>
          <w:b/>
        </w:rPr>
        <w:t>session</w:t>
      </w:r>
    </w:p>
    <w:p w:rsidR="009451A2" w:rsidRDefault="009451A2" w:rsidP="000305D3">
      <w:r>
        <w:t>Genève, 25 juin-4 juillet 2018</w:t>
      </w:r>
    </w:p>
    <w:p w:rsidR="009451A2" w:rsidRDefault="009451A2" w:rsidP="000305D3">
      <w:r>
        <w:t>Point 6</w:t>
      </w:r>
      <w:r w:rsidR="006F4E85">
        <w:t> </w:t>
      </w:r>
      <w:r>
        <w:t>b) de l’ordre du jour provisoire</w:t>
      </w:r>
    </w:p>
    <w:p w:rsidR="009451A2" w:rsidRPr="009451A2" w:rsidRDefault="009451A2" w:rsidP="009451A2">
      <w:pPr>
        <w:rPr>
          <w:b/>
        </w:rPr>
      </w:pPr>
      <w:r w:rsidRPr="009451A2">
        <w:rPr>
          <w:b/>
        </w:rPr>
        <w:t xml:space="preserve">Propositions diverses d’amendements </w:t>
      </w:r>
      <w:r>
        <w:rPr>
          <w:b/>
        </w:rPr>
        <w:br/>
      </w:r>
      <w:r w:rsidRPr="009451A2">
        <w:rPr>
          <w:b/>
        </w:rPr>
        <w:t xml:space="preserve">au Règlement type pour le transport </w:t>
      </w:r>
      <w:r>
        <w:rPr>
          <w:b/>
        </w:rPr>
        <w:br/>
      </w:r>
      <w:r w:rsidRPr="009451A2">
        <w:rPr>
          <w:b/>
        </w:rPr>
        <w:t>des marchandises dangereuses : emballages</w:t>
      </w:r>
    </w:p>
    <w:p w:rsidR="009451A2" w:rsidRPr="00784311" w:rsidRDefault="009451A2" w:rsidP="009451A2">
      <w:pPr>
        <w:pStyle w:val="HChG"/>
      </w:pPr>
      <w:r w:rsidRPr="00784311">
        <w:tab/>
      </w:r>
      <w:r w:rsidRPr="00784311">
        <w:tab/>
      </w:r>
      <w:r w:rsidRPr="00784311">
        <w:rPr>
          <w:bCs/>
        </w:rPr>
        <w:t xml:space="preserve">Inscription de la date de fabrication sur les emballages </w:t>
      </w:r>
      <w:r>
        <w:rPr>
          <w:bCs/>
        </w:rPr>
        <w:br/>
      </w:r>
      <w:proofErr w:type="gramStart"/>
      <w:r w:rsidRPr="009451A2">
        <w:rPr>
          <w:bCs/>
          <w:spacing w:val="3"/>
        </w:rPr>
        <w:t>des</w:t>
      </w:r>
      <w:proofErr w:type="gramEnd"/>
      <w:r w:rsidRPr="009451A2">
        <w:rPr>
          <w:bCs/>
          <w:spacing w:val="3"/>
        </w:rPr>
        <w:t xml:space="preserve"> types 1H et 3H</w:t>
      </w:r>
      <w:r w:rsidRPr="009451A2">
        <w:rPr>
          <w:spacing w:val="3"/>
        </w:rPr>
        <w:t xml:space="preserve"> et sur les récipients intérieurs</w:t>
      </w:r>
      <w:r w:rsidRPr="009451A2">
        <w:t xml:space="preserve"> </w:t>
      </w:r>
      <w:r w:rsidRPr="009451A2">
        <w:br/>
      </w:r>
      <w:r w:rsidRPr="009451A2">
        <w:rPr>
          <w:spacing w:val="-3"/>
        </w:rPr>
        <w:t>de type grand récipient pour vrac (GRV) composite</w:t>
      </w:r>
    </w:p>
    <w:p w:rsidR="009451A2" w:rsidRPr="00784311" w:rsidRDefault="009451A2" w:rsidP="009451A2">
      <w:pPr>
        <w:pStyle w:val="H1G"/>
      </w:pPr>
      <w:r w:rsidRPr="00784311">
        <w:tab/>
      </w:r>
      <w:r w:rsidRPr="00784311">
        <w:tab/>
        <w:t>Communication de l</w:t>
      </w:r>
      <w:r>
        <w:t>’</w:t>
      </w:r>
      <w:r w:rsidRPr="00784311">
        <w:t>expert de la Belgique</w:t>
      </w:r>
      <w:r w:rsidR="00C53336" w:rsidRPr="006F4E85">
        <w:rPr>
          <w:rStyle w:val="FootnoteReference"/>
          <w:b w:val="0"/>
          <w:sz w:val="20"/>
          <w:vertAlign w:val="baseline"/>
        </w:rPr>
        <w:footnoteReference w:customMarkFollows="1" w:id="2"/>
        <w:t>*</w:t>
      </w:r>
    </w:p>
    <w:p w:rsidR="009451A2" w:rsidRPr="00784311" w:rsidRDefault="009451A2" w:rsidP="009451A2">
      <w:pPr>
        <w:pStyle w:val="HChG"/>
      </w:pPr>
      <w:r w:rsidRPr="00784311">
        <w:tab/>
      </w:r>
      <w:r w:rsidRPr="00784311">
        <w:tab/>
        <w:t>Introduction</w:t>
      </w:r>
    </w:p>
    <w:p w:rsidR="009451A2" w:rsidRPr="00784311" w:rsidRDefault="009451A2" w:rsidP="009451A2">
      <w:pPr>
        <w:pStyle w:val="SingleTxtG"/>
        <w:rPr>
          <w:i/>
        </w:rPr>
      </w:pPr>
      <w:r w:rsidRPr="009451A2">
        <w:rPr>
          <w:spacing w:val="-3"/>
        </w:rPr>
        <w:t>1.</w:t>
      </w:r>
      <w:r w:rsidRPr="009451A2">
        <w:rPr>
          <w:spacing w:val="-3"/>
        </w:rPr>
        <w:tab/>
        <w:t xml:space="preserve">En 2011, dans les documents ST/SG/AC.10/C.3/2011/17 et ST/SG/AC.10/C.3/2011/36, l’International </w:t>
      </w:r>
      <w:proofErr w:type="spellStart"/>
      <w:r w:rsidRPr="009451A2">
        <w:rPr>
          <w:spacing w:val="-3"/>
        </w:rPr>
        <w:t>Confederation</w:t>
      </w:r>
      <w:proofErr w:type="spellEnd"/>
      <w:r w:rsidRPr="009451A2">
        <w:rPr>
          <w:spacing w:val="-3"/>
        </w:rPr>
        <w:t xml:space="preserve"> of Plastics Packaging </w:t>
      </w:r>
      <w:proofErr w:type="spellStart"/>
      <w:r w:rsidRPr="009451A2">
        <w:rPr>
          <w:spacing w:val="-3"/>
        </w:rPr>
        <w:t>Manufacturers</w:t>
      </w:r>
      <w:proofErr w:type="spellEnd"/>
      <w:r w:rsidRPr="00784311">
        <w:t xml:space="preserve"> (ICPP) a proposé </w:t>
      </w:r>
      <w:r>
        <w:t xml:space="preserve">d’adapter pour les emballages en plastique </w:t>
      </w:r>
      <w:r w:rsidRPr="00784311">
        <w:t xml:space="preserve">les inscriptions </w:t>
      </w:r>
      <w:r>
        <w:t xml:space="preserve">présentées dans le </w:t>
      </w:r>
      <w:r w:rsidRPr="00784311">
        <w:t>cadran</w:t>
      </w:r>
      <w:r>
        <w:t>, en avançant les arguments suivants </w:t>
      </w:r>
      <w:r w:rsidRPr="00784311">
        <w:t xml:space="preserve">: </w:t>
      </w:r>
      <w:r>
        <w:t>« </w:t>
      </w:r>
      <w:r w:rsidRPr="00784311">
        <w:rPr>
          <w:i/>
          <w:iCs/>
        </w:rPr>
        <w:t>Le marquage du mois de fabrication des emballages des types 1H et 3H conformément au pa</w:t>
      </w:r>
      <w:r>
        <w:rPr>
          <w:i/>
          <w:iCs/>
        </w:rPr>
        <w:t>ragraphe 6.1.3.1 </w:t>
      </w:r>
      <w:r w:rsidRPr="00784311">
        <w:rPr>
          <w:i/>
          <w:iCs/>
        </w:rPr>
        <w:t>e) s</w:t>
      </w:r>
      <w:r>
        <w:rPr>
          <w:i/>
          <w:iCs/>
        </w:rPr>
        <w:t>’</w:t>
      </w:r>
      <w:r w:rsidRPr="00784311">
        <w:rPr>
          <w:i/>
          <w:iCs/>
        </w:rPr>
        <w:t>est imposé dans la pratique.</w:t>
      </w:r>
      <w:r w:rsidRPr="00784311">
        <w:t xml:space="preserve"> </w:t>
      </w:r>
      <w:r w:rsidRPr="00784311">
        <w:rPr>
          <w:i/>
          <w:iCs/>
        </w:rPr>
        <w:t>Ces dernières années, de nombreux fabricants ajoutent à ce cadran l</w:t>
      </w:r>
      <w:r>
        <w:rPr>
          <w:i/>
          <w:iCs/>
        </w:rPr>
        <w:t>’</w:t>
      </w:r>
      <w:r w:rsidRPr="00784311">
        <w:rPr>
          <w:i/>
          <w:iCs/>
        </w:rPr>
        <w:t>année de fabrication.</w:t>
      </w:r>
      <w:r w:rsidRPr="00784311">
        <w:t xml:space="preserve"> </w:t>
      </w:r>
      <w:r w:rsidRPr="00784311">
        <w:rPr>
          <w:i/>
          <w:iCs/>
        </w:rPr>
        <w:t>L</w:t>
      </w:r>
      <w:r>
        <w:rPr>
          <w:i/>
          <w:iCs/>
        </w:rPr>
        <w:t>’</w:t>
      </w:r>
      <w:r w:rsidRPr="00784311">
        <w:rPr>
          <w:i/>
          <w:iCs/>
        </w:rPr>
        <w:t>utilisation d</w:t>
      </w:r>
      <w:r>
        <w:rPr>
          <w:i/>
          <w:iCs/>
        </w:rPr>
        <w:t>’</w:t>
      </w:r>
      <w:r w:rsidRPr="00784311">
        <w:rPr>
          <w:i/>
          <w:iCs/>
        </w:rPr>
        <w:t xml:space="preserve">un cadran indiquant le mois </w:t>
      </w:r>
      <w:r w:rsidRPr="00A61296">
        <w:rPr>
          <w:i/>
          <w:iCs/>
          <w:u w:val="single"/>
        </w:rPr>
        <w:t>et</w:t>
      </w:r>
      <w:r w:rsidRPr="00784311">
        <w:rPr>
          <w:i/>
          <w:iCs/>
        </w:rPr>
        <w:t xml:space="preserve"> l</w:t>
      </w:r>
      <w:r>
        <w:rPr>
          <w:i/>
          <w:iCs/>
        </w:rPr>
        <w:t>’</w:t>
      </w:r>
      <w:r w:rsidRPr="00784311">
        <w:rPr>
          <w:i/>
          <w:iCs/>
        </w:rPr>
        <w:t>année de fabrication des emballages des types 1H et 3H est devenue de plus en plus courante, avec ou sans l</w:t>
      </w:r>
      <w:r>
        <w:rPr>
          <w:i/>
          <w:iCs/>
        </w:rPr>
        <w:t>’</w:t>
      </w:r>
      <w:r w:rsidRPr="00784311">
        <w:rPr>
          <w:i/>
          <w:iCs/>
        </w:rPr>
        <w:t>accord des autorités nationales compétentes.</w:t>
      </w:r>
      <w:r>
        <w:t> ».</w:t>
      </w:r>
    </w:p>
    <w:p w:rsidR="009451A2" w:rsidRPr="00784311" w:rsidRDefault="009451A2" w:rsidP="009451A2">
      <w:pPr>
        <w:pStyle w:val="SingleTxtG"/>
      </w:pPr>
      <w:r>
        <w:t>2.</w:t>
      </w:r>
      <w:r>
        <w:tab/>
      </w:r>
      <w:r w:rsidRPr="00784311">
        <w:t xml:space="preserve">Sur la base de cette proposition, il a été décidé en 2012 de modifier le </w:t>
      </w:r>
      <w:r>
        <w:t>point </w:t>
      </w:r>
      <w:r w:rsidRPr="00784311">
        <w:t>e)</w:t>
      </w:r>
      <w:r>
        <w:t xml:space="preserve"> du</w:t>
      </w:r>
      <w:r w:rsidRPr="00784311">
        <w:t xml:space="preserve"> 6.1.3.1 comme suit</w:t>
      </w:r>
      <w:r>
        <w:t> </w:t>
      </w:r>
      <w:r w:rsidRPr="00784311">
        <w:t>:</w:t>
      </w:r>
    </w:p>
    <w:p w:rsidR="009451A2" w:rsidRPr="006F4E85" w:rsidRDefault="009451A2" w:rsidP="009451A2">
      <w:pPr>
        <w:pStyle w:val="SingleTxtG"/>
        <w:ind w:left="2268" w:hanging="567"/>
        <w:rPr>
          <w:spacing w:val="2"/>
        </w:rPr>
      </w:pPr>
      <w:r>
        <w:t>« </w:t>
      </w:r>
      <w:proofErr w:type="gramStart"/>
      <w:r w:rsidRPr="00784311">
        <w:t>e</w:t>
      </w:r>
      <w:proofErr w:type="gramEnd"/>
      <w:r w:rsidRPr="00784311">
        <w:t>)</w:t>
      </w:r>
      <w:r w:rsidRPr="00784311">
        <w:tab/>
      </w:r>
      <w:r w:rsidRPr="006F4E85">
        <w:rPr>
          <w:spacing w:val="2"/>
        </w:rPr>
        <w:t>Les deux derniers chiffres de l’année de fabrication de l’emballage.</w:t>
      </w:r>
      <w:r w:rsidR="007B773F">
        <w:rPr>
          <w:spacing w:val="2"/>
        </w:rPr>
        <w:t xml:space="preserve"> Les </w:t>
      </w:r>
      <w:r w:rsidRPr="006F4E85">
        <w:rPr>
          <w:spacing w:val="2"/>
        </w:rPr>
        <w:t>emballages des types 1H et 3H doivent aussi porter l’inscription du mois de fabrication ; cette inscription peut être apposée sur l’emballage en un endroit différent du reste des marques. À cette fin, on peut utiliser le système ci-dessous :</w:t>
      </w:r>
    </w:p>
    <w:p w:rsidR="009451A2" w:rsidRPr="00784311" w:rsidRDefault="009451A2" w:rsidP="009451A2">
      <w:pPr>
        <w:pStyle w:val="SingleTxtG"/>
        <w:jc w:val="center"/>
      </w:pPr>
      <w:r w:rsidRPr="00784311">
        <w:rPr>
          <w:noProof/>
          <w:lang w:eastAsia="fr-CH"/>
        </w:rPr>
        <w:lastRenderedPageBreak/>
        <w:drawing>
          <wp:inline distT="0" distB="0" distL="0" distR="0" wp14:anchorId="4D835D12" wp14:editId="43966351">
            <wp:extent cx="1104900" cy="9239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2821F9.tmp"/>
                    <pic:cNvPicPr/>
                  </pic:nvPicPr>
                  <pic:blipFill>
                    <a:blip r:embed="rId9">
                      <a:extLst>
                        <a:ext uri="{28A0092B-C50C-407E-A947-70E740481C1C}">
                          <a14:useLocalDpi xmlns:a14="http://schemas.microsoft.com/office/drawing/2010/main" val="0"/>
                        </a:ext>
                      </a:extLst>
                    </a:blip>
                    <a:stretch>
                      <a:fillRect/>
                    </a:stretch>
                  </pic:blipFill>
                  <pic:spPr>
                    <a:xfrm>
                      <a:off x="0" y="0"/>
                      <a:ext cx="1174287" cy="981947"/>
                    </a:xfrm>
                    <a:prstGeom prst="rect">
                      <a:avLst/>
                    </a:prstGeom>
                  </pic:spPr>
                </pic:pic>
              </a:graphicData>
            </a:graphic>
          </wp:inline>
        </w:drawing>
      </w:r>
    </w:p>
    <w:p w:rsidR="009451A2" w:rsidRPr="009451A2" w:rsidRDefault="009451A2" w:rsidP="009451A2">
      <w:pPr>
        <w:pStyle w:val="SingleTxtG"/>
        <w:ind w:left="2268" w:hanging="567"/>
      </w:pPr>
      <w:r w:rsidRPr="009451A2">
        <w:t>*</w:t>
      </w:r>
      <w:r w:rsidRPr="009451A2">
        <w:tab/>
        <w:t>Les deux derniers chiffres de l’année de fabrication peuvent être indiqués à cet emplacement. Dans ce cas, les deux chiffres indiquant l’année dans la marque d’homologation de type et dans le cadran doivent être identiques.</w:t>
      </w:r>
      <w:r>
        <w:t> »</w:t>
      </w:r>
      <w:r w:rsidRPr="009451A2">
        <w:t>.</w:t>
      </w:r>
    </w:p>
    <w:p w:rsidR="009451A2" w:rsidRPr="00784311" w:rsidRDefault="009451A2" w:rsidP="009451A2">
      <w:pPr>
        <w:pStyle w:val="SingleTxtG"/>
      </w:pPr>
      <w:r w:rsidRPr="00784311">
        <w:t>3.</w:t>
      </w:r>
      <w:r w:rsidRPr="00784311">
        <w:tab/>
        <w:t>En outre, il est indiqué au paragraphe 6.5.2.2.4 que</w:t>
      </w:r>
      <w:r>
        <w:t> </w:t>
      </w:r>
      <w:r w:rsidRPr="00784311">
        <w:t>:</w:t>
      </w:r>
    </w:p>
    <w:p w:rsidR="009451A2" w:rsidRPr="00784311" w:rsidRDefault="009451A2" w:rsidP="009451A2">
      <w:pPr>
        <w:pStyle w:val="SingleTxtG"/>
        <w:ind w:left="1701"/>
      </w:pPr>
      <w:r>
        <w:t>« </w:t>
      </w:r>
      <w:r w:rsidRPr="009451A2">
        <w:rPr>
          <w:i/>
        </w:rPr>
        <w:t xml:space="preserve">Les récipients intérieurs qui appartiennent à un modèle type de GRV composite doivent être identifiés par les marques spécifiées au 6.5.2.1.1 b), c), d), la date étant la date de fabrication du récipient intérieur en plastique, e) et f). Le symbole de l’ONU pour les emballages ne doit pas être apposé. Les marques doivent être apposées dans l’ordre indiqué au 6.5.2.1.1. Elles doivent être apposées </w:t>
      </w:r>
      <w:r w:rsidR="00FA7BB6">
        <w:rPr>
          <w:i/>
        </w:rPr>
        <w:t>de</w:t>
      </w:r>
      <w:r w:rsidRPr="009451A2">
        <w:rPr>
          <w:i/>
        </w:rPr>
        <w:t xml:space="preserve"> manière durable et lisible, et placées dans un endroit bien visible lorsque le récipient intérieur est placé dans l’enveloppe extérieure</w:t>
      </w:r>
      <w:r w:rsidRPr="00784311">
        <w:t>.</w:t>
      </w:r>
    </w:p>
    <w:p w:rsidR="009451A2" w:rsidRPr="003B6AE8" w:rsidRDefault="009451A2" w:rsidP="009451A2">
      <w:pPr>
        <w:pStyle w:val="SingleTxtG"/>
        <w:ind w:left="1701"/>
      </w:pPr>
      <w:r w:rsidRPr="009451A2">
        <w:rPr>
          <w:i/>
        </w:rPr>
        <w:t xml:space="preserve">La date de fabrication du récipient intérieur en plastique peut également être apposée sur le récipient intérieur </w:t>
      </w:r>
      <w:r w:rsidRPr="009451A2">
        <w:rPr>
          <w:b/>
          <w:i/>
        </w:rPr>
        <w:t>à côté des autres marques</w:t>
      </w:r>
      <w:r w:rsidRPr="009451A2">
        <w:rPr>
          <w:i/>
        </w:rPr>
        <w:t>. Dans ce cas, les deux chiffres indiquant l’année dans la marque et dans le cadran doivent être identiques. Exemple d’une méthode de marquage appropriée : </w:t>
      </w:r>
      <w:r>
        <w:t>»</w:t>
      </w:r>
    </w:p>
    <w:p w:rsidR="009451A2" w:rsidRPr="00784311" w:rsidRDefault="009451A2" w:rsidP="009451A2">
      <w:pPr>
        <w:pStyle w:val="SingleTxtG"/>
        <w:jc w:val="center"/>
      </w:pPr>
      <w:r w:rsidRPr="00784311">
        <w:rPr>
          <w:noProof/>
          <w:lang w:eastAsia="fr-CH"/>
        </w:rPr>
        <w:drawing>
          <wp:inline distT="0" distB="0" distL="0" distR="0" wp14:anchorId="7B6CE3DA" wp14:editId="1B6E22B3">
            <wp:extent cx="1047750" cy="986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782" cy="1008482"/>
                    </a:xfrm>
                    <a:prstGeom prst="rect">
                      <a:avLst/>
                    </a:prstGeom>
                    <a:noFill/>
                    <a:ln>
                      <a:noFill/>
                    </a:ln>
                  </pic:spPr>
                </pic:pic>
              </a:graphicData>
            </a:graphic>
          </wp:inline>
        </w:drawing>
      </w:r>
    </w:p>
    <w:p w:rsidR="009451A2" w:rsidRPr="00784311" w:rsidRDefault="009451A2" w:rsidP="009451A2">
      <w:pPr>
        <w:pStyle w:val="SingleTxtG"/>
      </w:pPr>
      <w:r>
        <w:t>4.</w:t>
      </w:r>
      <w:r>
        <w:tab/>
      </w:r>
      <w:r w:rsidRPr="00784311">
        <w:t xml:space="preserve">Des </w:t>
      </w:r>
      <w:r>
        <w:t>professionnels du secteur</w:t>
      </w:r>
      <w:r w:rsidRPr="00784311">
        <w:t xml:space="preserve"> ont demandé pourquoi il restait obligatoire d</w:t>
      </w:r>
      <w:r>
        <w:t>’</w:t>
      </w:r>
      <w:r w:rsidRPr="00784311">
        <w:t>inscrire la date de fabrication à l</w:t>
      </w:r>
      <w:r>
        <w:t>’intérieur du cadre du</w:t>
      </w:r>
      <w:r w:rsidRPr="00784311">
        <w:t xml:space="preserve"> symbole de l</w:t>
      </w:r>
      <w:r>
        <w:t>’</w:t>
      </w:r>
      <w:r w:rsidRPr="00784311">
        <w:t>ONU qui est apposé sur les GRV</w:t>
      </w:r>
      <w:r>
        <w:t>,</w:t>
      </w:r>
      <w:r w:rsidRPr="00784311">
        <w:t xml:space="preserve"> alors que cette date pouvait également être apposée à côté des autres marques e</w:t>
      </w:r>
      <w:r>
        <w:t>t apparaissait à côté du</w:t>
      </w:r>
      <w:r w:rsidRPr="00784311">
        <w:t xml:space="preserve"> symbole de l</w:t>
      </w:r>
      <w:r>
        <w:t>’</w:t>
      </w:r>
      <w:r w:rsidRPr="00784311">
        <w:t>ONU. Cela leur semblait être une répétition de l</w:t>
      </w:r>
      <w:r>
        <w:t>’</w:t>
      </w:r>
      <w:r w:rsidRPr="00784311">
        <w:t>information.</w:t>
      </w:r>
    </w:p>
    <w:p w:rsidR="009451A2" w:rsidRPr="00784311" w:rsidRDefault="009451A2" w:rsidP="009451A2">
      <w:pPr>
        <w:pStyle w:val="SingleTxtG"/>
      </w:pPr>
      <w:r>
        <w:t>5.</w:t>
      </w:r>
      <w:r>
        <w:tab/>
      </w:r>
      <w:r w:rsidRPr="00784311">
        <w:t>La modification apportée en 2012 a été un premier pas dans la bonne direction</w:t>
      </w:r>
      <w:r>
        <w:t>,</w:t>
      </w:r>
      <w:r w:rsidRPr="00784311">
        <w:t xml:space="preserve"> mais il semble qu</w:t>
      </w:r>
      <w:r>
        <w:t>’</w:t>
      </w:r>
      <w:r w:rsidRPr="00784311">
        <w:t>une grande confusion subsiste dans l</w:t>
      </w:r>
      <w:r>
        <w:t>’</w:t>
      </w:r>
      <w:r w:rsidRPr="00784311">
        <w:t>industrie du plastique quant à la manière correcte d</w:t>
      </w:r>
      <w:r>
        <w:t>’</w:t>
      </w:r>
      <w:r w:rsidRPr="00784311">
        <w:t>apposer la date de fabrication. Lors des contrôles routiers ou des vérifications dans les ports, les services d</w:t>
      </w:r>
      <w:r>
        <w:t>’</w:t>
      </w:r>
      <w:r w:rsidRPr="00784311">
        <w:t>inspection constatent que les marques sont apposées de nombreuses manières différentes sur les emballages en plastique. Bien que les manières choisies ne soient pas toujours conformes aux règlements, cette pratique commence à devenir courante (</w:t>
      </w:r>
      <w:r>
        <w:t>v</w:t>
      </w:r>
      <w:r w:rsidRPr="00784311">
        <w:t>oir les photos en annexe). Toutefois, le fait d</w:t>
      </w:r>
      <w:r>
        <w:t>’</w:t>
      </w:r>
      <w:r w:rsidRPr="00784311">
        <w:t>indiquer la date de fabrication de différentes manières n</w:t>
      </w:r>
      <w:r>
        <w:t>’</w:t>
      </w:r>
      <w:r w:rsidRPr="00784311">
        <w:t>étant p</w:t>
      </w:r>
      <w:r w:rsidR="00FA7BB6">
        <w:t>as officiellement autorisé, des</w:t>
      </w:r>
      <w:r w:rsidRPr="00784311">
        <w:t xml:space="preserve"> </w:t>
      </w:r>
      <w:r>
        <w:t xml:space="preserve">envois </w:t>
      </w:r>
      <w:r w:rsidRPr="00784311">
        <w:t>sont bloqués par des inspecteurs en raison d</w:t>
      </w:r>
      <w:r>
        <w:t>’</w:t>
      </w:r>
      <w:r w:rsidRPr="00784311">
        <w:t>interprétations différentes.</w:t>
      </w:r>
    </w:p>
    <w:p w:rsidR="00446FE5" w:rsidRDefault="009451A2" w:rsidP="009451A2">
      <w:pPr>
        <w:pStyle w:val="SingleTxtG"/>
      </w:pPr>
      <w:r>
        <w:t>6.</w:t>
      </w:r>
      <w:r>
        <w:tab/>
      </w:r>
      <w:r w:rsidRPr="00784311">
        <w:t>Une modification supplémentaire s</w:t>
      </w:r>
      <w:r>
        <w:t>’</w:t>
      </w:r>
      <w:r w:rsidRPr="00784311">
        <w:t>appliquant à tous les emballages en plastique et autorisant le placement du cadran dans</w:t>
      </w:r>
      <w:r>
        <w:t xml:space="preserve"> le cadre du</w:t>
      </w:r>
      <w:r w:rsidRPr="00784311">
        <w:t xml:space="preserve"> symbole de l</w:t>
      </w:r>
      <w:r>
        <w:t>’</w:t>
      </w:r>
      <w:r w:rsidR="00FA7BB6">
        <w:t xml:space="preserve">ONU ou à côté </w:t>
      </w:r>
      <w:r w:rsidRPr="00784311">
        <w:t xml:space="preserve">serait la bienvenue. Certains pays autorisent depuis déjà plus de </w:t>
      </w:r>
      <w:r>
        <w:t>dix</w:t>
      </w:r>
      <w:r w:rsidRPr="00784311">
        <w:t xml:space="preserve"> ans l</w:t>
      </w:r>
      <w:r>
        <w:t>’</w:t>
      </w:r>
      <w:r w:rsidRPr="00784311">
        <w:t xml:space="preserve">apposition du cadran seul </w:t>
      </w:r>
      <w:r>
        <w:t>comme</w:t>
      </w:r>
      <w:r w:rsidRPr="00784311">
        <w:t xml:space="preserve"> indication relative au mois et à l</w:t>
      </w:r>
      <w:r>
        <w:t>’</w:t>
      </w:r>
      <w:r w:rsidRPr="00784311">
        <w:t>année dans le cadre réservé au symbole de l</w:t>
      </w:r>
      <w:r>
        <w:t>’</w:t>
      </w:r>
      <w:r w:rsidRPr="00784311">
        <w:t>ONU</w:t>
      </w:r>
      <w:r>
        <w:t>,</w:t>
      </w:r>
      <w:r w:rsidRPr="00784311">
        <w:t xml:space="preserve"> et de nombreux fabricants considèrent qu</w:t>
      </w:r>
      <w:r>
        <w:t>’</w:t>
      </w:r>
      <w:r w:rsidRPr="00784311">
        <w:t>il s</w:t>
      </w:r>
      <w:r>
        <w:t>’</w:t>
      </w:r>
      <w:r w:rsidRPr="00784311">
        <w:t xml:space="preserve">agit </w:t>
      </w:r>
      <w:r>
        <w:t xml:space="preserve">là </w:t>
      </w:r>
      <w:r w:rsidRPr="00784311">
        <w:t>d</w:t>
      </w:r>
      <w:r>
        <w:t>’</w:t>
      </w:r>
      <w:r w:rsidRPr="00784311">
        <w:t>un</w:t>
      </w:r>
      <w:r>
        <w:t>e</w:t>
      </w:r>
      <w:r w:rsidRPr="00784311">
        <w:t xml:space="preserve"> </w:t>
      </w:r>
      <w:r>
        <w:t xml:space="preserve">pratique </w:t>
      </w:r>
      <w:r w:rsidRPr="00784311">
        <w:t>courant</w:t>
      </w:r>
      <w:r>
        <w:t>e</w:t>
      </w:r>
      <w:r w:rsidRPr="00784311">
        <w:t xml:space="preserve"> autorisé</w:t>
      </w:r>
      <w:r>
        <w:t>e</w:t>
      </w:r>
      <w:r w:rsidRPr="00784311">
        <w:t>. De plus en plus d</w:t>
      </w:r>
      <w:r>
        <w:t>’</w:t>
      </w:r>
      <w:r w:rsidRPr="00784311">
        <w:t>entreprises qui ont été absorbées par des groupes plus importants adoptent ce système et l</w:t>
      </w:r>
      <w:r>
        <w:t>’</w:t>
      </w:r>
      <w:r w:rsidRPr="00784311">
        <w:t>utilisent en tant que système unique dans de nombreux pays.</w:t>
      </w:r>
    </w:p>
    <w:p w:rsidR="009451A2" w:rsidRPr="00784311" w:rsidRDefault="009451A2" w:rsidP="009451A2">
      <w:pPr>
        <w:pStyle w:val="SingleTxtG"/>
      </w:pPr>
      <w:r>
        <w:br w:type="page"/>
      </w:r>
      <w:r>
        <w:lastRenderedPageBreak/>
        <w:t>7.</w:t>
      </w:r>
      <w:r>
        <w:tab/>
      </w:r>
      <w:r w:rsidRPr="00784311">
        <w:t>Les solutions ci-après seraient bienvenues</w:t>
      </w:r>
      <w:r>
        <w:t> </w:t>
      </w:r>
      <w:r w:rsidRPr="00784311">
        <w:t>:</w:t>
      </w:r>
    </w:p>
    <w:tbl>
      <w:tblPr>
        <w:tblStyle w:val="TableGrid"/>
        <w:tblW w:w="7370" w:type="dxa"/>
        <w:tblInd w:w="1134" w:type="dxa"/>
        <w:tblLayout w:type="fixed"/>
        <w:tblLook w:val="04A0" w:firstRow="1" w:lastRow="0" w:firstColumn="1" w:lastColumn="0" w:noHBand="0" w:noVBand="1"/>
      </w:tblPr>
      <w:tblGrid>
        <w:gridCol w:w="3474"/>
        <w:gridCol w:w="1392"/>
        <w:gridCol w:w="2504"/>
      </w:tblGrid>
      <w:tr w:rsidR="009451A2" w:rsidRPr="00784311" w:rsidTr="009451A2">
        <w:tc>
          <w:tcPr>
            <w:tcW w:w="3539" w:type="dxa"/>
          </w:tcPr>
          <w:p w:rsidR="009451A2" w:rsidRPr="00784311" w:rsidRDefault="009451A2" w:rsidP="009451A2">
            <w:pPr>
              <w:ind w:left="57" w:right="57"/>
            </w:pPr>
            <w:r w:rsidRPr="00784311">
              <w:rPr>
                <w:noProof/>
                <w:lang w:eastAsia="fr-CH"/>
              </w:rPr>
              <w:drawing>
                <wp:inline distT="0" distB="0" distL="0" distR="0" wp14:anchorId="216B2240" wp14:editId="260DAED8">
                  <wp:extent cx="1727284" cy="7270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BAFB.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960" cy="740829"/>
                          </a:xfrm>
                          <a:prstGeom prst="rect">
                            <a:avLst/>
                          </a:prstGeom>
                        </pic:spPr>
                      </pic:pic>
                    </a:graphicData>
                  </a:graphic>
                </wp:inline>
              </w:drawing>
            </w:r>
          </w:p>
        </w:tc>
        <w:tc>
          <w:tcPr>
            <w:tcW w:w="1418" w:type="dxa"/>
          </w:tcPr>
          <w:p w:rsidR="009451A2" w:rsidRPr="00784311" w:rsidRDefault="009451A2" w:rsidP="009451A2">
            <w:pPr>
              <w:ind w:left="57" w:right="57"/>
            </w:pPr>
            <w:r w:rsidRPr="00784311">
              <w:rPr>
                <w:noProof/>
                <w:lang w:eastAsia="fr-CH"/>
              </w:rPr>
              <w:drawing>
                <wp:inline distT="0" distB="0" distL="0" distR="0" wp14:anchorId="75F953C8" wp14:editId="79100C26">
                  <wp:extent cx="768350" cy="71921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25FE.tmp"/>
                          <pic:cNvPicPr/>
                        </pic:nvPicPr>
                        <pic:blipFill>
                          <a:blip r:embed="rId12">
                            <a:extLst>
                              <a:ext uri="{28A0092B-C50C-407E-A947-70E740481C1C}">
                                <a14:useLocalDpi xmlns:a14="http://schemas.microsoft.com/office/drawing/2010/main" val="0"/>
                              </a:ext>
                            </a:extLst>
                          </a:blip>
                          <a:stretch>
                            <a:fillRect/>
                          </a:stretch>
                        </pic:blipFill>
                        <pic:spPr>
                          <a:xfrm>
                            <a:off x="0" y="0"/>
                            <a:ext cx="783229" cy="733139"/>
                          </a:xfrm>
                          <a:prstGeom prst="rect">
                            <a:avLst/>
                          </a:prstGeom>
                        </pic:spPr>
                      </pic:pic>
                    </a:graphicData>
                  </a:graphic>
                </wp:inline>
              </w:drawing>
            </w:r>
          </w:p>
        </w:tc>
        <w:tc>
          <w:tcPr>
            <w:tcW w:w="2551" w:type="dxa"/>
          </w:tcPr>
          <w:p w:rsidR="009451A2" w:rsidRPr="00784311" w:rsidRDefault="009451A2" w:rsidP="009451A2">
            <w:pPr>
              <w:ind w:left="57" w:right="57"/>
            </w:pPr>
            <w:r w:rsidRPr="00784311">
              <w:t>Le cadran peut être apposé en un endroit différent sur l</w:t>
            </w:r>
            <w:r>
              <w:t>’</w:t>
            </w:r>
            <w:r w:rsidRPr="00784311">
              <w:t>emballage (par exemple, sur le fond de l</w:t>
            </w:r>
            <w:r>
              <w:t>’</w:t>
            </w:r>
            <w:r w:rsidRPr="00784311">
              <w:t>emballage)</w:t>
            </w:r>
          </w:p>
        </w:tc>
      </w:tr>
      <w:tr w:rsidR="009451A2" w:rsidRPr="00784311" w:rsidTr="009451A2">
        <w:tc>
          <w:tcPr>
            <w:tcW w:w="3539" w:type="dxa"/>
          </w:tcPr>
          <w:p w:rsidR="009451A2" w:rsidRPr="00784311" w:rsidRDefault="009451A2" w:rsidP="009451A2">
            <w:pPr>
              <w:ind w:left="57" w:right="57"/>
            </w:pPr>
            <w:r w:rsidRPr="00784311">
              <w:rPr>
                <w:noProof/>
                <w:lang w:eastAsia="fr-CH"/>
              </w:rPr>
              <w:drawing>
                <wp:inline distT="0" distB="0" distL="0" distR="0" wp14:anchorId="77AF0E9A" wp14:editId="11D03371">
                  <wp:extent cx="2035175" cy="772504"/>
                  <wp:effectExtent l="0" t="0" r="317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E41B03.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4137" cy="810068"/>
                          </a:xfrm>
                          <a:prstGeom prst="rect">
                            <a:avLst/>
                          </a:prstGeom>
                        </pic:spPr>
                      </pic:pic>
                    </a:graphicData>
                  </a:graphic>
                </wp:inline>
              </w:drawing>
            </w:r>
          </w:p>
        </w:tc>
        <w:tc>
          <w:tcPr>
            <w:tcW w:w="1418" w:type="dxa"/>
          </w:tcPr>
          <w:p w:rsidR="009451A2" w:rsidRPr="00784311" w:rsidRDefault="009451A2" w:rsidP="009451A2">
            <w:pPr>
              <w:ind w:left="57" w:right="57"/>
            </w:pPr>
          </w:p>
        </w:tc>
        <w:tc>
          <w:tcPr>
            <w:tcW w:w="2551" w:type="dxa"/>
          </w:tcPr>
          <w:p w:rsidR="009451A2" w:rsidRPr="00784311" w:rsidRDefault="009451A2" w:rsidP="009451A2">
            <w:pPr>
              <w:ind w:left="57" w:right="57"/>
            </w:pPr>
            <w:r w:rsidRPr="00784311">
              <w:t>Le cadran est inscrit à l</w:t>
            </w:r>
            <w:r>
              <w:t>’</w:t>
            </w:r>
            <w:r w:rsidRPr="00784311">
              <w:t>intérieur du cadre où se trouve le symbole de l</w:t>
            </w:r>
            <w:r>
              <w:t>’</w:t>
            </w:r>
            <w:r w:rsidRPr="00784311">
              <w:t xml:space="preserve">ONU </w:t>
            </w:r>
          </w:p>
        </w:tc>
      </w:tr>
      <w:tr w:rsidR="009451A2" w:rsidRPr="00784311" w:rsidTr="009451A2">
        <w:tc>
          <w:tcPr>
            <w:tcW w:w="3539" w:type="dxa"/>
          </w:tcPr>
          <w:p w:rsidR="009451A2" w:rsidRPr="00784311" w:rsidRDefault="009451A2" w:rsidP="009451A2">
            <w:pPr>
              <w:ind w:left="57" w:right="57"/>
            </w:pPr>
            <w:r w:rsidRPr="00784311">
              <w:rPr>
                <w:noProof/>
                <w:lang w:eastAsia="fr-CH"/>
              </w:rPr>
              <w:drawing>
                <wp:inline distT="0" distB="0" distL="0" distR="0" wp14:anchorId="7B523583" wp14:editId="1BDBDD06">
                  <wp:extent cx="2133600" cy="7814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2932" cy="825107"/>
                          </a:xfrm>
                          <a:prstGeom prst="rect">
                            <a:avLst/>
                          </a:prstGeom>
                          <a:noFill/>
                        </pic:spPr>
                      </pic:pic>
                    </a:graphicData>
                  </a:graphic>
                </wp:inline>
              </w:drawing>
            </w:r>
          </w:p>
        </w:tc>
        <w:tc>
          <w:tcPr>
            <w:tcW w:w="1418" w:type="dxa"/>
          </w:tcPr>
          <w:p w:rsidR="009451A2" w:rsidRPr="00784311" w:rsidRDefault="009451A2" w:rsidP="009451A2">
            <w:pPr>
              <w:ind w:left="57" w:right="57"/>
            </w:pPr>
          </w:p>
        </w:tc>
        <w:tc>
          <w:tcPr>
            <w:tcW w:w="2551" w:type="dxa"/>
          </w:tcPr>
          <w:p w:rsidR="009451A2" w:rsidRPr="00784311" w:rsidRDefault="009451A2" w:rsidP="009451A2">
            <w:pPr>
              <w:ind w:left="57" w:right="57"/>
            </w:pPr>
            <w:r w:rsidRPr="00784311">
              <w:t>Le cadran est accolé au symbole de l</w:t>
            </w:r>
            <w:r>
              <w:t>’</w:t>
            </w:r>
            <w:r w:rsidRPr="00784311">
              <w:t>ONU ou apposé à côté</w:t>
            </w:r>
          </w:p>
        </w:tc>
      </w:tr>
    </w:tbl>
    <w:p w:rsidR="009451A2" w:rsidRPr="00784311" w:rsidRDefault="009451A2" w:rsidP="009451A2">
      <w:pPr>
        <w:pStyle w:val="HChG"/>
      </w:pPr>
      <w:r w:rsidRPr="00784311">
        <w:tab/>
      </w:r>
      <w:r w:rsidRPr="00784311">
        <w:tab/>
        <w:t>Proposition</w:t>
      </w:r>
    </w:p>
    <w:p w:rsidR="009451A2" w:rsidRPr="00784311" w:rsidRDefault="009451A2" w:rsidP="009451A2">
      <w:pPr>
        <w:pStyle w:val="SingleTxtG"/>
        <w:rPr>
          <w:rFonts w:eastAsia="SimSun"/>
          <w:bCs/>
        </w:rPr>
      </w:pPr>
      <w:r>
        <w:t>8.</w:t>
      </w:r>
      <w:r>
        <w:tab/>
      </w:r>
      <w:r w:rsidRPr="00784311">
        <w:t>Point e) du 6.1.3.1, modifier comme suit (les modifications qu</w:t>
      </w:r>
      <w:r>
        <w:t>’</w:t>
      </w:r>
      <w:r w:rsidRPr="00784311">
        <w:t>il est proposé d</w:t>
      </w:r>
      <w:r>
        <w:t>’</w:t>
      </w:r>
      <w:r w:rsidRPr="00784311">
        <w:t xml:space="preserve">apporter figurent </w:t>
      </w:r>
      <w:r w:rsidRPr="00784311">
        <w:rPr>
          <w:u w:val="single"/>
        </w:rPr>
        <w:t>en caractères soulignés pour les ajouts</w:t>
      </w:r>
      <w:r w:rsidRPr="00784311">
        <w:t xml:space="preserve"> et </w:t>
      </w:r>
      <w:r w:rsidRPr="00784311">
        <w:rPr>
          <w:strike/>
        </w:rPr>
        <w:t>biffés pour les suppressions</w:t>
      </w:r>
      <w:r w:rsidRPr="00784311">
        <w:t>)</w:t>
      </w:r>
      <w:r>
        <w:t> </w:t>
      </w:r>
      <w:r w:rsidRPr="00784311">
        <w:t>:</w:t>
      </w:r>
    </w:p>
    <w:p w:rsidR="009451A2" w:rsidRPr="00784311" w:rsidRDefault="009451A2" w:rsidP="00EE4872">
      <w:pPr>
        <w:pStyle w:val="SingleTxtG"/>
        <w:ind w:left="1701"/>
      </w:pPr>
      <w:r>
        <w:t>« </w:t>
      </w:r>
      <w:r w:rsidRPr="00784311">
        <w:t>Les deux derniers chiffres de l</w:t>
      </w:r>
      <w:r>
        <w:t>’</w:t>
      </w:r>
      <w:r w:rsidRPr="00784311">
        <w:t>année de fabrication de l</w:t>
      </w:r>
      <w:r>
        <w:t>’</w:t>
      </w:r>
      <w:r w:rsidRPr="00784311">
        <w:t>emballage. Les emballages des types 1H et 3H doivent aussi porter l</w:t>
      </w:r>
      <w:r>
        <w:t>’</w:t>
      </w:r>
      <w:r w:rsidRPr="00784311">
        <w:t>inscription du mois de fabrication</w:t>
      </w:r>
      <w:r w:rsidR="00FA7BB6">
        <w:t> </w:t>
      </w:r>
      <w:r w:rsidRPr="00784311">
        <w:t>; cette inscription peut être apposée sur l</w:t>
      </w:r>
      <w:r>
        <w:t>’</w:t>
      </w:r>
      <w:r w:rsidRPr="00784311">
        <w:t>emballage en un endroit différent du reste des marques. À cette fin, on peut utiliser le système ci-dessous</w:t>
      </w:r>
      <w:r>
        <w:t> </w:t>
      </w:r>
      <w:r w:rsidRPr="00784311">
        <w:t>:</w:t>
      </w:r>
    </w:p>
    <w:p w:rsidR="009451A2" w:rsidRPr="00784311" w:rsidRDefault="009451A2" w:rsidP="009451A2">
      <w:pPr>
        <w:pStyle w:val="SingleTxtG"/>
        <w:jc w:val="center"/>
        <w:rPr>
          <w:lang w:val="fr-FR"/>
        </w:rPr>
      </w:pPr>
      <w:r w:rsidRPr="00784311">
        <w:rPr>
          <w:noProof/>
          <w:lang w:eastAsia="fr-CH"/>
        </w:rPr>
        <w:drawing>
          <wp:inline distT="0" distB="0" distL="0" distR="0" wp14:anchorId="5CBB0186" wp14:editId="0D36636D">
            <wp:extent cx="914400" cy="802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02640"/>
                    </a:xfrm>
                    <a:prstGeom prst="rect">
                      <a:avLst/>
                    </a:prstGeom>
                    <a:noFill/>
                  </pic:spPr>
                </pic:pic>
              </a:graphicData>
            </a:graphic>
          </wp:inline>
        </w:drawing>
      </w:r>
    </w:p>
    <w:p w:rsidR="009451A2" w:rsidRPr="00784311" w:rsidRDefault="009451A2" w:rsidP="00EE4872">
      <w:pPr>
        <w:pStyle w:val="SingleTxtG"/>
        <w:ind w:left="1701"/>
        <w:rPr>
          <w:color w:val="000000"/>
        </w:rPr>
      </w:pPr>
      <w:r w:rsidRPr="00784311">
        <w:t>*</w:t>
      </w:r>
      <w:r w:rsidRPr="00784311">
        <w:tab/>
        <w:t>Les deux derniers chiffres de l</w:t>
      </w:r>
      <w:r>
        <w:t>’</w:t>
      </w:r>
      <w:r w:rsidRPr="00784311">
        <w:t xml:space="preserve">année de fabrication peuvent être indiqués à cet emplacement. </w:t>
      </w:r>
      <w:r w:rsidRPr="00BA116E">
        <w:rPr>
          <w:u w:val="single"/>
        </w:rPr>
        <w:t>Dans ce cas, et à condition que le cadran soit accolé au symbole type de l’ONU, l’indication de l’année dans la marque d’</w:t>
      </w:r>
      <w:r w:rsidR="00FA7BB6" w:rsidRPr="00BA116E">
        <w:rPr>
          <w:u w:val="single"/>
        </w:rPr>
        <w:t>homologation de type</w:t>
      </w:r>
      <w:r w:rsidRPr="00BA116E">
        <w:rPr>
          <w:u w:val="single"/>
        </w:rPr>
        <w:t xml:space="preserve"> n’est pas obligatoire. Toutefois, si le cadran n’est pas accolé au symbole type de l’ONU,</w:t>
      </w:r>
      <w:r w:rsidRPr="00784311">
        <w:t xml:space="preserve"> </w:t>
      </w:r>
      <w:r w:rsidRPr="00784311">
        <w:rPr>
          <w:strike/>
        </w:rPr>
        <w:t>Dans ce cas,</w:t>
      </w:r>
      <w:r w:rsidRPr="00784311">
        <w:t xml:space="preserve"> les deux chiffres indiquant l</w:t>
      </w:r>
      <w:r>
        <w:t>’</w:t>
      </w:r>
      <w:r w:rsidRPr="00784311">
        <w:t xml:space="preserve">année dans la marque </w:t>
      </w:r>
      <w:r w:rsidRPr="00784311">
        <w:rPr>
          <w:strike/>
        </w:rPr>
        <w:t>d</w:t>
      </w:r>
      <w:r>
        <w:rPr>
          <w:strike/>
        </w:rPr>
        <w:t>’</w:t>
      </w:r>
      <w:r w:rsidRPr="00784311">
        <w:rPr>
          <w:strike/>
        </w:rPr>
        <w:t>homologation de type</w:t>
      </w:r>
      <w:r w:rsidRPr="00784311">
        <w:t xml:space="preserve"> et dans le cadran </w:t>
      </w:r>
      <w:r w:rsidRPr="00E016B7">
        <w:rPr>
          <w:u w:val="single"/>
        </w:rPr>
        <w:t>doivent</w:t>
      </w:r>
      <w:r w:rsidRPr="00784311">
        <w:t xml:space="preserve"> être identiques</w:t>
      </w:r>
      <w:r w:rsidR="00EE4872">
        <w:t>.</w:t>
      </w:r>
    </w:p>
    <w:p w:rsidR="009451A2" w:rsidRPr="00784311" w:rsidRDefault="009451A2" w:rsidP="00EE4872">
      <w:pPr>
        <w:pStyle w:val="SingleTxtG"/>
        <w:ind w:left="1701"/>
      </w:pPr>
      <w:r w:rsidRPr="00EE4872">
        <w:rPr>
          <w:b/>
          <w:bCs/>
          <w:i/>
        </w:rPr>
        <w:t>NOTA</w:t>
      </w:r>
      <w:r w:rsidR="00EE4872" w:rsidRPr="00EE4872">
        <w:rPr>
          <w:b/>
          <w:bCs/>
          <w:i/>
        </w:rPr>
        <w:t> </w:t>
      </w:r>
      <w:r w:rsidRPr="00EE4872">
        <w:rPr>
          <w:i/>
        </w:rPr>
        <w:t>: Toute autre méthode fournissant le minimum des renseignements requis, d’une manière durable, lisible et visible, est aussi acceptable.</w:t>
      </w:r>
      <w:r w:rsidR="00EE4872">
        <w:t> »</w:t>
      </w:r>
      <w:r w:rsidRPr="00784311">
        <w:t>.</w:t>
      </w:r>
    </w:p>
    <w:p w:rsidR="009451A2" w:rsidRPr="00784311" w:rsidRDefault="009451A2" w:rsidP="00EE4872">
      <w:pPr>
        <w:pStyle w:val="SingleTxtG"/>
        <w:rPr>
          <w:rFonts w:eastAsia="SimSun"/>
          <w:bCs/>
        </w:rPr>
      </w:pPr>
      <w:r w:rsidRPr="00784311">
        <w:t>9.</w:t>
      </w:r>
      <w:r w:rsidRPr="00784311">
        <w:tab/>
        <w:t>Second paragraphe du 6.5.2.2.4, modifier comme suit (les modifications qu</w:t>
      </w:r>
      <w:r>
        <w:t>’</w:t>
      </w:r>
      <w:r w:rsidRPr="00784311">
        <w:t>il est proposé d</w:t>
      </w:r>
      <w:r>
        <w:t>’</w:t>
      </w:r>
      <w:r w:rsidRPr="00784311">
        <w:t xml:space="preserve">apporter figurent </w:t>
      </w:r>
      <w:r w:rsidRPr="00784311">
        <w:rPr>
          <w:u w:val="single"/>
        </w:rPr>
        <w:t>en caractères soulignés pour les ajouts</w:t>
      </w:r>
      <w:r w:rsidRPr="00784311">
        <w:t xml:space="preserve"> et </w:t>
      </w:r>
      <w:r w:rsidRPr="00784311">
        <w:rPr>
          <w:strike/>
        </w:rPr>
        <w:t>biffés pour les suppressions</w:t>
      </w:r>
      <w:r w:rsidR="00EE4872">
        <w:t>) </w:t>
      </w:r>
      <w:r w:rsidRPr="00784311">
        <w:t>:</w:t>
      </w:r>
    </w:p>
    <w:p w:rsidR="009451A2" w:rsidRDefault="00EE4872" w:rsidP="00EE4872">
      <w:pPr>
        <w:pStyle w:val="SingleTxtG"/>
        <w:ind w:left="1701"/>
      </w:pPr>
      <w:r>
        <w:t>« </w:t>
      </w:r>
      <w:r w:rsidR="009451A2" w:rsidRPr="00784311">
        <w:t xml:space="preserve">La date de fabrication du </w:t>
      </w:r>
      <w:r w:rsidR="009451A2" w:rsidRPr="00A61296">
        <w:t>récipient intérieur en plastique</w:t>
      </w:r>
      <w:r w:rsidR="009451A2" w:rsidRPr="00784311">
        <w:t xml:space="preserve"> peut également être apposée sur le récipient intérieur à côté des autres marques. Dans ce cas, </w:t>
      </w:r>
      <w:r w:rsidR="009451A2" w:rsidRPr="00784311">
        <w:rPr>
          <w:u w:val="single"/>
        </w:rPr>
        <w:t>il n</w:t>
      </w:r>
      <w:r w:rsidR="009451A2">
        <w:rPr>
          <w:u w:val="single"/>
        </w:rPr>
        <w:t>’</w:t>
      </w:r>
      <w:r w:rsidR="009451A2" w:rsidRPr="00784311">
        <w:rPr>
          <w:u w:val="single"/>
        </w:rPr>
        <w:t xml:space="preserve">est pas obligatoire que la date figure parmi les autres marques </w:t>
      </w:r>
      <w:r w:rsidR="009451A2" w:rsidRPr="00784311">
        <w:rPr>
          <w:strike/>
        </w:rPr>
        <w:t>les deux chiffres indiquant l</w:t>
      </w:r>
      <w:r w:rsidR="009451A2">
        <w:rPr>
          <w:strike/>
        </w:rPr>
        <w:t>’</w:t>
      </w:r>
      <w:r w:rsidR="009451A2" w:rsidRPr="00784311">
        <w:rPr>
          <w:strike/>
        </w:rPr>
        <w:t>année dans la marque et dans le cadran doivent être identiques</w:t>
      </w:r>
      <w:r w:rsidR="009451A2" w:rsidRPr="00784311">
        <w:t>. Exemple d</w:t>
      </w:r>
      <w:r w:rsidR="009451A2">
        <w:t>’</w:t>
      </w:r>
      <w:r w:rsidR="009451A2" w:rsidRPr="00784311">
        <w:t>une méthode de marquage appropriée</w:t>
      </w:r>
      <w:r>
        <w:t> </w:t>
      </w:r>
      <w:r w:rsidR="009451A2" w:rsidRPr="00784311">
        <w:t>: (...)</w:t>
      </w:r>
      <w:r>
        <w:t> »</w:t>
      </w:r>
      <w:r w:rsidR="009451A2" w:rsidRPr="00784311">
        <w:t>. [</w:t>
      </w:r>
      <w:r w:rsidR="009451A2" w:rsidRPr="00784311">
        <w:rPr>
          <w:i/>
          <w:iCs/>
        </w:rPr>
        <w:t>L</w:t>
      </w:r>
      <w:r w:rsidR="009451A2">
        <w:rPr>
          <w:i/>
          <w:iCs/>
        </w:rPr>
        <w:t>’</w:t>
      </w:r>
      <w:r w:rsidR="009451A2" w:rsidRPr="00784311">
        <w:rPr>
          <w:i/>
          <w:iCs/>
        </w:rPr>
        <w:t>illustration de la méthode de marquage et le texte des notes 1 et 2 s</w:t>
      </w:r>
      <w:r w:rsidR="009451A2">
        <w:rPr>
          <w:i/>
          <w:iCs/>
        </w:rPr>
        <w:t>’</w:t>
      </w:r>
      <w:r w:rsidR="009451A2" w:rsidRPr="00784311">
        <w:rPr>
          <w:i/>
          <w:iCs/>
        </w:rPr>
        <w:t>y rapportant demeurent inchangés.</w:t>
      </w:r>
      <w:r w:rsidR="009451A2" w:rsidRPr="00784311">
        <w:t>]</w:t>
      </w:r>
    </w:p>
    <w:p w:rsidR="009451A2" w:rsidRPr="00784311" w:rsidRDefault="00EE4872" w:rsidP="00EE4872">
      <w:pPr>
        <w:pStyle w:val="HChG"/>
      </w:pPr>
      <w:r>
        <w:br w:type="page"/>
      </w:r>
      <w:r w:rsidR="009451A2" w:rsidRPr="00784311">
        <w:lastRenderedPageBreak/>
        <w:t>Annexe</w:t>
      </w:r>
    </w:p>
    <w:p w:rsidR="009451A2" w:rsidRPr="00784311" w:rsidRDefault="009451A2" w:rsidP="00EE4872">
      <w:pPr>
        <w:pStyle w:val="HChG"/>
      </w:pPr>
      <w:r w:rsidRPr="00784311">
        <w:tab/>
      </w:r>
      <w:r w:rsidRPr="00784311">
        <w:tab/>
        <w:t>Photos prises sur des sites d</w:t>
      </w:r>
      <w:r>
        <w:t>’</w:t>
      </w:r>
      <w:r w:rsidRPr="00784311">
        <w:t xml:space="preserve">inspection et lors de contrôles </w:t>
      </w:r>
      <w:r w:rsidR="00EE4872">
        <w:br/>
      </w:r>
      <w:r w:rsidRPr="00784311">
        <w:t>de production</w:t>
      </w:r>
    </w:p>
    <w:p w:rsidR="009451A2" w:rsidRPr="00784311" w:rsidRDefault="009451A2" w:rsidP="00EE4872">
      <w:pPr>
        <w:pStyle w:val="SingleTxtG"/>
        <w:jc w:val="left"/>
      </w:pPr>
      <w:r w:rsidRPr="00784311">
        <w:rPr>
          <w:noProof/>
          <w:lang w:eastAsia="fr-CH"/>
        </w:rPr>
        <w:drawing>
          <wp:inline distT="0" distB="0" distL="0" distR="0" wp14:anchorId="008E19B8" wp14:editId="667D5267">
            <wp:extent cx="3409315" cy="2508250"/>
            <wp:effectExtent l="0" t="0" r="635" b="6350"/>
            <wp:docPr id="5" name="Picture 1" descr="C:\Users\Maxence.Wittebolle\AppData\Local\Microsoft\Windows\Temporary Internet Files\Content.Outlook\RBVUIZHW\IMG_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xence.Wittebolle\AppData\Local\Microsoft\Windows\Temporary Internet Files\Content.Outlook\RBVUIZHW\IMG_284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60045" cy="2619143"/>
                    </a:xfrm>
                    <a:prstGeom prst="rect">
                      <a:avLst/>
                    </a:prstGeom>
                    <a:noFill/>
                    <a:ln>
                      <a:noFill/>
                    </a:ln>
                  </pic:spPr>
                </pic:pic>
              </a:graphicData>
            </a:graphic>
          </wp:inline>
        </w:drawing>
      </w:r>
    </w:p>
    <w:p w:rsidR="009451A2" w:rsidRPr="00784311" w:rsidRDefault="009451A2" w:rsidP="00EE4872">
      <w:pPr>
        <w:pStyle w:val="SingleTxtG"/>
      </w:pPr>
      <w:r w:rsidRPr="00784311">
        <w:rPr>
          <w:noProof/>
          <w:lang w:eastAsia="fr-CH"/>
        </w:rPr>
        <w:drawing>
          <wp:inline distT="0" distB="0" distL="0" distR="0" wp14:anchorId="70CF19D9" wp14:editId="541F9CBB">
            <wp:extent cx="3790950" cy="1962150"/>
            <wp:effectExtent l="0" t="0" r="0" b="0"/>
            <wp:docPr id="10" name="Picture 10" descr="cid:_1_11F0AEB811F0AAE00027FD80C1257F1C"/>
            <wp:cNvGraphicFramePr/>
            <a:graphic xmlns:a="http://schemas.openxmlformats.org/drawingml/2006/main">
              <a:graphicData uri="http://schemas.openxmlformats.org/drawingml/2006/picture">
                <pic:pic xmlns:pic="http://schemas.openxmlformats.org/drawingml/2006/picture">
                  <pic:nvPicPr>
                    <pic:cNvPr id="2" name="Picture 2" descr="cid:_1_11F0AEB811F0AAE00027FD80C1257F1C"/>
                    <pic:cNvPicPr/>
                  </pic:nvPicPr>
                  <pic:blipFill rotWithShape="1">
                    <a:blip r:embed="rId17" r:link="rId18" cstate="print">
                      <a:extLst>
                        <a:ext uri="{28A0092B-C50C-407E-A947-70E740481C1C}">
                          <a14:useLocalDpi xmlns:a14="http://schemas.microsoft.com/office/drawing/2010/main" val="0"/>
                        </a:ext>
                      </a:extLst>
                    </a:blip>
                    <a:srcRect t="8707" b="16895"/>
                    <a:stretch/>
                  </pic:blipFill>
                  <pic:spPr bwMode="auto">
                    <a:xfrm>
                      <a:off x="0" y="0"/>
                      <a:ext cx="3790950" cy="1962150"/>
                    </a:xfrm>
                    <a:prstGeom prst="rect">
                      <a:avLst/>
                    </a:prstGeom>
                    <a:noFill/>
                    <a:ln>
                      <a:noFill/>
                    </a:ln>
                    <a:extLst>
                      <a:ext uri="{53640926-AAD7-44D8-BBD7-CCE9431645EC}">
                        <a14:shadowObscured xmlns:a14="http://schemas.microsoft.com/office/drawing/2010/main"/>
                      </a:ext>
                    </a:extLst>
                  </pic:spPr>
                </pic:pic>
              </a:graphicData>
            </a:graphic>
          </wp:inline>
        </w:drawing>
      </w:r>
    </w:p>
    <w:p w:rsidR="009451A2" w:rsidRPr="00784311" w:rsidRDefault="009451A2" w:rsidP="00EE4872">
      <w:pPr>
        <w:pStyle w:val="SingleTxtG"/>
      </w:pPr>
      <w:r w:rsidRPr="00784311">
        <w:rPr>
          <w:noProof/>
          <w:lang w:eastAsia="fr-CH"/>
        </w:rPr>
        <w:drawing>
          <wp:inline distT="0" distB="0" distL="0" distR="0" wp14:anchorId="5BCC985C" wp14:editId="52FDE6E0">
            <wp:extent cx="4248150" cy="930350"/>
            <wp:effectExtent l="0" t="0" r="0" b="317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1378" cy="931057"/>
                    </a:xfrm>
                    <a:prstGeom prst="rect">
                      <a:avLst/>
                    </a:prstGeom>
                    <a:noFill/>
                  </pic:spPr>
                </pic:pic>
              </a:graphicData>
            </a:graphic>
          </wp:inline>
        </w:drawing>
      </w:r>
    </w:p>
    <w:p w:rsidR="009451A2" w:rsidRDefault="00EE4872" w:rsidP="00EE4872">
      <w:pPr>
        <w:pStyle w:val="H23G"/>
      </w:pPr>
      <w:r>
        <w:tab/>
      </w:r>
      <w:r>
        <w:tab/>
      </w:r>
      <w:r w:rsidR="009451A2">
        <w:t>Application de la m</w:t>
      </w:r>
      <w:r w:rsidR="009451A2" w:rsidRPr="00784311">
        <w:t>arque telle qu</w:t>
      </w:r>
      <w:r w:rsidR="009451A2">
        <w:t>’</w:t>
      </w:r>
      <w:r w:rsidR="009451A2" w:rsidRPr="00784311">
        <w:t>elle a été décrite</w:t>
      </w:r>
    </w:p>
    <w:tbl>
      <w:tblPr>
        <w:tblStyle w:val="TableGrid"/>
        <w:tblpPr w:leftFromText="180" w:rightFromText="180" w:vertAnchor="text" w:tblpXSpec="center" w:tblpY="1"/>
        <w:tblOverlap w:val="never"/>
        <w:tblW w:w="7370" w:type="dxa"/>
        <w:tblLayout w:type="fixed"/>
        <w:tblLook w:val="04A0" w:firstRow="1" w:lastRow="0" w:firstColumn="1" w:lastColumn="0" w:noHBand="0" w:noVBand="1"/>
      </w:tblPr>
      <w:tblGrid>
        <w:gridCol w:w="4912"/>
        <w:gridCol w:w="2458"/>
      </w:tblGrid>
      <w:tr w:rsidR="00EE4872" w:rsidRPr="00784311" w:rsidTr="00931DF2">
        <w:tc>
          <w:tcPr>
            <w:tcW w:w="5098" w:type="dxa"/>
          </w:tcPr>
          <w:p w:rsidR="00EE4872" w:rsidRPr="00784311" w:rsidRDefault="00EE4872" w:rsidP="00931DF2">
            <w:pPr>
              <w:ind w:left="57" w:right="57"/>
            </w:pPr>
            <w:r w:rsidRPr="00784311">
              <w:t>Sur le côté de l</w:t>
            </w:r>
            <w:r>
              <w:t>’</w:t>
            </w:r>
            <w:r w:rsidRPr="00784311">
              <w:t>emballage</w:t>
            </w:r>
          </w:p>
        </w:tc>
        <w:tc>
          <w:tcPr>
            <w:tcW w:w="2551" w:type="dxa"/>
          </w:tcPr>
          <w:p w:rsidR="00EE4872" w:rsidRPr="00784311" w:rsidRDefault="00EE4872" w:rsidP="00931DF2">
            <w:pPr>
              <w:ind w:left="57" w:right="57"/>
            </w:pPr>
            <w:r w:rsidRPr="00784311">
              <w:t>À un autre emplacement sur l</w:t>
            </w:r>
            <w:r>
              <w:t>’</w:t>
            </w:r>
            <w:r w:rsidRPr="00784311">
              <w:t>emballage</w:t>
            </w:r>
          </w:p>
        </w:tc>
      </w:tr>
      <w:tr w:rsidR="00EE4872" w:rsidRPr="00784311" w:rsidTr="00931DF2">
        <w:tc>
          <w:tcPr>
            <w:tcW w:w="5098" w:type="dxa"/>
          </w:tcPr>
          <w:p w:rsidR="00EE4872" w:rsidRPr="00784311" w:rsidRDefault="00EE4872" w:rsidP="00931DF2">
            <w:pPr>
              <w:ind w:left="57" w:right="57"/>
            </w:pPr>
            <w:r w:rsidRPr="00784311">
              <w:rPr>
                <w:noProof/>
                <w:lang w:eastAsia="fr-CH"/>
              </w:rPr>
              <w:drawing>
                <wp:inline distT="0" distB="0" distL="0" distR="0" wp14:anchorId="282DEF66" wp14:editId="0545D7DA">
                  <wp:extent cx="3035300" cy="794317"/>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14851" cy="815135"/>
                          </a:xfrm>
                          <a:prstGeom prst="rect">
                            <a:avLst/>
                          </a:prstGeom>
                        </pic:spPr>
                      </pic:pic>
                    </a:graphicData>
                  </a:graphic>
                </wp:inline>
              </w:drawing>
            </w:r>
          </w:p>
        </w:tc>
        <w:tc>
          <w:tcPr>
            <w:tcW w:w="2551" w:type="dxa"/>
          </w:tcPr>
          <w:p w:rsidR="00EE4872" w:rsidRPr="00784311" w:rsidRDefault="00EE4872" w:rsidP="00931DF2">
            <w:pPr>
              <w:ind w:left="57" w:right="57"/>
            </w:pPr>
            <w:r w:rsidRPr="00784311">
              <w:tab/>
            </w:r>
            <w:r w:rsidRPr="00784311">
              <w:rPr>
                <w:noProof/>
                <w:lang w:eastAsia="fr-CH"/>
              </w:rPr>
              <w:drawing>
                <wp:inline distT="0" distB="0" distL="0" distR="0" wp14:anchorId="637677B9" wp14:editId="52DBD085">
                  <wp:extent cx="871172" cy="759049"/>
                  <wp:effectExtent l="0" t="0" r="571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9726" cy="775215"/>
                          </a:xfrm>
                          <a:prstGeom prst="rect">
                            <a:avLst/>
                          </a:prstGeom>
                          <a:noFill/>
                        </pic:spPr>
                      </pic:pic>
                    </a:graphicData>
                  </a:graphic>
                </wp:inline>
              </w:drawing>
            </w:r>
          </w:p>
        </w:tc>
      </w:tr>
    </w:tbl>
    <w:p w:rsidR="00EE4872" w:rsidRDefault="00EE4872" w:rsidP="00EE4872">
      <w:pPr>
        <w:pStyle w:val="SingleTxtG"/>
      </w:pPr>
    </w:p>
    <w:p w:rsidR="00EE4872" w:rsidRDefault="00EE4872" w:rsidP="00EE4872">
      <w:pPr>
        <w:pStyle w:val="SingleTxtG"/>
      </w:pPr>
    </w:p>
    <w:p w:rsidR="00EE4872" w:rsidRPr="00EE4872" w:rsidRDefault="00EE4872" w:rsidP="00EE4872">
      <w:pPr>
        <w:pStyle w:val="SingleTxtG"/>
      </w:pPr>
    </w:p>
    <w:p w:rsidR="009451A2" w:rsidRDefault="009451A2" w:rsidP="009451A2">
      <w:pPr>
        <w:pStyle w:val="SingleTxtG"/>
        <w:rPr>
          <w:sz w:val="32"/>
          <w:szCs w:val="32"/>
        </w:rPr>
      </w:pPr>
    </w:p>
    <w:p w:rsidR="009451A2" w:rsidRDefault="009451A2" w:rsidP="009451A2">
      <w:pPr>
        <w:pStyle w:val="SingleTxtG"/>
      </w:pPr>
    </w:p>
    <w:p w:rsidR="009451A2" w:rsidRPr="00EE4872" w:rsidRDefault="00EE4872" w:rsidP="00EE4872">
      <w:pPr>
        <w:pStyle w:val="SingleTxtG"/>
        <w:spacing w:before="240" w:after="0"/>
        <w:jc w:val="center"/>
        <w:rPr>
          <w:u w:val="single"/>
        </w:rPr>
      </w:pPr>
      <w:r>
        <w:rPr>
          <w:u w:val="single"/>
        </w:rPr>
        <w:tab/>
      </w:r>
      <w:r>
        <w:rPr>
          <w:u w:val="single"/>
        </w:rPr>
        <w:tab/>
      </w:r>
      <w:r>
        <w:rPr>
          <w:u w:val="single"/>
        </w:rPr>
        <w:tab/>
      </w:r>
    </w:p>
    <w:sectPr w:rsidR="009451A2" w:rsidRPr="00EE4872" w:rsidSect="009451A2">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BD" w:rsidRDefault="001957BD" w:rsidP="00F95C08">
      <w:pPr>
        <w:spacing w:line="240" w:lineRule="auto"/>
      </w:pPr>
    </w:p>
  </w:endnote>
  <w:endnote w:type="continuationSeparator" w:id="0">
    <w:p w:rsidR="001957BD" w:rsidRPr="00AC3823" w:rsidRDefault="001957BD" w:rsidP="00AC3823">
      <w:pPr>
        <w:pStyle w:val="Footer"/>
      </w:pPr>
    </w:p>
  </w:endnote>
  <w:endnote w:type="continuationNotice" w:id="1">
    <w:p w:rsidR="001957BD" w:rsidRDefault="001957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A2" w:rsidRPr="009451A2" w:rsidRDefault="009451A2" w:rsidP="009451A2">
    <w:pPr>
      <w:pStyle w:val="Footer"/>
      <w:tabs>
        <w:tab w:val="right" w:pos="9638"/>
      </w:tabs>
    </w:pPr>
    <w:r w:rsidRPr="009451A2">
      <w:rPr>
        <w:b/>
        <w:sz w:val="18"/>
      </w:rPr>
      <w:fldChar w:fldCharType="begin"/>
    </w:r>
    <w:r w:rsidRPr="009451A2">
      <w:rPr>
        <w:b/>
        <w:sz w:val="18"/>
      </w:rPr>
      <w:instrText xml:space="preserve"> PAGE  \* MERGEFORMAT </w:instrText>
    </w:r>
    <w:r w:rsidRPr="009451A2">
      <w:rPr>
        <w:b/>
        <w:sz w:val="18"/>
      </w:rPr>
      <w:fldChar w:fldCharType="separate"/>
    </w:r>
    <w:r w:rsidR="00703F64">
      <w:rPr>
        <w:b/>
        <w:noProof/>
        <w:sz w:val="18"/>
      </w:rPr>
      <w:t>4</w:t>
    </w:r>
    <w:r w:rsidRPr="009451A2">
      <w:rPr>
        <w:b/>
        <w:sz w:val="18"/>
      </w:rPr>
      <w:fldChar w:fldCharType="end"/>
    </w:r>
    <w:r>
      <w:rPr>
        <w:b/>
        <w:sz w:val="18"/>
      </w:rPr>
      <w:tab/>
    </w:r>
    <w:r>
      <w:t>GE.18-05417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A2" w:rsidRPr="009451A2" w:rsidRDefault="009451A2" w:rsidP="009451A2">
    <w:pPr>
      <w:pStyle w:val="Footer"/>
      <w:tabs>
        <w:tab w:val="right" w:pos="9638"/>
      </w:tabs>
      <w:rPr>
        <w:b/>
        <w:sz w:val="18"/>
      </w:rPr>
    </w:pPr>
    <w:r>
      <w:t>GE.18-05417</w:t>
    </w:r>
    <w:r>
      <w:tab/>
    </w:r>
    <w:r w:rsidRPr="009451A2">
      <w:rPr>
        <w:b/>
        <w:sz w:val="18"/>
      </w:rPr>
      <w:fldChar w:fldCharType="begin"/>
    </w:r>
    <w:r w:rsidRPr="009451A2">
      <w:rPr>
        <w:b/>
        <w:sz w:val="18"/>
      </w:rPr>
      <w:instrText xml:space="preserve"> PAGE  \* MERGEFORMAT </w:instrText>
    </w:r>
    <w:r w:rsidRPr="009451A2">
      <w:rPr>
        <w:b/>
        <w:sz w:val="18"/>
      </w:rPr>
      <w:fldChar w:fldCharType="separate"/>
    </w:r>
    <w:r w:rsidR="00703F64">
      <w:rPr>
        <w:b/>
        <w:noProof/>
        <w:sz w:val="18"/>
      </w:rPr>
      <w:t>5</w:t>
    </w:r>
    <w:r w:rsidRPr="009451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9451A2" w:rsidRDefault="009451A2" w:rsidP="009451A2">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7" name="Image 7"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05417  (</w:t>
    </w:r>
    <w:proofErr w:type="gramEnd"/>
    <w:r>
      <w:rPr>
        <w:sz w:val="20"/>
      </w:rPr>
      <w:t>F)    080518    080518</w:t>
    </w:r>
    <w:r>
      <w:rPr>
        <w:sz w:val="20"/>
      </w:rPr>
      <w:br/>
    </w:r>
    <w:r w:rsidRPr="009451A2">
      <w:rPr>
        <w:rFonts w:ascii="C39T30Lfz" w:hAnsi="C39T30Lfz"/>
        <w:sz w:val="56"/>
      </w:rPr>
      <w:t></w:t>
    </w:r>
    <w:r w:rsidRPr="009451A2">
      <w:rPr>
        <w:rFonts w:ascii="C39T30Lfz" w:hAnsi="C39T30Lfz"/>
        <w:sz w:val="56"/>
      </w:rPr>
      <w:t></w:t>
    </w:r>
    <w:r w:rsidRPr="009451A2">
      <w:rPr>
        <w:rFonts w:ascii="C39T30Lfz" w:hAnsi="C39T30Lfz"/>
        <w:sz w:val="56"/>
      </w:rPr>
      <w:t></w:t>
    </w:r>
    <w:r w:rsidRPr="009451A2">
      <w:rPr>
        <w:rFonts w:ascii="C39T30Lfz" w:hAnsi="C39T30Lfz"/>
        <w:sz w:val="56"/>
      </w:rPr>
      <w:t></w:t>
    </w:r>
    <w:r w:rsidRPr="009451A2">
      <w:rPr>
        <w:rFonts w:ascii="C39T30Lfz" w:hAnsi="C39T30Lfz"/>
        <w:sz w:val="56"/>
      </w:rPr>
      <w:t></w:t>
    </w:r>
    <w:r w:rsidRPr="009451A2">
      <w:rPr>
        <w:rFonts w:ascii="C39T30Lfz" w:hAnsi="C39T30Lfz"/>
        <w:sz w:val="56"/>
      </w:rPr>
      <w:t></w:t>
    </w:r>
    <w:r w:rsidRPr="009451A2">
      <w:rPr>
        <w:rFonts w:ascii="C39T30Lfz" w:hAnsi="C39T30Lfz"/>
        <w:sz w:val="56"/>
      </w:rPr>
      <w:t></w:t>
    </w:r>
    <w:r w:rsidRPr="009451A2">
      <w:rPr>
        <w:rFonts w:ascii="C39T30Lfz" w:hAnsi="C39T30Lfz"/>
        <w:sz w:val="56"/>
      </w:rPr>
      <w:t></w:t>
    </w:r>
    <w:r w:rsidRPr="009451A2">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8" name="Image 1" descr="https://undocs.org/m2/QRCode.ashx?DS=ST/SG/AC.10/C.3/2018/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BD" w:rsidRPr="00AC3823" w:rsidRDefault="001957BD" w:rsidP="00AC3823">
      <w:pPr>
        <w:pStyle w:val="Footer"/>
        <w:tabs>
          <w:tab w:val="right" w:pos="2155"/>
        </w:tabs>
        <w:spacing w:after="80" w:line="240" w:lineRule="atLeast"/>
        <w:ind w:left="680"/>
        <w:rPr>
          <w:u w:val="single"/>
        </w:rPr>
      </w:pPr>
      <w:r>
        <w:rPr>
          <w:u w:val="single"/>
        </w:rPr>
        <w:tab/>
      </w:r>
    </w:p>
  </w:footnote>
  <w:footnote w:type="continuationSeparator" w:id="0">
    <w:p w:rsidR="001957BD" w:rsidRPr="00AC3823" w:rsidRDefault="001957BD" w:rsidP="00AC3823">
      <w:pPr>
        <w:pStyle w:val="Footer"/>
        <w:tabs>
          <w:tab w:val="right" w:pos="2155"/>
        </w:tabs>
        <w:spacing w:after="80" w:line="240" w:lineRule="atLeast"/>
        <w:ind w:left="680"/>
        <w:rPr>
          <w:u w:val="single"/>
        </w:rPr>
      </w:pPr>
      <w:r>
        <w:rPr>
          <w:u w:val="single"/>
        </w:rPr>
        <w:tab/>
      </w:r>
    </w:p>
  </w:footnote>
  <w:footnote w:type="continuationNotice" w:id="1">
    <w:p w:rsidR="001957BD" w:rsidRPr="00AC3823" w:rsidRDefault="001957BD">
      <w:pPr>
        <w:spacing w:line="240" w:lineRule="auto"/>
        <w:rPr>
          <w:sz w:val="2"/>
          <w:szCs w:val="2"/>
        </w:rPr>
      </w:pPr>
    </w:p>
  </w:footnote>
  <w:footnote w:id="2">
    <w:p w:rsidR="00C53336" w:rsidRPr="00C53336" w:rsidRDefault="00C53336">
      <w:pPr>
        <w:pStyle w:val="FootnoteText"/>
      </w:pPr>
      <w:r>
        <w:rPr>
          <w:rStyle w:val="FootnoteReference"/>
        </w:rPr>
        <w:tab/>
      </w:r>
      <w:r w:rsidRPr="00C53336">
        <w:rPr>
          <w:rStyle w:val="FootnoteReference"/>
          <w:sz w:val="20"/>
          <w:vertAlign w:val="baseline"/>
        </w:rPr>
        <w:t>*</w:t>
      </w:r>
      <w:r>
        <w:rPr>
          <w:rStyle w:val="FootnoteReference"/>
          <w:sz w:val="20"/>
          <w:vertAlign w:val="baseline"/>
        </w:rPr>
        <w:tab/>
      </w:r>
      <w:r w:rsidRPr="00D95169">
        <w:t xml:space="preserve">Conformément au programme de travail du Sous-Comité pour la période 2017-2018, approuvé par le Comité à sa huitième session </w:t>
      </w:r>
      <w:r>
        <w:t>(voir ST/SG/AC.10/C.3/100, par. 98 et ST/SG/AC.10/44, par. </w:t>
      </w:r>
      <w:r w:rsidRPr="00D95169">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A2" w:rsidRPr="009451A2" w:rsidRDefault="00703F64">
    <w:pPr>
      <w:pStyle w:val="Header"/>
    </w:pPr>
    <w:r>
      <w:fldChar w:fldCharType="begin"/>
    </w:r>
    <w:r>
      <w:instrText xml:space="preserve"> TITLE  \* MERGEFORMAT </w:instrText>
    </w:r>
    <w:r>
      <w:fldChar w:fldCharType="separate"/>
    </w:r>
    <w:r>
      <w:t>ST/SG/AC.10/C.3/2018/46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1A2" w:rsidRPr="009451A2" w:rsidRDefault="00703F64" w:rsidP="009451A2">
    <w:pPr>
      <w:pStyle w:val="Header"/>
      <w:jc w:val="right"/>
    </w:pPr>
    <w:r>
      <w:fldChar w:fldCharType="begin"/>
    </w:r>
    <w:r>
      <w:instrText xml:space="preserve"> TITLE  \* MERGEFORMAT </w:instrText>
    </w:r>
    <w:r>
      <w:fldChar w:fldCharType="separate"/>
    </w:r>
    <w:r>
      <w:t>ST/SG/AC.10/C.3/2018/46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BD"/>
    <w:rsid w:val="00017F94"/>
    <w:rsid w:val="00023842"/>
    <w:rsid w:val="000305D3"/>
    <w:rsid w:val="000334F9"/>
    <w:rsid w:val="0007796D"/>
    <w:rsid w:val="000B7790"/>
    <w:rsid w:val="00111F2F"/>
    <w:rsid w:val="001261BF"/>
    <w:rsid w:val="00132EA9"/>
    <w:rsid w:val="0014365E"/>
    <w:rsid w:val="00176178"/>
    <w:rsid w:val="001957BD"/>
    <w:rsid w:val="001F525A"/>
    <w:rsid w:val="00223272"/>
    <w:rsid w:val="0024779E"/>
    <w:rsid w:val="00283190"/>
    <w:rsid w:val="002832AC"/>
    <w:rsid w:val="002A77E9"/>
    <w:rsid w:val="002D7C93"/>
    <w:rsid w:val="00441C3B"/>
    <w:rsid w:val="00446FE5"/>
    <w:rsid w:val="00452396"/>
    <w:rsid w:val="004E468C"/>
    <w:rsid w:val="005505B7"/>
    <w:rsid w:val="00573BE5"/>
    <w:rsid w:val="00584DC4"/>
    <w:rsid w:val="00586ED3"/>
    <w:rsid w:val="00593548"/>
    <w:rsid w:val="00596AA9"/>
    <w:rsid w:val="0068456F"/>
    <w:rsid w:val="006F4E85"/>
    <w:rsid w:val="00703F64"/>
    <w:rsid w:val="0071601D"/>
    <w:rsid w:val="007A62E6"/>
    <w:rsid w:val="007B773F"/>
    <w:rsid w:val="0080684C"/>
    <w:rsid w:val="00812E4D"/>
    <w:rsid w:val="00871C75"/>
    <w:rsid w:val="008776DC"/>
    <w:rsid w:val="008B40CD"/>
    <w:rsid w:val="009451A2"/>
    <w:rsid w:val="009705C8"/>
    <w:rsid w:val="009C1CF4"/>
    <w:rsid w:val="00A30353"/>
    <w:rsid w:val="00A63C70"/>
    <w:rsid w:val="00AC3823"/>
    <w:rsid w:val="00AE323C"/>
    <w:rsid w:val="00B00181"/>
    <w:rsid w:val="00B00B0D"/>
    <w:rsid w:val="00B765F7"/>
    <w:rsid w:val="00BA0CA9"/>
    <w:rsid w:val="00BA116E"/>
    <w:rsid w:val="00C02897"/>
    <w:rsid w:val="00C53336"/>
    <w:rsid w:val="00D3439C"/>
    <w:rsid w:val="00DB1831"/>
    <w:rsid w:val="00DD3BFD"/>
    <w:rsid w:val="00DF6678"/>
    <w:rsid w:val="00E016B7"/>
    <w:rsid w:val="00EE4872"/>
    <w:rsid w:val="00EF2E22"/>
    <w:rsid w:val="00F01738"/>
    <w:rsid w:val="00F15C8D"/>
    <w:rsid w:val="00F660DF"/>
    <w:rsid w:val="00F730C8"/>
    <w:rsid w:val="00F95C08"/>
    <w:rsid w:val="00FA7BB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2C8242-247A-49E1-8C2B-010D558A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tmp"/><Relationship Id="rId18" Type="http://schemas.openxmlformats.org/officeDocument/2006/relationships/image" Target="cid:_1_11F0AEB811F0AAE00027FD80C1257F1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3F00-5A7B-4995-BB80-3ED438BA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1062</Words>
  <Characters>6055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ST/SG/AC.10/C.3/2018/46</vt:lpstr>
      <vt:lpstr>ST/SG/AC.10/C.3/2018/46</vt:lpstr>
    </vt:vector>
  </TitlesOfParts>
  <Company>DCM</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ST/SG/AC.10/C.3/2018/46</dc:title>
  <dc:subject/>
  <dc:creator>Marie DESCHAMPS</dc:creator>
  <cp:keywords/>
  <cp:lastModifiedBy>Laurence Berthet</cp:lastModifiedBy>
  <cp:revision>3</cp:revision>
  <cp:lastPrinted>2018-05-09T06:55:00Z</cp:lastPrinted>
  <dcterms:created xsi:type="dcterms:W3CDTF">2018-05-09T06:55:00Z</dcterms:created>
  <dcterms:modified xsi:type="dcterms:W3CDTF">2018-05-09T06:56:00Z</dcterms:modified>
</cp:coreProperties>
</file>