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581A6D">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581A6D" w:rsidP="00581A6D">
            <w:pPr>
              <w:jc w:val="right"/>
            </w:pPr>
            <w:r w:rsidRPr="00581A6D">
              <w:rPr>
                <w:sz w:val="40"/>
              </w:rPr>
              <w:t>ST</w:t>
            </w:r>
            <w:r>
              <w:t>/SG/AC.10/C.3/2018/45</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581A6D" w:rsidP="00F01738">
            <w:pPr>
              <w:spacing w:before="240"/>
            </w:pPr>
            <w:r>
              <w:t>Distr. générale</w:t>
            </w:r>
          </w:p>
          <w:p w:rsidR="00581A6D" w:rsidRDefault="00581A6D" w:rsidP="00581A6D">
            <w:pPr>
              <w:spacing w:line="240" w:lineRule="exact"/>
            </w:pPr>
            <w:r>
              <w:t>5 avril 2018</w:t>
            </w:r>
          </w:p>
          <w:p w:rsidR="00581A6D" w:rsidRDefault="00581A6D" w:rsidP="00581A6D">
            <w:pPr>
              <w:spacing w:line="240" w:lineRule="exact"/>
            </w:pPr>
            <w:r>
              <w:t>Français</w:t>
            </w:r>
          </w:p>
          <w:p w:rsidR="00581A6D" w:rsidRPr="00DB58B5" w:rsidRDefault="00581A6D" w:rsidP="00581A6D">
            <w:pPr>
              <w:spacing w:line="240" w:lineRule="exact"/>
            </w:pPr>
            <w:r>
              <w:t>Original : anglais</w:t>
            </w:r>
          </w:p>
        </w:tc>
      </w:tr>
    </w:tbl>
    <w:p w:rsidR="00581A6D" w:rsidRPr="00CA0680" w:rsidRDefault="00581A6D"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581A6D" w:rsidRPr="00CA0680" w:rsidRDefault="00581A6D"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581A6D" w:rsidRPr="006500BA" w:rsidRDefault="00581A6D" w:rsidP="00581A6D">
      <w:pPr>
        <w:spacing w:before="100" w:line="240" w:lineRule="auto"/>
        <w:rPr>
          <w:b/>
        </w:rPr>
      </w:pPr>
      <w:r>
        <w:rPr>
          <w:b/>
          <w:bCs/>
          <w:lang w:val="fr-FR"/>
        </w:rPr>
        <w:t>Cinquante-troisième session</w:t>
      </w:r>
    </w:p>
    <w:p w:rsidR="00581A6D" w:rsidRDefault="00581A6D" w:rsidP="00581A6D">
      <w:pPr>
        <w:spacing w:line="240" w:lineRule="auto"/>
        <w:rPr>
          <w:lang w:val="fr-FR"/>
        </w:rPr>
      </w:pPr>
      <w:r>
        <w:rPr>
          <w:lang w:val="fr-FR"/>
        </w:rPr>
        <w:t>Genève, 25 juin-4 </w:t>
      </w:r>
      <w:r w:rsidR="0058363A">
        <w:rPr>
          <w:lang w:val="fr-FR"/>
        </w:rPr>
        <w:t>juillet 2018</w:t>
      </w:r>
    </w:p>
    <w:p w:rsidR="00581A6D" w:rsidRPr="009D3AC0" w:rsidRDefault="00581A6D" w:rsidP="00581A6D">
      <w:pPr>
        <w:spacing w:line="240" w:lineRule="auto"/>
        <w:rPr>
          <w:b/>
        </w:rPr>
      </w:pPr>
      <w:r>
        <w:rPr>
          <w:lang w:val="fr-FR"/>
        </w:rPr>
        <w:t xml:space="preserve">Point 6 </w:t>
      </w:r>
      <w:r w:rsidR="00DF6453">
        <w:rPr>
          <w:lang w:val="fr-FR"/>
        </w:rPr>
        <w:t>b</w:t>
      </w:r>
      <w:r>
        <w:rPr>
          <w:lang w:val="fr-FR"/>
        </w:rPr>
        <w:t>) de l’ordre du jour provisoire</w:t>
      </w:r>
    </w:p>
    <w:p w:rsidR="00581A6D" w:rsidRPr="002D49F2" w:rsidRDefault="00581A6D" w:rsidP="00581A6D">
      <w:pPr>
        <w:spacing w:line="240" w:lineRule="auto"/>
        <w:rPr>
          <w:b/>
          <w:bCs/>
        </w:rPr>
      </w:pPr>
      <w:r w:rsidRPr="002D49F2">
        <w:rPr>
          <w:b/>
          <w:lang w:val="fr-FR"/>
        </w:rPr>
        <w:t>Propositions diverses d</w:t>
      </w:r>
      <w:r>
        <w:rPr>
          <w:b/>
          <w:lang w:val="fr-FR"/>
        </w:rPr>
        <w:t>’</w:t>
      </w:r>
      <w:r w:rsidRPr="002D49F2">
        <w:rPr>
          <w:b/>
          <w:lang w:val="fr-FR"/>
        </w:rPr>
        <w:t xml:space="preserve">amendements au Règlement type </w:t>
      </w:r>
      <w:r w:rsidR="00DF6453">
        <w:rPr>
          <w:b/>
          <w:lang w:val="fr-FR"/>
        </w:rPr>
        <w:br/>
      </w:r>
      <w:r w:rsidRPr="002D49F2">
        <w:rPr>
          <w:b/>
          <w:lang w:val="fr-FR"/>
        </w:rPr>
        <w:t>pour le transport</w:t>
      </w:r>
      <w:r>
        <w:rPr>
          <w:b/>
          <w:lang w:val="fr-FR"/>
        </w:rPr>
        <w:t xml:space="preserve"> des marchandises dangereuses</w:t>
      </w:r>
      <w:r w:rsidR="00DF6453">
        <w:rPr>
          <w:b/>
          <w:lang w:val="fr-FR"/>
        </w:rPr>
        <w:t> </w:t>
      </w:r>
      <w:r>
        <w:rPr>
          <w:b/>
          <w:lang w:val="fr-FR"/>
        </w:rPr>
        <w:t>: E</w:t>
      </w:r>
      <w:r w:rsidRPr="002D49F2">
        <w:rPr>
          <w:b/>
          <w:lang w:val="fr-FR"/>
        </w:rPr>
        <w:t>mballages</w:t>
      </w:r>
    </w:p>
    <w:p w:rsidR="00581A6D" w:rsidRDefault="00581A6D" w:rsidP="00581A6D">
      <w:pPr>
        <w:pStyle w:val="HChG"/>
      </w:pPr>
      <w:r>
        <w:rPr>
          <w:lang w:val="fr-FR"/>
        </w:rPr>
        <w:tab/>
      </w:r>
      <w:r>
        <w:rPr>
          <w:lang w:val="fr-FR"/>
        </w:rPr>
        <w:tab/>
        <w:t xml:space="preserve">Grands récipients pour vrac (GRV) composites : </w:t>
      </w:r>
      <w:r>
        <w:rPr>
          <w:lang w:val="fr-FR"/>
        </w:rPr>
        <w:br/>
        <w:t>Marquage des récipients intérieurs</w:t>
      </w:r>
    </w:p>
    <w:p w:rsidR="00581A6D" w:rsidRPr="006B4408" w:rsidRDefault="00581A6D" w:rsidP="00581A6D">
      <w:pPr>
        <w:pStyle w:val="H1G"/>
      </w:pPr>
      <w:r>
        <w:rPr>
          <w:lang w:val="fr-FR"/>
        </w:rPr>
        <w:tab/>
      </w:r>
      <w:r>
        <w:rPr>
          <w:lang w:val="fr-FR"/>
        </w:rPr>
        <w:tab/>
        <w:t>Communication de l’expert de la Belgique</w:t>
      </w:r>
      <w:r w:rsidRPr="00581A6D">
        <w:rPr>
          <w:rStyle w:val="FootnoteReference"/>
          <w:b w:val="0"/>
          <w:sz w:val="20"/>
          <w:vertAlign w:val="baseline"/>
        </w:rPr>
        <w:footnoteReference w:customMarkFollows="1" w:id="2"/>
        <w:t>*</w:t>
      </w:r>
    </w:p>
    <w:p w:rsidR="00581A6D" w:rsidRPr="00F82A63" w:rsidRDefault="00581A6D" w:rsidP="00581A6D">
      <w:pPr>
        <w:pStyle w:val="HChG"/>
      </w:pPr>
      <w:r>
        <w:rPr>
          <w:lang w:val="fr-FR"/>
        </w:rPr>
        <w:tab/>
      </w:r>
      <w:r>
        <w:rPr>
          <w:lang w:val="fr-FR"/>
        </w:rPr>
        <w:tab/>
        <w:t>Introduction</w:t>
      </w:r>
    </w:p>
    <w:p w:rsidR="00581A6D" w:rsidRPr="00690EFC" w:rsidRDefault="00581A6D" w:rsidP="00581A6D">
      <w:pPr>
        <w:pStyle w:val="SingleTxtG"/>
      </w:pPr>
      <w:r>
        <w:rPr>
          <w:lang w:val="fr-FR"/>
        </w:rPr>
        <w:t>1.</w:t>
      </w:r>
      <w:r>
        <w:rPr>
          <w:lang w:val="fr-FR"/>
        </w:rPr>
        <w:tab/>
        <w:t>Conformément au 6.5.2.2.4, les récipients intérieurs des GRV composites doivent être identifiés par les marques spécifiées au 6.5.2.1.1 b), c), d), la date étant la date de fabrication du récipient intérieur en plastique, e) et f). Le symbole de l’ONU pour les emballages ne doit pas être apposé. Les marques doivent être apposées dans l’ordre indiqué au 6.5.2.1.1. Elles doivent être apposées de manière durable, lisible, et placées dans un endroit bien visible lorsque le récipient intérieur est placé dans l’enveloppe extérieure.</w:t>
      </w:r>
    </w:p>
    <w:p w:rsidR="00581A6D" w:rsidRPr="00690EFC" w:rsidRDefault="00581A6D" w:rsidP="00581A6D">
      <w:pPr>
        <w:pStyle w:val="SingleTxtG"/>
      </w:pPr>
      <w:r>
        <w:rPr>
          <w:lang w:val="fr-FR"/>
        </w:rPr>
        <w:t>2.</w:t>
      </w:r>
      <w:r>
        <w:rPr>
          <w:lang w:val="fr-FR"/>
        </w:rPr>
        <w:tab/>
        <w:t>La plupart des GRV composites avec récipient intérieur en plastique rigide sont formés par l’assemblage d’une palette, comme base, d’une cage métallique grillagée et d’un récipient intérieur en plastique (voir photos en annexe au présent document). Après assemblage, la marque sur le récipient intérieur est aisément visible.</w:t>
      </w:r>
    </w:p>
    <w:p w:rsidR="00581A6D" w:rsidRPr="00690EFC" w:rsidRDefault="00581A6D" w:rsidP="00581A6D">
      <w:pPr>
        <w:pStyle w:val="SingleTxtG"/>
        <w:kinsoku/>
        <w:overflowPunct/>
        <w:autoSpaceDE/>
        <w:autoSpaceDN/>
        <w:adjustRightInd/>
        <w:snapToGrid/>
        <w:spacing w:line="240" w:lineRule="auto"/>
      </w:pPr>
      <w:r>
        <w:t>3.</w:t>
      </w:r>
      <w:r w:rsidRPr="00690EFC">
        <w:tab/>
      </w:r>
      <w:r>
        <w:rPr>
          <w:lang w:val="fr-FR"/>
        </w:rPr>
        <w:t>Outre les GRV décrits ci-dessus, il existe aussi des GRV composites à parois externes pleines (enveloppes en métal ou en plastique) (voir photos en annexe au présent document). Ces GRV sont principalement utilisés pour le conditionnement des produits chimiques requérant une grande pureté.</w:t>
      </w:r>
    </w:p>
    <w:p w:rsidR="00581A6D" w:rsidRPr="00690EFC" w:rsidRDefault="00581A6D" w:rsidP="00581A6D">
      <w:pPr>
        <w:pStyle w:val="SingleTxtG"/>
        <w:kinsoku/>
        <w:overflowPunct/>
        <w:autoSpaceDE/>
        <w:autoSpaceDN/>
        <w:adjustRightInd/>
        <w:snapToGrid/>
        <w:spacing w:line="240" w:lineRule="auto"/>
      </w:pPr>
      <w:r>
        <w:t>4.</w:t>
      </w:r>
      <w:r w:rsidRPr="00690EFC">
        <w:tab/>
      </w:r>
      <w:r>
        <w:rPr>
          <w:lang w:val="fr-FR"/>
        </w:rPr>
        <w:t>La construction avec enveloppe extérieure pleine vise à protéger les produits de toute influence environnementale externe (comme la lumière ou la poussière) et à couvrir également la partie supérieure du récipient intérieur.</w:t>
      </w:r>
    </w:p>
    <w:p w:rsidR="00581A6D" w:rsidRPr="00690EFC" w:rsidRDefault="00581A6D" w:rsidP="00581A6D">
      <w:pPr>
        <w:pStyle w:val="SingleTxtG"/>
        <w:kinsoku/>
        <w:overflowPunct/>
        <w:autoSpaceDE/>
        <w:autoSpaceDN/>
        <w:adjustRightInd/>
        <w:snapToGrid/>
        <w:spacing w:line="240" w:lineRule="auto"/>
      </w:pPr>
      <w:r>
        <w:lastRenderedPageBreak/>
        <w:t>5.</w:t>
      </w:r>
      <w:r w:rsidRPr="00690EFC">
        <w:tab/>
      </w:r>
      <w:r>
        <w:rPr>
          <w:lang w:val="fr-FR"/>
        </w:rPr>
        <w:t>Une fois le récipient intérieur (marqué conformément au 6.5.2.2.4) inséré dans l’enveloppe extérieure à parois pleines du GRV, la marque du récipient intérieur n’est pas facilement visible.</w:t>
      </w:r>
    </w:p>
    <w:p w:rsidR="00581A6D" w:rsidRPr="00690EFC" w:rsidRDefault="00581A6D" w:rsidP="00581A6D">
      <w:pPr>
        <w:pStyle w:val="SingleTxtG"/>
        <w:kinsoku/>
        <w:overflowPunct/>
        <w:autoSpaceDE/>
        <w:autoSpaceDN/>
        <w:adjustRightInd/>
        <w:snapToGrid/>
        <w:spacing w:line="240" w:lineRule="auto"/>
      </w:pPr>
      <w:r>
        <w:t>6.</w:t>
      </w:r>
      <w:r w:rsidRPr="00690EFC">
        <w:tab/>
      </w:r>
      <w:r>
        <w:rPr>
          <w:lang w:val="fr-FR"/>
        </w:rPr>
        <w:t>Le segment de phrase « … lorsque le récipient intérieur est placé dans l’enveloppe extérieure » laisse le champ ouvert à des interprétations différentes</w:t>
      </w:r>
      <w:r w:rsidR="00DF6453">
        <w:rPr>
          <w:lang w:val="fr-FR"/>
        </w:rPr>
        <w:t> </w:t>
      </w:r>
      <w:r>
        <w:rPr>
          <w:lang w:val="fr-FR"/>
        </w:rPr>
        <w:t xml:space="preserve">: la marque doit-elle être visible uniquement pendant l’assemblage ou demeurer visible aussi après celui-ci ? </w:t>
      </w:r>
    </w:p>
    <w:p w:rsidR="00581A6D" w:rsidRPr="00690EFC" w:rsidRDefault="00581A6D" w:rsidP="00581A6D">
      <w:pPr>
        <w:pStyle w:val="SingleTxtG"/>
        <w:kinsoku/>
        <w:overflowPunct/>
        <w:autoSpaceDE/>
        <w:autoSpaceDN/>
        <w:adjustRightInd/>
        <w:snapToGrid/>
        <w:spacing w:line="240" w:lineRule="auto"/>
      </w:pPr>
      <w:r>
        <w:t>7.</w:t>
      </w:r>
      <w:r w:rsidRPr="00690EFC">
        <w:tab/>
      </w:r>
      <w:r>
        <w:rPr>
          <w:lang w:val="fr-FR"/>
        </w:rPr>
        <w:t>Nous sommes d’avis que l’intérêt de la marque sur le récipient intérieur tient au fait qu’elle permet de disposer d’un système de traçabilité qui garantit que, conformément au prototype, le bon récipient intérieur a été utilisé pendant le montage.</w:t>
      </w:r>
    </w:p>
    <w:p w:rsidR="00581A6D" w:rsidRDefault="00581A6D" w:rsidP="00581A6D">
      <w:pPr>
        <w:pStyle w:val="HChG"/>
      </w:pPr>
      <w:r>
        <w:rPr>
          <w:lang w:val="fr-FR"/>
        </w:rPr>
        <w:tab/>
      </w:r>
      <w:r>
        <w:rPr>
          <w:lang w:val="fr-FR"/>
        </w:rPr>
        <w:tab/>
        <w:t xml:space="preserve">Proposition </w:t>
      </w:r>
    </w:p>
    <w:p w:rsidR="00581A6D" w:rsidRPr="00690EFC" w:rsidRDefault="00581A6D" w:rsidP="00581A6D">
      <w:pPr>
        <w:pStyle w:val="SingleTxtG"/>
        <w:rPr>
          <w:rFonts w:eastAsia="SimSun"/>
        </w:rPr>
      </w:pPr>
      <w:r>
        <w:rPr>
          <w:lang w:val="fr-FR"/>
        </w:rPr>
        <w:t>8.</w:t>
      </w:r>
      <w:r>
        <w:rPr>
          <w:lang w:val="fr-FR"/>
        </w:rPr>
        <w:tab/>
      </w:r>
      <w:r w:rsidRPr="00581A6D">
        <w:t>Modifier</w:t>
      </w:r>
      <w:r>
        <w:rPr>
          <w:lang w:val="fr-FR"/>
        </w:rPr>
        <w:t xml:space="preserve"> le premier paragraphe du 6.5.2.2.4 comme suit (nouveau texte souligné, texte supprimé biffé) :</w:t>
      </w:r>
    </w:p>
    <w:p w:rsidR="00581A6D" w:rsidRDefault="00581A6D" w:rsidP="00581A6D">
      <w:pPr>
        <w:pStyle w:val="SingleTxtG"/>
        <w:ind w:left="1701"/>
        <w:rPr>
          <w:lang w:val="fr-FR"/>
        </w:rPr>
      </w:pPr>
      <w:r>
        <w:rPr>
          <w:lang w:val="fr-FR"/>
        </w:rPr>
        <w:t xml:space="preserve">« 6.5.2.2.4 Les récipients intérieurs qui appartiennent à un modèle type de GRV composite doivent être identifiés par les marques spécifiées au 6.5.2.1.1 b), c), d), la date étant la date de fabrication du récipient intérieur en plastique, e) et f). Le symbole de l’ONU pour les emballages ne doit pas être apposé. Les marques doivent être apposées dans l’ordre indiqué au 6.5.2.1.1. Elles doivent être apposées de manière durable, lisible, et placées dans un endroit bien visible </w:t>
      </w:r>
      <w:r>
        <w:rPr>
          <w:strike/>
          <w:lang w:val="fr-FR"/>
        </w:rPr>
        <w:t>lorsque</w:t>
      </w:r>
      <w:r>
        <w:rPr>
          <w:lang w:val="fr-FR"/>
        </w:rPr>
        <w:t xml:space="preserve"> </w:t>
      </w:r>
      <w:r w:rsidRPr="002A5ED5">
        <w:rPr>
          <w:u w:val="single"/>
          <w:lang w:val="fr-FR"/>
        </w:rPr>
        <w:t>lors de l</w:t>
      </w:r>
      <w:r>
        <w:rPr>
          <w:u w:val="single"/>
          <w:lang w:val="fr-FR"/>
        </w:rPr>
        <w:t>’</w:t>
      </w:r>
      <w:r w:rsidRPr="002A5ED5">
        <w:rPr>
          <w:u w:val="single"/>
          <w:lang w:val="fr-FR"/>
        </w:rPr>
        <w:t>assemblage du</w:t>
      </w:r>
      <w:r>
        <w:rPr>
          <w:lang w:val="fr-FR"/>
        </w:rPr>
        <w:t xml:space="preserve"> </w:t>
      </w:r>
      <w:r>
        <w:rPr>
          <w:strike/>
          <w:lang w:val="fr-FR"/>
        </w:rPr>
        <w:t>le</w:t>
      </w:r>
      <w:r>
        <w:rPr>
          <w:lang w:val="fr-FR"/>
        </w:rPr>
        <w:t xml:space="preserve"> récipient intérieur </w:t>
      </w:r>
      <w:r>
        <w:rPr>
          <w:strike/>
          <w:lang w:val="fr-FR"/>
        </w:rPr>
        <w:t xml:space="preserve">est placé </w:t>
      </w:r>
      <w:r>
        <w:rPr>
          <w:lang w:val="fr-FR"/>
        </w:rPr>
        <w:t>dans l’enveloppe extérieure. ».</w:t>
      </w:r>
    </w:p>
    <w:p w:rsidR="00581A6D" w:rsidRDefault="00581A6D" w:rsidP="00581A6D">
      <w:pPr>
        <w:pStyle w:val="HChG"/>
        <w:spacing w:line="240" w:lineRule="auto"/>
      </w:pPr>
      <w:r>
        <w:rPr>
          <w:lang w:val="fr-FR"/>
        </w:rPr>
        <w:br w:type="page"/>
      </w:r>
      <w:r>
        <w:rPr>
          <w:bCs/>
          <w:lang w:val="fr-FR"/>
        </w:rPr>
        <w:lastRenderedPageBreak/>
        <w:t>Annexe</w:t>
      </w:r>
      <w:r>
        <w:rPr>
          <w:lang w:val="fr-FR"/>
        </w:rPr>
        <w:t xml:space="preserve"> </w:t>
      </w:r>
    </w:p>
    <w:p w:rsidR="00581A6D" w:rsidRPr="00690EFC" w:rsidRDefault="00581A6D" w:rsidP="00581A6D">
      <w:pPr>
        <w:pStyle w:val="HChG"/>
      </w:pPr>
      <w:r>
        <w:rPr>
          <w:lang w:val="fr-FR"/>
        </w:rPr>
        <w:tab/>
      </w:r>
      <w:r>
        <w:rPr>
          <w:lang w:val="fr-FR"/>
        </w:rPr>
        <w:tab/>
        <w:t>GRV composites avec cage métallique</w:t>
      </w:r>
    </w:p>
    <w:p w:rsidR="00581A6D" w:rsidRDefault="00581A6D" w:rsidP="00581A6D">
      <w:pPr>
        <w:pStyle w:val="SingleTxtG"/>
        <w:spacing w:line="240" w:lineRule="auto"/>
        <w:ind w:right="567"/>
        <w:jc w:val="left"/>
        <w:rPr>
          <w:u w:val="single"/>
        </w:rPr>
      </w:pPr>
      <w:r w:rsidRPr="00536782">
        <w:rPr>
          <w:noProof/>
          <w:color w:val="0000FF"/>
          <w:lang w:eastAsia="fr-CH"/>
        </w:rPr>
        <w:drawing>
          <wp:inline distT="0" distB="0" distL="0" distR="0" wp14:anchorId="7EAF96B5" wp14:editId="313592B8">
            <wp:extent cx="1562100" cy="1790700"/>
            <wp:effectExtent l="0" t="0" r="0" b="0"/>
            <wp:docPr id="5" name="irc_mi" descr="Afbeeldingsresultaat voor composite IB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omposite IBC">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790700"/>
                    </a:xfrm>
                    <a:prstGeom prst="rect">
                      <a:avLst/>
                    </a:prstGeom>
                    <a:noFill/>
                    <a:ln>
                      <a:noFill/>
                    </a:ln>
                  </pic:spPr>
                </pic:pic>
              </a:graphicData>
            </a:graphic>
          </wp:inline>
        </w:drawing>
      </w:r>
      <w:r>
        <w:rPr>
          <w:noProof/>
          <w:color w:val="0000FF"/>
          <w:lang w:eastAsia="fr-CH"/>
        </w:rPr>
        <w:drawing>
          <wp:inline distT="0" distB="0" distL="0" distR="0" wp14:anchorId="6F4A7C13" wp14:editId="1786DFF0">
            <wp:extent cx="1638300" cy="1800225"/>
            <wp:effectExtent l="0" t="0" r="0" b="0"/>
            <wp:docPr id="7" name="irc_mi" descr="Afbeeldingsresultaat voor composite IBC schutz">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omposite IBC schutz">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800225"/>
                    </a:xfrm>
                    <a:prstGeom prst="rect">
                      <a:avLst/>
                    </a:prstGeom>
                    <a:noFill/>
                    <a:ln>
                      <a:noFill/>
                    </a:ln>
                  </pic:spPr>
                </pic:pic>
              </a:graphicData>
            </a:graphic>
          </wp:inline>
        </w:drawing>
      </w:r>
      <w:r>
        <w:rPr>
          <w:noProof/>
          <w:color w:val="0000FF"/>
          <w:lang w:eastAsia="fr-CH"/>
        </w:rPr>
        <w:drawing>
          <wp:inline distT="0" distB="0" distL="0" distR="0" wp14:anchorId="2C49B78E" wp14:editId="2313935C">
            <wp:extent cx="1304925" cy="1400175"/>
            <wp:effectExtent l="0" t="0" r="9525" b="9525"/>
            <wp:docPr id="8" name="irc_mi" descr="Afbeeldingsresultaat voor composite IBC sotralentz">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omposite IBC sotralentz">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1400175"/>
                    </a:xfrm>
                    <a:prstGeom prst="rect">
                      <a:avLst/>
                    </a:prstGeom>
                    <a:noFill/>
                    <a:ln>
                      <a:noFill/>
                    </a:ln>
                  </pic:spPr>
                </pic:pic>
              </a:graphicData>
            </a:graphic>
          </wp:inline>
        </w:drawing>
      </w:r>
    </w:p>
    <w:p w:rsidR="00581A6D" w:rsidRDefault="00581A6D" w:rsidP="00581A6D">
      <w:pPr>
        <w:pStyle w:val="SingleTxtG"/>
        <w:spacing w:line="240" w:lineRule="auto"/>
        <w:jc w:val="left"/>
        <w:rPr>
          <w:u w:val="single"/>
        </w:rPr>
      </w:pPr>
    </w:p>
    <w:p w:rsidR="00581A6D" w:rsidRDefault="00581A6D" w:rsidP="00581A6D">
      <w:pPr>
        <w:pStyle w:val="HChG"/>
      </w:pPr>
      <w:r>
        <w:rPr>
          <w:lang w:val="fr-FR"/>
        </w:rPr>
        <w:tab/>
      </w:r>
      <w:r>
        <w:rPr>
          <w:lang w:val="fr-FR"/>
        </w:rPr>
        <w:tab/>
        <w:t>GRV composites avec parois externes pleines</w:t>
      </w:r>
    </w:p>
    <w:p w:rsidR="00446FE5" w:rsidRDefault="00581A6D" w:rsidP="00581A6D">
      <w:pPr>
        <w:rPr>
          <w:rFonts w:ascii="Open Sans" w:hAnsi="Open Sans" w:cs="Arial"/>
          <w:noProof/>
          <w:color w:val="393630"/>
          <w:sz w:val="21"/>
          <w:szCs w:val="21"/>
        </w:rPr>
      </w:pPr>
      <w:r w:rsidRPr="009A0BEA">
        <w:t xml:space="preserve">  </w:t>
      </w:r>
      <w:r w:rsidRPr="009A0BEA">
        <w:rPr>
          <w:rFonts w:ascii="Verdana" w:hAnsi="Verdana"/>
          <w:noProof/>
          <w:color w:val="222222"/>
          <w:sz w:val="17"/>
          <w:szCs w:val="17"/>
          <w:lang w:eastAsia="fr-CH"/>
        </w:rPr>
        <w:drawing>
          <wp:inline distT="0" distB="0" distL="0" distR="0" wp14:anchorId="410902EB" wp14:editId="11C1CAB0">
            <wp:extent cx="1181100" cy="1085850"/>
            <wp:effectExtent l="0" t="0" r="0" b="0"/>
            <wp:docPr id="11" name="piGalImg_" descr="http://www.monopoel.de/catalog/images/ibc-1000-stun-800.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alImg_" descr="http://www.monopoel.de/catalog/images/ibc-1000-stun-800.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a:ln>
                      <a:noFill/>
                    </a:ln>
                  </pic:spPr>
                </pic:pic>
              </a:graphicData>
            </a:graphic>
          </wp:inline>
        </w:drawing>
      </w:r>
      <w:r>
        <w:rPr>
          <w:rFonts w:ascii="Tahoma" w:hAnsi="Tahoma" w:cs="Tahoma"/>
          <w:noProof/>
          <w:color w:val="61615E"/>
          <w:sz w:val="17"/>
          <w:szCs w:val="17"/>
        </w:rPr>
        <w:t xml:space="preserve">          </w:t>
      </w:r>
      <w:r>
        <w:rPr>
          <w:rFonts w:ascii="Tahoma" w:hAnsi="Tahoma" w:cs="Tahoma"/>
          <w:noProof/>
          <w:color w:val="61615E"/>
          <w:sz w:val="17"/>
          <w:szCs w:val="17"/>
          <w:lang w:eastAsia="fr-CH"/>
        </w:rPr>
        <w:drawing>
          <wp:inline distT="0" distB="0" distL="0" distR="0" wp14:anchorId="52898932" wp14:editId="0161130B">
            <wp:extent cx="1154718" cy="1285750"/>
            <wp:effectExtent l="0" t="0" r="7620" b="0"/>
            <wp:docPr id="12" name="Picture 3" descr="http://www.rikutec.com/images/ibc_gr_10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kutec.com/images/ibc_gr_1000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6802" cy="1321475"/>
                    </a:xfrm>
                    <a:prstGeom prst="rect">
                      <a:avLst/>
                    </a:prstGeom>
                    <a:noFill/>
                    <a:ln>
                      <a:noFill/>
                    </a:ln>
                  </pic:spPr>
                </pic:pic>
              </a:graphicData>
            </a:graphic>
          </wp:inline>
        </w:drawing>
      </w:r>
      <w:r>
        <w:rPr>
          <w:rFonts w:ascii="Tahoma" w:hAnsi="Tahoma" w:cs="Tahoma"/>
          <w:noProof/>
          <w:color w:val="61615E"/>
          <w:sz w:val="17"/>
          <w:szCs w:val="17"/>
        </w:rPr>
        <w:t xml:space="preserve">  </w:t>
      </w:r>
      <w:r>
        <w:rPr>
          <w:noProof/>
          <w:color w:val="0000FF"/>
          <w:lang w:val="en-US"/>
        </w:rPr>
        <w:t xml:space="preserve">      </w:t>
      </w:r>
      <w:r>
        <w:rPr>
          <w:noProof/>
          <w:color w:val="0000FF"/>
          <w:lang w:eastAsia="fr-CH"/>
        </w:rPr>
        <w:drawing>
          <wp:inline distT="0" distB="0" distL="0" distR="0" wp14:anchorId="0424323D" wp14:editId="7BA80C33">
            <wp:extent cx="990600" cy="1123950"/>
            <wp:effectExtent l="0" t="0" r="0" b="0"/>
            <wp:docPr id="9" name="irc_mi" descr="Afbeeldingsresultaat voor entegris IB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ntegris IBC">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r>
        <w:rPr>
          <w:rFonts w:ascii="Open Sans" w:hAnsi="Open Sans" w:cs="Arial"/>
          <w:noProof/>
          <w:color w:val="393630"/>
          <w:sz w:val="21"/>
          <w:szCs w:val="21"/>
        </w:rPr>
        <w:t xml:space="preserve">    </w:t>
      </w:r>
      <w:r w:rsidRPr="00326BE1">
        <w:rPr>
          <w:rStyle w:val="Hyperlink"/>
          <w:noProof/>
          <w:lang w:eastAsia="fr-CH"/>
        </w:rPr>
        <w:drawing>
          <wp:inline distT="0" distB="0" distL="0" distR="0" wp14:anchorId="78E8F525" wp14:editId="1C118DB2">
            <wp:extent cx="1527516" cy="968131"/>
            <wp:effectExtent l="0" t="0" r="0" b="3810"/>
            <wp:docPr id="4" name="Picture 4" descr="VARIBOX® Full Containment I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IBOX® Full Containment IB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771" cy="996179"/>
                    </a:xfrm>
                    <a:prstGeom prst="rect">
                      <a:avLst/>
                    </a:prstGeom>
                    <a:noFill/>
                    <a:ln>
                      <a:noFill/>
                    </a:ln>
                  </pic:spPr>
                </pic:pic>
              </a:graphicData>
            </a:graphic>
          </wp:inline>
        </w:drawing>
      </w:r>
    </w:p>
    <w:p w:rsidR="00581A6D" w:rsidRPr="00581A6D" w:rsidRDefault="00581A6D" w:rsidP="00581A6D">
      <w:pPr>
        <w:pStyle w:val="SingleTxtG"/>
        <w:spacing w:before="240" w:after="0"/>
        <w:jc w:val="center"/>
        <w:rPr>
          <w:u w:val="single"/>
        </w:rPr>
      </w:pPr>
      <w:r>
        <w:rPr>
          <w:u w:val="single"/>
        </w:rPr>
        <w:tab/>
      </w:r>
      <w:r>
        <w:rPr>
          <w:u w:val="single"/>
        </w:rPr>
        <w:tab/>
      </w:r>
      <w:r>
        <w:rPr>
          <w:u w:val="single"/>
        </w:rPr>
        <w:tab/>
      </w:r>
    </w:p>
    <w:sectPr w:rsidR="00581A6D" w:rsidRPr="00581A6D" w:rsidSect="00581A6D">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425" w:rsidRDefault="001D1425" w:rsidP="00F95C08">
      <w:pPr>
        <w:spacing w:line="240" w:lineRule="auto"/>
      </w:pPr>
    </w:p>
  </w:endnote>
  <w:endnote w:type="continuationSeparator" w:id="0">
    <w:p w:rsidR="001D1425" w:rsidRPr="00AC3823" w:rsidRDefault="001D1425" w:rsidP="00AC3823">
      <w:pPr>
        <w:pStyle w:val="Footer"/>
      </w:pPr>
    </w:p>
  </w:endnote>
  <w:endnote w:type="continuationNotice" w:id="1">
    <w:p w:rsidR="001D1425" w:rsidRDefault="001D14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A6D" w:rsidRPr="00581A6D" w:rsidRDefault="00581A6D" w:rsidP="00581A6D">
    <w:pPr>
      <w:pStyle w:val="Footer"/>
      <w:tabs>
        <w:tab w:val="right" w:pos="9638"/>
      </w:tabs>
    </w:pPr>
    <w:r w:rsidRPr="00581A6D">
      <w:rPr>
        <w:b/>
        <w:sz w:val="18"/>
      </w:rPr>
      <w:fldChar w:fldCharType="begin"/>
    </w:r>
    <w:r w:rsidRPr="00581A6D">
      <w:rPr>
        <w:b/>
        <w:sz w:val="18"/>
      </w:rPr>
      <w:instrText xml:space="preserve"> PAGE  \* MERGEFORMAT </w:instrText>
    </w:r>
    <w:r w:rsidRPr="00581A6D">
      <w:rPr>
        <w:b/>
        <w:sz w:val="18"/>
      </w:rPr>
      <w:fldChar w:fldCharType="separate"/>
    </w:r>
    <w:r w:rsidR="004D43EC">
      <w:rPr>
        <w:b/>
        <w:noProof/>
        <w:sz w:val="18"/>
      </w:rPr>
      <w:t>2</w:t>
    </w:r>
    <w:r w:rsidRPr="00581A6D">
      <w:rPr>
        <w:b/>
        <w:sz w:val="18"/>
      </w:rPr>
      <w:fldChar w:fldCharType="end"/>
    </w:r>
    <w:r>
      <w:rPr>
        <w:b/>
        <w:sz w:val="18"/>
      </w:rPr>
      <w:tab/>
    </w:r>
    <w:r>
      <w:t>GE.18-05340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A6D" w:rsidRPr="00581A6D" w:rsidRDefault="00581A6D" w:rsidP="00581A6D">
    <w:pPr>
      <w:pStyle w:val="Footer"/>
      <w:tabs>
        <w:tab w:val="right" w:pos="9638"/>
      </w:tabs>
      <w:rPr>
        <w:b/>
        <w:sz w:val="18"/>
      </w:rPr>
    </w:pPr>
    <w:r>
      <w:t>GE.18-05340</w:t>
    </w:r>
    <w:r>
      <w:tab/>
    </w:r>
    <w:r w:rsidRPr="00581A6D">
      <w:rPr>
        <w:b/>
        <w:sz w:val="18"/>
      </w:rPr>
      <w:fldChar w:fldCharType="begin"/>
    </w:r>
    <w:r w:rsidRPr="00581A6D">
      <w:rPr>
        <w:b/>
        <w:sz w:val="18"/>
      </w:rPr>
      <w:instrText xml:space="preserve"> PAGE  \* MERGEFORMAT </w:instrText>
    </w:r>
    <w:r w:rsidRPr="00581A6D">
      <w:rPr>
        <w:b/>
        <w:sz w:val="18"/>
      </w:rPr>
      <w:fldChar w:fldCharType="separate"/>
    </w:r>
    <w:r w:rsidR="004D43EC">
      <w:rPr>
        <w:b/>
        <w:noProof/>
        <w:sz w:val="18"/>
      </w:rPr>
      <w:t>3</w:t>
    </w:r>
    <w:r w:rsidRPr="00581A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581A6D" w:rsidRDefault="00581A6D" w:rsidP="00581A6D">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18-05340  (F)    030518    090518</w:t>
    </w:r>
    <w:r>
      <w:rPr>
        <w:sz w:val="20"/>
      </w:rPr>
      <w:br/>
    </w:r>
    <w:r w:rsidRPr="00581A6D">
      <w:rPr>
        <w:rFonts w:ascii="C39T30Lfz" w:hAnsi="C39T30Lfz"/>
        <w:sz w:val="56"/>
      </w:rPr>
      <w:t></w:t>
    </w:r>
    <w:r w:rsidRPr="00581A6D">
      <w:rPr>
        <w:rFonts w:ascii="C39T30Lfz" w:hAnsi="C39T30Lfz"/>
        <w:sz w:val="56"/>
      </w:rPr>
      <w:t></w:t>
    </w:r>
    <w:r w:rsidRPr="00581A6D">
      <w:rPr>
        <w:rFonts w:ascii="C39T30Lfz" w:hAnsi="C39T30Lfz"/>
        <w:sz w:val="56"/>
      </w:rPr>
      <w:t></w:t>
    </w:r>
    <w:r w:rsidRPr="00581A6D">
      <w:rPr>
        <w:rFonts w:ascii="C39T30Lfz" w:hAnsi="C39T30Lfz"/>
        <w:sz w:val="56"/>
      </w:rPr>
      <w:t></w:t>
    </w:r>
    <w:r w:rsidRPr="00581A6D">
      <w:rPr>
        <w:rFonts w:ascii="C39T30Lfz" w:hAnsi="C39T30Lfz"/>
        <w:sz w:val="56"/>
      </w:rPr>
      <w:t></w:t>
    </w:r>
    <w:r w:rsidRPr="00581A6D">
      <w:rPr>
        <w:rFonts w:ascii="C39T30Lfz" w:hAnsi="C39T30Lfz"/>
        <w:sz w:val="56"/>
      </w:rPr>
      <w:t></w:t>
    </w:r>
    <w:r w:rsidRPr="00581A6D">
      <w:rPr>
        <w:rFonts w:ascii="C39T30Lfz" w:hAnsi="C39T30Lfz"/>
        <w:sz w:val="56"/>
      </w:rPr>
      <w:t></w:t>
    </w:r>
    <w:r w:rsidRPr="00581A6D">
      <w:rPr>
        <w:rFonts w:ascii="C39T30Lfz" w:hAnsi="C39T30Lfz"/>
        <w:sz w:val="56"/>
      </w:rPr>
      <w:t></w:t>
    </w:r>
    <w:r w:rsidRPr="00581A6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425" w:rsidRPr="00AC3823" w:rsidRDefault="001D1425" w:rsidP="00AC3823">
      <w:pPr>
        <w:pStyle w:val="Footer"/>
        <w:tabs>
          <w:tab w:val="right" w:pos="2155"/>
        </w:tabs>
        <w:spacing w:after="80" w:line="240" w:lineRule="atLeast"/>
        <w:ind w:left="680"/>
        <w:rPr>
          <w:u w:val="single"/>
        </w:rPr>
      </w:pPr>
      <w:r>
        <w:rPr>
          <w:u w:val="single"/>
        </w:rPr>
        <w:tab/>
      </w:r>
    </w:p>
  </w:footnote>
  <w:footnote w:type="continuationSeparator" w:id="0">
    <w:p w:rsidR="001D1425" w:rsidRPr="00AC3823" w:rsidRDefault="001D1425" w:rsidP="00AC3823">
      <w:pPr>
        <w:pStyle w:val="Footer"/>
        <w:tabs>
          <w:tab w:val="right" w:pos="2155"/>
        </w:tabs>
        <w:spacing w:after="80" w:line="240" w:lineRule="atLeast"/>
        <w:ind w:left="680"/>
        <w:rPr>
          <w:u w:val="single"/>
        </w:rPr>
      </w:pPr>
      <w:r>
        <w:rPr>
          <w:u w:val="single"/>
        </w:rPr>
        <w:tab/>
      </w:r>
    </w:p>
  </w:footnote>
  <w:footnote w:type="continuationNotice" w:id="1">
    <w:p w:rsidR="001D1425" w:rsidRPr="00AC3823" w:rsidRDefault="001D1425">
      <w:pPr>
        <w:spacing w:line="240" w:lineRule="auto"/>
        <w:rPr>
          <w:sz w:val="2"/>
          <w:szCs w:val="2"/>
        </w:rPr>
      </w:pPr>
    </w:p>
  </w:footnote>
  <w:footnote w:id="2">
    <w:p w:rsidR="00581A6D" w:rsidRPr="00581A6D" w:rsidRDefault="00581A6D">
      <w:pPr>
        <w:pStyle w:val="FootnoteText"/>
      </w:pPr>
      <w:r>
        <w:rPr>
          <w:rStyle w:val="FootnoteReference"/>
        </w:rPr>
        <w:tab/>
      </w:r>
      <w:r w:rsidRPr="00581A6D">
        <w:rPr>
          <w:rStyle w:val="FootnoteReference"/>
          <w:sz w:val="20"/>
          <w:vertAlign w:val="baseline"/>
        </w:rPr>
        <w:t>*</w:t>
      </w:r>
      <w:r>
        <w:rPr>
          <w:rStyle w:val="FootnoteReference"/>
          <w:sz w:val="20"/>
          <w:vertAlign w:val="baseline"/>
        </w:rPr>
        <w:tab/>
      </w:r>
      <w:r w:rsidRPr="00507E6E">
        <w:rPr>
          <w:szCs w:val="18"/>
        </w:rPr>
        <w:t>Conformément au programme de travail du Sous-Comité pour la période biennale 2017-2018, approuvé par le Comité à sa huitième session (voir ST/SG/AC.10/C.3/100, p</w:t>
      </w:r>
      <w:r>
        <w:rPr>
          <w:szCs w:val="18"/>
        </w:rPr>
        <w:t>ar. 98, et ST/SG/AC.10/44, par. </w:t>
      </w:r>
      <w:r w:rsidRPr="00507E6E">
        <w:rPr>
          <w:szCs w:val="18"/>
        </w:rPr>
        <w:t>14</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A6D" w:rsidRPr="00581A6D" w:rsidRDefault="004D43EC">
    <w:pPr>
      <w:pStyle w:val="Header"/>
    </w:pPr>
    <w:r>
      <w:fldChar w:fldCharType="begin"/>
    </w:r>
    <w:r>
      <w:instrText xml:space="preserve"> TITLE  \* MERGEFORMAT </w:instrText>
    </w:r>
    <w:r>
      <w:fldChar w:fldCharType="separate"/>
    </w:r>
    <w:r>
      <w:t>ST/SG/AC.10/C.3/2018/45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A6D" w:rsidRPr="00581A6D" w:rsidRDefault="004D43EC" w:rsidP="00581A6D">
    <w:pPr>
      <w:pStyle w:val="Header"/>
      <w:jc w:val="right"/>
    </w:pPr>
    <w:r>
      <w:fldChar w:fldCharType="begin"/>
    </w:r>
    <w:r>
      <w:instrText xml:space="preserve"> TITLE  \* MERGEFORMAT </w:instrText>
    </w:r>
    <w:r>
      <w:fldChar w:fldCharType="separate"/>
    </w:r>
    <w:r>
      <w:t>ST/SG/AC.10/C.3/2018/45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CB15C50"/>
    <w:multiLevelType w:val="hybridMultilevel"/>
    <w:tmpl w:val="C50023AA"/>
    <w:lvl w:ilvl="0" w:tplc="1B086A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1B086A48">
        <w:start w:val="1"/>
        <w:numFmt w:val="decimal"/>
        <w:lvlText w:val="%1."/>
        <w:lvlJc w:val="left"/>
        <w:pPr>
          <w:ind w:left="149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25"/>
    <w:rsid w:val="00017F94"/>
    <w:rsid w:val="00023842"/>
    <w:rsid w:val="000305D3"/>
    <w:rsid w:val="000334F9"/>
    <w:rsid w:val="0007796D"/>
    <w:rsid w:val="000B6D74"/>
    <w:rsid w:val="000B7790"/>
    <w:rsid w:val="00111F2F"/>
    <w:rsid w:val="00132EA9"/>
    <w:rsid w:val="0014365E"/>
    <w:rsid w:val="00176178"/>
    <w:rsid w:val="001D1425"/>
    <w:rsid w:val="001F525A"/>
    <w:rsid w:val="00223272"/>
    <w:rsid w:val="0024779E"/>
    <w:rsid w:val="00283190"/>
    <w:rsid w:val="002832AC"/>
    <w:rsid w:val="002D7C93"/>
    <w:rsid w:val="00441C3B"/>
    <w:rsid w:val="00446FE5"/>
    <w:rsid w:val="00452396"/>
    <w:rsid w:val="004D43EC"/>
    <w:rsid w:val="004E468C"/>
    <w:rsid w:val="005505B7"/>
    <w:rsid w:val="00573BE5"/>
    <w:rsid w:val="00581A6D"/>
    <w:rsid w:val="0058363A"/>
    <w:rsid w:val="00584DC4"/>
    <w:rsid w:val="00586ED3"/>
    <w:rsid w:val="00596AA9"/>
    <w:rsid w:val="0068456F"/>
    <w:rsid w:val="0071601D"/>
    <w:rsid w:val="00726795"/>
    <w:rsid w:val="007A62E6"/>
    <w:rsid w:val="0080684C"/>
    <w:rsid w:val="00871C75"/>
    <w:rsid w:val="008776DC"/>
    <w:rsid w:val="008B40CD"/>
    <w:rsid w:val="008F29A0"/>
    <w:rsid w:val="009705C8"/>
    <w:rsid w:val="009C1CF4"/>
    <w:rsid w:val="00A30353"/>
    <w:rsid w:val="00AC3823"/>
    <w:rsid w:val="00AE323C"/>
    <w:rsid w:val="00B00181"/>
    <w:rsid w:val="00B00B0D"/>
    <w:rsid w:val="00B765F7"/>
    <w:rsid w:val="00BA0CA9"/>
    <w:rsid w:val="00C02897"/>
    <w:rsid w:val="00D3439C"/>
    <w:rsid w:val="00DB1831"/>
    <w:rsid w:val="00DD3BFD"/>
    <w:rsid w:val="00DF6453"/>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950B2D-D53A-4D1C-A60B-911D8631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581A6D"/>
    <w:rPr>
      <w:rFonts w:ascii="Times New Roman" w:eastAsiaTheme="minorHAnsi" w:hAnsi="Times New Roman" w:cs="Times New Roman"/>
      <w:b/>
      <w:sz w:val="28"/>
      <w:szCs w:val="20"/>
      <w:lang w:eastAsia="en-US"/>
    </w:rPr>
  </w:style>
  <w:style w:type="character" w:customStyle="1" w:styleId="H1GChar">
    <w:name w:val="_ H_1_G Char"/>
    <w:link w:val="H1G"/>
    <w:rsid w:val="00581A6D"/>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581A6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ogle.be/url?sa=i&amp;rct=j&amp;q=&amp;esrc=s&amp;source=images&amp;cd=&amp;cad=rja&amp;uact=8&amp;ved=0ahUKEwiktpji3_nVAhXHJlAKHWiJDZgQjRwIBw&amp;url=http://emballage.sotralentz.com/index.php/de/emballages-industriels-en-pehd-4/ibc&amp;psig=AFQjCNHYrSCYif34Mu1mK7mLVLZ2Ct1vdw&amp;ust=1504003494459974" TargetMode="External"/><Relationship Id="rId18" Type="http://schemas.openxmlformats.org/officeDocument/2006/relationships/hyperlink" Target="http://www.google.be/url?sa=i&amp;rct=j&amp;q=&amp;esrc=s&amp;source=images&amp;cd=&amp;cad=rja&amp;uact=8&amp;ved=0ahUKEwju8ceZ4PnVAhWCKVAKHZs8CtEQjRwIBw&amp;url=http://www.entegrisfluidhandling.com/Default.asp?G%3D1685&amp;psig=AFQjCNE9t9MaZdjIUXT0MAeB-lLAj0GoqQ&amp;ust=15040036024581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be/url?sa=i&amp;rct=j&amp;q=&amp;esrc=s&amp;source=images&amp;cd=&amp;cad=rja&amp;uact=8&amp;ved=0ahUKEwj17byZ3_nVAhVEEVAKHeR_AJIQjRwIBw&amp;url=https://www.schuetz-packaging.net/schuetz-benelux/nl/SOLUTIONS/de-ibc-als-logistiek-hulpmiddel/&amp;psig=AFQjCNE_gG8gj7HWL7VV6qSWq9NK6-Vbnw&amp;ust=150400333712738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onopoel.de/catalog/images/ibc-1000-stun-800.gif"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google.be/url?sa=i&amp;rct=j&amp;q=&amp;esrc=s&amp;source=images&amp;cd=&amp;cad=rja&amp;uact=8&amp;ved=0ahUKEwi7_bby3vnVAhVBLFAKHaY4CEUQjRwIBw&amp;url=https://www.amphorea.co.uk/IBC-1000-Litre-SM13&amp;psig=AFQjCNFB98amkm9Lu1GP0ua06Zdw-d8_cQ&amp;ust=1504003255462539" TargetMode="Externa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2F41-1ABC-43AB-9220-8C8577C8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ST/SG/AC.10/C.3/2018/45</vt:lpstr>
      <vt:lpstr>ST/SG/AC.10/C.3/2018/45</vt:lpstr>
    </vt:vector>
  </TitlesOfParts>
  <Company>DCM</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ST/SG/AC.10/C.3/2018/45</dc:title>
  <dc:subject/>
  <dc:creator>Fabienne CRELIER</dc:creator>
  <cp:keywords/>
  <cp:lastModifiedBy>Laurence Berthet</cp:lastModifiedBy>
  <cp:revision>3</cp:revision>
  <cp:lastPrinted>2018-05-09T15:14:00Z</cp:lastPrinted>
  <dcterms:created xsi:type="dcterms:W3CDTF">2018-05-09T15:14:00Z</dcterms:created>
  <dcterms:modified xsi:type="dcterms:W3CDTF">2018-05-09T15:15:00Z</dcterms:modified>
</cp:coreProperties>
</file>