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D016A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D016A5" w:rsidP="00D016A5">
            <w:pPr>
              <w:jc w:val="right"/>
            </w:pPr>
            <w:r w:rsidRPr="00D016A5">
              <w:rPr>
                <w:sz w:val="40"/>
              </w:rPr>
              <w:t>ST</w:t>
            </w:r>
            <w:r>
              <w:t>/SG/AC.10/C.3/2018/36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D016A5" w:rsidP="00F01738">
            <w:pPr>
              <w:spacing w:before="240"/>
            </w:pPr>
            <w:r>
              <w:t>Distr. générale</w:t>
            </w:r>
          </w:p>
          <w:p w:rsidR="00D016A5" w:rsidRDefault="00D016A5" w:rsidP="00D016A5">
            <w:pPr>
              <w:spacing w:line="240" w:lineRule="exact"/>
            </w:pPr>
            <w:r>
              <w:t>4 avril 2018</w:t>
            </w:r>
          </w:p>
          <w:p w:rsidR="00D016A5" w:rsidRDefault="00D016A5" w:rsidP="00D016A5">
            <w:pPr>
              <w:spacing w:line="240" w:lineRule="exact"/>
            </w:pPr>
            <w:r>
              <w:t>Français</w:t>
            </w:r>
          </w:p>
          <w:p w:rsidR="00D016A5" w:rsidRPr="00DB58B5" w:rsidRDefault="00D016A5" w:rsidP="00A559FD">
            <w:pPr>
              <w:spacing w:line="240" w:lineRule="exact"/>
            </w:pPr>
            <w:r>
              <w:t>Original</w:t>
            </w:r>
            <w:r w:rsidR="00A559FD">
              <w:t> </w:t>
            </w:r>
            <w:r>
              <w:t>: anglais</w:t>
            </w:r>
          </w:p>
        </w:tc>
      </w:tr>
    </w:tbl>
    <w:p w:rsidR="00545F73" w:rsidRPr="00CA0680" w:rsidRDefault="00545F73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076242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076242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545F73" w:rsidRPr="00CA0680" w:rsidRDefault="00545F73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076242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545F73" w:rsidRDefault="00FC1F35" w:rsidP="000305D3">
      <w:pPr>
        <w:spacing w:before="120"/>
        <w:rPr>
          <w:b/>
        </w:rPr>
      </w:pPr>
      <w:r w:rsidRPr="00545F73">
        <w:rPr>
          <w:b/>
        </w:rPr>
        <w:t xml:space="preserve">Cinquante-troisième </w:t>
      </w:r>
      <w:r w:rsidR="00545F73" w:rsidRPr="00CA0680">
        <w:rPr>
          <w:b/>
        </w:rPr>
        <w:t>session</w:t>
      </w:r>
    </w:p>
    <w:p w:rsidR="00545F73" w:rsidRDefault="00545F73" w:rsidP="000305D3">
      <w:r>
        <w:t xml:space="preserve">Genève, </w:t>
      </w:r>
      <w:r w:rsidR="00FC1F35" w:rsidRPr="00545F73">
        <w:t>25 juin-4 juillet 2018</w:t>
      </w:r>
    </w:p>
    <w:p w:rsidR="00545F73" w:rsidRDefault="00545F73" w:rsidP="000305D3">
      <w:r>
        <w:t>Point</w:t>
      </w:r>
      <w:r w:rsidRPr="008426D1">
        <w:t xml:space="preserve"> 5 b) </w:t>
      </w:r>
      <w:r>
        <w:t>de l</w:t>
      </w:r>
      <w:r w:rsidR="00076242">
        <w:t>’</w:t>
      </w:r>
      <w:r>
        <w:t>ordre du jour provisoire</w:t>
      </w:r>
    </w:p>
    <w:p w:rsidR="00D016A5" w:rsidRPr="00B5234D" w:rsidRDefault="00FC1F35" w:rsidP="00AC3823">
      <w:pPr>
        <w:rPr>
          <w:b/>
        </w:rPr>
      </w:pPr>
      <w:r w:rsidRPr="00B5234D">
        <w:rPr>
          <w:b/>
        </w:rPr>
        <w:t>Transport de gaz</w:t>
      </w:r>
      <w:r w:rsidR="00B5234D" w:rsidRPr="00B5234D">
        <w:rPr>
          <w:b/>
        </w:rPr>
        <w:t> </w:t>
      </w:r>
      <w:r w:rsidRPr="00B5234D">
        <w:rPr>
          <w:b/>
        </w:rPr>
        <w:t>: questions diverses</w:t>
      </w:r>
    </w:p>
    <w:p w:rsidR="00D016A5" w:rsidRPr="008426D1" w:rsidRDefault="00D016A5" w:rsidP="00B5234D">
      <w:pPr>
        <w:pStyle w:val="HChG"/>
        <w:rPr>
          <w:lang w:eastAsia="zh-CN"/>
        </w:rPr>
      </w:pPr>
      <w:r w:rsidRPr="008426D1">
        <w:tab/>
      </w:r>
      <w:r w:rsidRPr="008426D1">
        <w:tab/>
      </w:r>
      <w:r>
        <w:t>Disposition relative au transport des cartouches à gaz</w:t>
      </w:r>
      <w:r w:rsidRPr="008426D1">
        <w:t xml:space="preserve"> </w:t>
      </w:r>
      <w:r w:rsidR="00B5234D">
        <w:br/>
      </w:r>
      <w:r>
        <w:t xml:space="preserve">mises au rebut </w:t>
      </w:r>
      <w:r w:rsidRPr="008426D1">
        <w:t>(No</w:t>
      </w:r>
      <w:r>
        <w:t xml:space="preserve"> ONU</w:t>
      </w:r>
      <w:r w:rsidRPr="008426D1">
        <w:t> 2037)</w:t>
      </w:r>
    </w:p>
    <w:p w:rsidR="00D016A5" w:rsidRPr="008426D1" w:rsidRDefault="00D016A5" w:rsidP="00B5234D">
      <w:pPr>
        <w:pStyle w:val="H1G"/>
      </w:pPr>
      <w:r w:rsidRPr="008426D1">
        <w:tab/>
      </w:r>
      <w:r w:rsidRPr="008426D1">
        <w:tab/>
      </w:r>
      <w:r>
        <w:t>Communication de l</w:t>
      </w:r>
      <w:r w:rsidR="00076242">
        <w:t>’</w:t>
      </w:r>
      <w:r>
        <w:t>expert de l</w:t>
      </w:r>
      <w:r w:rsidR="00076242">
        <w:t>’</w:t>
      </w:r>
      <w:r>
        <w:t>Irlande</w:t>
      </w:r>
      <w:r w:rsidRPr="00A559FD">
        <w:rPr>
          <w:rStyle w:val="FootnoteReference"/>
          <w:b w:val="0"/>
        </w:rPr>
        <w:footnoteReference w:id="2"/>
      </w:r>
    </w:p>
    <w:p w:rsidR="00D016A5" w:rsidRPr="008426D1" w:rsidRDefault="00B5234D" w:rsidP="00B5234D">
      <w:pPr>
        <w:pStyle w:val="HChG"/>
      </w:pPr>
      <w:r>
        <w:tab/>
      </w:r>
      <w:r w:rsidR="00D016A5" w:rsidRPr="008426D1">
        <w:tab/>
      </w:r>
      <w:r w:rsidR="00D016A5">
        <w:t>Contexte</w:t>
      </w:r>
    </w:p>
    <w:p w:rsidR="00D016A5" w:rsidRPr="008426D1" w:rsidRDefault="00545F73" w:rsidP="00545F73">
      <w:pPr>
        <w:pStyle w:val="SingleTxtG"/>
      </w:pPr>
      <w:r>
        <w:t>1.</w:t>
      </w:r>
      <w:r>
        <w:tab/>
      </w:r>
      <w:r w:rsidR="00D016A5">
        <w:t xml:space="preserve">À la </w:t>
      </w:r>
      <w:r w:rsidR="00D016A5" w:rsidRPr="008426D1">
        <w:t>103</w:t>
      </w:r>
      <w:r w:rsidR="00D016A5" w:rsidRPr="00B5234D">
        <w:rPr>
          <w:vertAlign w:val="superscript"/>
        </w:rPr>
        <w:t>e</w:t>
      </w:r>
      <w:r w:rsidR="00D016A5" w:rsidRPr="008426D1">
        <w:t xml:space="preserve"> session </w:t>
      </w:r>
      <w:r w:rsidR="00D016A5">
        <w:t>du Groupe de travail des transports de marchandises dangereuses, le représentant de l</w:t>
      </w:r>
      <w:r w:rsidR="00076242">
        <w:t>’</w:t>
      </w:r>
      <w:r w:rsidR="00D016A5">
        <w:t>Irlande a présenté le document informel INF.</w:t>
      </w:r>
      <w:r w:rsidR="00D016A5" w:rsidRPr="008426D1">
        <w:t>18</w:t>
      </w:r>
      <w:r w:rsidR="00D016A5">
        <w:t>,</w:t>
      </w:r>
      <w:r w:rsidR="00D016A5" w:rsidRPr="008426D1">
        <w:t xml:space="preserve"> </w:t>
      </w:r>
      <w:r w:rsidR="00D016A5">
        <w:t>qui avait pour objet d</w:t>
      </w:r>
      <w:r w:rsidR="00076242">
        <w:t>’</w:t>
      </w:r>
      <w:r w:rsidR="00D016A5">
        <w:t>examiner la possibilité d</w:t>
      </w:r>
      <w:r w:rsidR="00076242">
        <w:t>’</w:t>
      </w:r>
      <w:r w:rsidR="00D016A5">
        <w:t>inclure dans l</w:t>
      </w:r>
      <w:r w:rsidR="00076242">
        <w:t>’</w:t>
      </w:r>
      <w:r w:rsidR="00D016A5" w:rsidRPr="00521D3E">
        <w:t>Accord européen relati</w:t>
      </w:r>
      <w:r w:rsidR="00D016A5">
        <w:t>f</w:t>
      </w:r>
      <w:r w:rsidR="00D016A5" w:rsidRPr="00521D3E">
        <w:t xml:space="preserve"> au transport international des marchandises dangereuses par route </w:t>
      </w:r>
      <w:r w:rsidR="00D016A5" w:rsidRPr="008426D1">
        <w:t xml:space="preserve">(ADR) </w:t>
      </w:r>
      <w:r w:rsidR="00D016A5">
        <w:t xml:space="preserve">des dispositions relatives aux cartouches à gaz mises au rebut </w:t>
      </w:r>
      <w:r w:rsidR="00D016A5" w:rsidRPr="008426D1">
        <w:t>(No</w:t>
      </w:r>
      <w:r w:rsidR="00D016A5">
        <w:t xml:space="preserve"> ONU</w:t>
      </w:r>
      <w:r w:rsidR="00D016A5" w:rsidRPr="008426D1">
        <w:t xml:space="preserve"> 2037) </w:t>
      </w:r>
      <w:r w:rsidR="00D016A5">
        <w:t>similaires à celles qui existent pour les générateurs d</w:t>
      </w:r>
      <w:r w:rsidR="00076242">
        <w:t>’</w:t>
      </w:r>
      <w:r w:rsidR="00D016A5">
        <w:t xml:space="preserve">aérosols mis au rebut </w:t>
      </w:r>
      <w:r w:rsidR="00D016A5" w:rsidRPr="008426D1">
        <w:t>(</w:t>
      </w:r>
      <w:r w:rsidR="00D016A5">
        <w:t>No ONU</w:t>
      </w:r>
      <w:r w:rsidR="00D016A5" w:rsidRPr="008426D1">
        <w:t xml:space="preserve"> 1950). </w:t>
      </w:r>
      <w:r w:rsidR="00D016A5">
        <w:t>Les discussions sur ce point ayant une portée multimodale, le Groupe de travail a invité le représentant de l</w:t>
      </w:r>
      <w:r w:rsidR="00076242">
        <w:t>’</w:t>
      </w:r>
      <w:r w:rsidR="00D016A5">
        <w:t xml:space="preserve">Irlande à transmettre la proposition au </w:t>
      </w:r>
      <w:r w:rsidR="00D016A5" w:rsidRPr="00404F35">
        <w:t>Sous-Comité d</w:t>
      </w:r>
      <w:r w:rsidR="00076242">
        <w:t>’</w:t>
      </w:r>
      <w:r w:rsidR="00D016A5" w:rsidRPr="00404F35">
        <w:t>experts du transport des marchandises dangereuses</w:t>
      </w:r>
      <w:r w:rsidR="00D016A5" w:rsidRPr="008426D1">
        <w:t>.</w:t>
      </w:r>
    </w:p>
    <w:p w:rsidR="00D016A5" w:rsidRPr="008426D1" w:rsidRDefault="00D016A5" w:rsidP="00B5234D">
      <w:pPr>
        <w:pStyle w:val="H1G"/>
      </w:pPr>
      <w:r w:rsidRPr="008426D1">
        <w:tab/>
      </w:r>
      <w:r w:rsidRPr="008426D1">
        <w:tab/>
        <w:t>Introduction</w:t>
      </w:r>
    </w:p>
    <w:p w:rsidR="00D016A5" w:rsidRPr="008426D1" w:rsidRDefault="00B5234D" w:rsidP="00545F73">
      <w:pPr>
        <w:pStyle w:val="SingleTxtG"/>
      </w:pPr>
      <w:r>
        <w:t>2.</w:t>
      </w:r>
      <w:r>
        <w:tab/>
      </w:r>
      <w:r w:rsidR="00D016A5">
        <w:t>À l</w:t>
      </w:r>
      <w:r w:rsidR="00076242">
        <w:t>’</w:t>
      </w:r>
      <w:r w:rsidR="00D016A5">
        <w:t>heure actuelle, le Règlement type contient des dispositions concernant le transport des générateurs d</w:t>
      </w:r>
      <w:r w:rsidR="00076242">
        <w:t>’</w:t>
      </w:r>
      <w:r w:rsidR="00D016A5">
        <w:t xml:space="preserve">aérosols mis au rebut (No ONU </w:t>
      </w:r>
      <w:r w:rsidR="00D016A5" w:rsidRPr="008426D1">
        <w:t>1950</w:t>
      </w:r>
      <w:r w:rsidR="00D016A5">
        <w:t>,</w:t>
      </w:r>
      <w:r w:rsidR="00D016A5" w:rsidRPr="008426D1">
        <w:t xml:space="preserve"> A</w:t>
      </w:r>
      <w:r w:rsidR="00D016A5">
        <w:t>É</w:t>
      </w:r>
      <w:r w:rsidR="00D016A5" w:rsidRPr="008426D1">
        <w:t>ROSOLS</w:t>
      </w:r>
      <w:r w:rsidR="00D016A5">
        <w:t>)</w:t>
      </w:r>
      <w:r w:rsidR="00D016A5" w:rsidRPr="008426D1">
        <w:t xml:space="preserve">, </w:t>
      </w:r>
      <w:r w:rsidR="00D016A5">
        <w:t>mais il n</w:t>
      </w:r>
      <w:r w:rsidR="00076242">
        <w:t>’</w:t>
      </w:r>
      <w:r w:rsidR="00D016A5">
        <w:t>existe aucune disposition équivalente pour les cartouches à gaz (No ONU 2037, RÉCIPIENTS DE FAIBLE CAPACITÉ, CONTENANT DU GAZ (CARTOUCHES À GAZ)) sans dispositif de détente et non rechargeables qui sont mises au rebut</w:t>
      </w:r>
      <w:r w:rsidR="00D016A5" w:rsidRPr="008426D1">
        <w:t>.</w:t>
      </w:r>
    </w:p>
    <w:p w:rsidR="00D016A5" w:rsidRPr="008426D1" w:rsidRDefault="005B1DE2" w:rsidP="00545F73">
      <w:pPr>
        <w:pStyle w:val="SingleTxtG"/>
      </w:pPr>
      <w:r>
        <w:t>3.</w:t>
      </w:r>
      <w:r>
        <w:tab/>
      </w:r>
      <w:r w:rsidR="00D016A5">
        <w:t>Les aérosols tout comme les cartouches à gaz relèvent de la classe</w:t>
      </w:r>
      <w:r w:rsidR="005A5457">
        <w:t> </w:t>
      </w:r>
      <w:r w:rsidR="00D016A5" w:rsidRPr="008426D1">
        <w:t xml:space="preserve">2. </w:t>
      </w:r>
      <w:r w:rsidR="00D016A5">
        <w:t xml:space="preserve">La division dans laquelle </w:t>
      </w:r>
      <w:r w:rsidR="00D016A5" w:rsidRPr="008118E0">
        <w:t xml:space="preserve">sont classés </w:t>
      </w:r>
      <w:r w:rsidR="00D016A5">
        <w:t xml:space="preserve">les aérosols et les cartouches à gaz est déterminée par les critères figurant </w:t>
      </w:r>
      <w:r w:rsidR="00D016A5" w:rsidRPr="008118E0">
        <w:t xml:space="preserve">respectivement </w:t>
      </w:r>
      <w:r w:rsidR="00D016A5">
        <w:t xml:space="preserve">dans les dispositions spéciales </w:t>
      </w:r>
      <w:r w:rsidR="00D016A5" w:rsidRPr="008426D1">
        <w:t xml:space="preserve">63 </w:t>
      </w:r>
      <w:r w:rsidR="00D016A5">
        <w:t>et</w:t>
      </w:r>
      <w:r w:rsidR="00D016A5" w:rsidRPr="008426D1">
        <w:t xml:space="preserve"> 303 </w:t>
      </w:r>
      <w:r w:rsidR="00D016A5">
        <w:t>du</w:t>
      </w:r>
      <w:r w:rsidR="00D016A5" w:rsidRPr="008426D1">
        <w:t xml:space="preserve"> </w:t>
      </w:r>
      <w:r w:rsidR="00D016A5">
        <w:t>c</w:t>
      </w:r>
      <w:r w:rsidR="00D016A5" w:rsidRPr="008426D1">
        <w:t>hap</w:t>
      </w:r>
      <w:r w:rsidR="00D016A5">
        <w:t>itre</w:t>
      </w:r>
      <w:r w:rsidR="005A5457">
        <w:t> </w:t>
      </w:r>
      <w:r w:rsidR="00D016A5" w:rsidRPr="008426D1">
        <w:t>3.3 (</w:t>
      </w:r>
      <w:r w:rsidR="00D016A5">
        <w:t xml:space="preserve">voir </w:t>
      </w:r>
      <w:r w:rsidR="00D016A5" w:rsidRPr="008426D1">
        <w:t xml:space="preserve">note </w:t>
      </w:r>
      <w:r w:rsidR="00D016A5">
        <w:t>dans le</w:t>
      </w:r>
      <w:r w:rsidR="00D016A5" w:rsidRPr="008426D1">
        <w:t xml:space="preserve"> 2.2.2.1). </w:t>
      </w:r>
      <w:r w:rsidR="00D016A5">
        <w:t xml:space="preserve">Selon la disposition spéciale 344, les aérosols et les cartouches à gaz relèvent des dispositions du </w:t>
      </w:r>
      <w:r w:rsidR="00D016A5" w:rsidRPr="008426D1">
        <w:t xml:space="preserve">6.2.4 </w:t>
      </w:r>
      <w:r w:rsidR="00D016A5">
        <w:t>(Prescriptions générales applicables aux générateurs d</w:t>
      </w:r>
      <w:r w:rsidR="00076242">
        <w:t>’</w:t>
      </w:r>
      <w:r w:rsidR="00D016A5">
        <w:t xml:space="preserve">aérosols, </w:t>
      </w:r>
      <w:r w:rsidR="00D016A5">
        <w:lastRenderedPageBreak/>
        <w:t>récipients de faible capacité contenant du gaz (cartouches à gaz) et cartouches pour pile à combustible contenant un gaz liquéfié inflammable)</w:t>
      </w:r>
      <w:r w:rsidR="00D016A5" w:rsidRPr="008426D1">
        <w:t>.</w:t>
      </w:r>
    </w:p>
    <w:p w:rsidR="00D016A5" w:rsidRPr="008426D1" w:rsidRDefault="005B1DE2" w:rsidP="00545F73">
      <w:pPr>
        <w:pStyle w:val="SingleTxtG"/>
      </w:pPr>
      <w:r>
        <w:t>4.</w:t>
      </w:r>
      <w:r>
        <w:tab/>
      </w:r>
      <w:r w:rsidR="00D016A5">
        <w:t>Le transport des générateurs d</w:t>
      </w:r>
      <w:r w:rsidR="00076242">
        <w:t>’</w:t>
      </w:r>
      <w:r w:rsidR="00D016A5">
        <w:t xml:space="preserve">aérosols mis au rebut (No ONU </w:t>
      </w:r>
      <w:r w:rsidR="00D016A5" w:rsidRPr="008426D1">
        <w:t xml:space="preserve">1950) </w:t>
      </w:r>
      <w:r w:rsidR="00D016A5">
        <w:t xml:space="preserve">est prévu dans la disposition spéciale </w:t>
      </w:r>
      <w:r w:rsidR="00D016A5" w:rsidRPr="008426D1">
        <w:t>327</w:t>
      </w:r>
      <w:r w:rsidR="00D016A5">
        <w:t>, qui dispose que ceux-ci peuvent être transportés sous cette rubrique aux fins de recyclage ou d</w:t>
      </w:r>
      <w:r w:rsidR="00076242">
        <w:t>’</w:t>
      </w:r>
      <w:r w:rsidR="00D016A5">
        <w:t>élimination. Au titre de cette disposition spéciale, l</w:t>
      </w:r>
      <w:r w:rsidR="00D016A5" w:rsidRPr="00F32BEE">
        <w:t>es générateurs d</w:t>
      </w:r>
      <w:r w:rsidR="00076242">
        <w:t>’</w:t>
      </w:r>
      <w:r w:rsidR="00D016A5" w:rsidRPr="00F32BEE">
        <w:t>aérosol mis au rebut, à l</w:t>
      </w:r>
      <w:r w:rsidR="00076242">
        <w:t>’</w:t>
      </w:r>
      <w:r w:rsidR="00D016A5" w:rsidRPr="00F32BEE">
        <w:t xml:space="preserve">exclusion de ceux qui présentent des fuites ou de graves déformations, </w:t>
      </w:r>
      <w:r w:rsidR="00D016A5">
        <w:t>peu</w:t>
      </w:r>
      <w:r w:rsidR="00D016A5" w:rsidRPr="00F32BEE">
        <w:t>vent être emballés conformément à l</w:t>
      </w:r>
      <w:r w:rsidR="00076242">
        <w:t>’</w:t>
      </w:r>
      <w:r w:rsidR="00D016A5" w:rsidRPr="00F32BEE">
        <w:t>instruction d</w:t>
      </w:r>
      <w:r w:rsidR="00076242">
        <w:t>’</w:t>
      </w:r>
      <w:r w:rsidR="00D016A5" w:rsidRPr="00F32BEE">
        <w:t>emballage P207 et à la disposition spéciale PP87, ou encore conformément à l</w:t>
      </w:r>
      <w:r w:rsidR="00076242">
        <w:t>’</w:t>
      </w:r>
      <w:r w:rsidR="00D016A5" w:rsidRPr="00F32BEE">
        <w:t>instruction d</w:t>
      </w:r>
      <w:r w:rsidR="00076242">
        <w:t>’</w:t>
      </w:r>
      <w:r w:rsidR="00D016A5" w:rsidRPr="00F32BEE">
        <w:t>emballage LP200 et à la disposition spéciale L2</w:t>
      </w:r>
      <w:r w:rsidR="00D016A5">
        <w:t xml:space="preserve">, et </w:t>
      </w:r>
      <w:r w:rsidR="00D016A5" w:rsidRPr="00F32BEE">
        <w:t>n</w:t>
      </w:r>
      <w:r w:rsidR="00076242">
        <w:t>’</w:t>
      </w:r>
      <w:r w:rsidR="00D016A5" w:rsidRPr="00F32BEE">
        <w:t>ont pas besoin d</w:t>
      </w:r>
      <w:r w:rsidR="00076242">
        <w:t>’</w:t>
      </w:r>
      <w:r w:rsidR="00D016A5" w:rsidRPr="00F32BEE">
        <w:t>être protégés contre les mouvements et les fuites accidentelles, à condition que des mesures empêchant une augmentation dangereuse de la pression et la constitution d</w:t>
      </w:r>
      <w:r w:rsidR="00076242">
        <w:t>’</w:t>
      </w:r>
      <w:r w:rsidR="00D016A5" w:rsidRPr="00F32BEE">
        <w:t>atmosphères dangereuses aient été prises</w:t>
      </w:r>
      <w:r w:rsidR="00D016A5" w:rsidRPr="008426D1">
        <w:t xml:space="preserve">. </w:t>
      </w:r>
      <w:r w:rsidR="00D016A5">
        <w:t>La disposition spéciale d</w:t>
      </w:r>
      <w:r w:rsidR="00076242">
        <w:t>’</w:t>
      </w:r>
      <w:r w:rsidR="00D016A5">
        <w:t xml:space="preserve">emballage </w:t>
      </w:r>
      <w:r w:rsidR="00D016A5" w:rsidRPr="008426D1">
        <w:t xml:space="preserve">PP87 </w:t>
      </w:r>
      <w:r w:rsidR="00D016A5">
        <w:t xml:space="preserve">dispose que les emballages transportés conformément à la disposition spéciale </w:t>
      </w:r>
      <w:r w:rsidR="00D016A5" w:rsidRPr="008426D1">
        <w:t xml:space="preserve">327 </w:t>
      </w:r>
      <w:r w:rsidR="00D016A5" w:rsidRPr="00F32BEE">
        <w:t>doivent être pourvus de moyens permettant de retenir tout liquide libéré susceptible de s</w:t>
      </w:r>
      <w:r w:rsidR="00076242">
        <w:t>’</w:t>
      </w:r>
      <w:r w:rsidR="00D016A5" w:rsidRPr="00F32BEE">
        <w:t xml:space="preserve">échapper pendant le transport </w:t>
      </w:r>
      <w:r w:rsidR="00D016A5">
        <w:t>et qu</w:t>
      </w:r>
      <w:r w:rsidR="00076242">
        <w:t>’</w:t>
      </w:r>
      <w:r w:rsidR="00D016A5">
        <w:t xml:space="preserve">ils </w:t>
      </w:r>
      <w:r w:rsidR="00D016A5" w:rsidRPr="00F32BEE">
        <w:t>doivent être correctement ventilés afin</w:t>
      </w:r>
      <w:r w:rsidR="009909C4">
        <w:t xml:space="preserve"> </w:t>
      </w:r>
      <w:r w:rsidR="00D016A5" w:rsidRPr="00F32BEE">
        <w:t>d</w:t>
      </w:r>
      <w:r w:rsidR="00076242">
        <w:t>’</w:t>
      </w:r>
      <w:r w:rsidR="00D016A5" w:rsidRPr="00F32BEE">
        <w:t>empêcher la formation d</w:t>
      </w:r>
      <w:r w:rsidR="00076242">
        <w:t>’</w:t>
      </w:r>
      <w:r w:rsidR="00D016A5" w:rsidRPr="00F32BEE">
        <w:t>une atmosphère inflammable et une accumulation de pression</w:t>
      </w:r>
      <w:r w:rsidR="00D016A5" w:rsidRPr="008426D1">
        <w:t>.</w:t>
      </w:r>
    </w:p>
    <w:p w:rsidR="00D016A5" w:rsidRPr="008426D1" w:rsidRDefault="005B1DE2" w:rsidP="00545F73">
      <w:pPr>
        <w:pStyle w:val="SingleTxtG"/>
      </w:pPr>
      <w:r>
        <w:t>5.</w:t>
      </w:r>
      <w:r>
        <w:tab/>
      </w:r>
      <w:r w:rsidR="00D016A5">
        <w:t>Il n</w:t>
      </w:r>
      <w:r w:rsidR="00076242">
        <w:t>’</w:t>
      </w:r>
      <w:r w:rsidR="00D016A5">
        <w:t xml:space="preserve">existe aucune disposition équivalente pour les cartouches à gaz mises au rebut </w:t>
      </w:r>
      <w:r w:rsidR="00D016A5" w:rsidRPr="008426D1">
        <w:t>(</w:t>
      </w:r>
      <w:r w:rsidR="00D016A5">
        <w:t>No ONU</w:t>
      </w:r>
      <w:r w:rsidR="00D016A5" w:rsidRPr="008426D1">
        <w:t xml:space="preserve"> 2037).</w:t>
      </w:r>
    </w:p>
    <w:p w:rsidR="00D016A5" w:rsidRPr="008426D1" w:rsidRDefault="00D016A5" w:rsidP="005B1DE2">
      <w:pPr>
        <w:pStyle w:val="HChG"/>
      </w:pPr>
      <w:r w:rsidRPr="008426D1">
        <w:tab/>
      </w:r>
      <w:r w:rsidRPr="008426D1">
        <w:tab/>
        <w:t>Propos</w:t>
      </w:r>
      <w:r>
        <w:t>ition</w:t>
      </w:r>
    </w:p>
    <w:p w:rsidR="00D016A5" w:rsidRPr="008426D1" w:rsidRDefault="00D016A5" w:rsidP="005B1DE2">
      <w:pPr>
        <w:pStyle w:val="H1G"/>
      </w:pPr>
      <w:r w:rsidRPr="008426D1">
        <w:tab/>
      </w:r>
      <w:r w:rsidRPr="008426D1">
        <w:tab/>
        <w:t>Option 1</w:t>
      </w:r>
      <w:r w:rsidR="005A5457">
        <w:t> </w:t>
      </w:r>
      <w:r w:rsidRPr="008426D1">
        <w:t>:</w:t>
      </w:r>
    </w:p>
    <w:p w:rsidR="00D016A5" w:rsidRPr="008426D1" w:rsidRDefault="00D016A5" w:rsidP="00545F73">
      <w:pPr>
        <w:pStyle w:val="SingleTxtG"/>
      </w:pPr>
      <w:r>
        <w:t xml:space="preserve">Modifier la disposition spéciale </w:t>
      </w:r>
      <w:r w:rsidRPr="008426D1">
        <w:t xml:space="preserve">327 </w:t>
      </w:r>
      <w:r>
        <w:t>dans le c</w:t>
      </w:r>
      <w:r w:rsidRPr="008426D1">
        <w:t>hap</w:t>
      </w:r>
      <w:r>
        <w:t>itre</w:t>
      </w:r>
      <w:r w:rsidRPr="008426D1">
        <w:t xml:space="preserve"> 3.3 </w:t>
      </w:r>
      <w:r>
        <w:t>comme suit</w:t>
      </w:r>
      <w:r w:rsidRPr="008426D1">
        <w:t xml:space="preserve">. </w:t>
      </w:r>
      <w:r>
        <w:t>Les ajouts sont soulignés</w:t>
      </w:r>
      <w:r w:rsidRPr="008426D1">
        <w:t>.</w:t>
      </w:r>
    </w:p>
    <w:p w:rsidR="00D016A5" w:rsidRPr="008426D1" w:rsidRDefault="00D016A5" w:rsidP="005B1DE2">
      <w:pPr>
        <w:pStyle w:val="SingleTxtG"/>
        <w:tabs>
          <w:tab w:val="left" w:pos="2552"/>
        </w:tabs>
        <w:ind w:left="1701"/>
      </w:pPr>
      <w:r>
        <w:t>«</w:t>
      </w:r>
      <w:r w:rsidR="009909C4">
        <w:t> </w:t>
      </w:r>
      <w:r w:rsidRPr="008426D1">
        <w:t>327</w:t>
      </w:r>
      <w:r w:rsidRPr="008426D1">
        <w:tab/>
      </w:r>
      <w:r>
        <w:t>Les générateurs d</w:t>
      </w:r>
      <w:r w:rsidR="00076242">
        <w:t>’</w:t>
      </w:r>
      <w:r>
        <w:t xml:space="preserve">aérosol </w:t>
      </w:r>
      <w:r>
        <w:rPr>
          <w:u w:val="single"/>
        </w:rPr>
        <w:t>et les cartouches à gaz</w:t>
      </w:r>
      <w:r w:rsidRPr="008426D1">
        <w:rPr>
          <w:u w:val="single"/>
        </w:rPr>
        <w:t xml:space="preserve"> </w:t>
      </w:r>
      <w:r w:rsidRPr="00522E24">
        <w:t>mis au rebut envoyés conformément au 5.4.1.4.3</w:t>
      </w:r>
      <w:r w:rsidR="005A5457">
        <w:t> </w:t>
      </w:r>
      <w:r w:rsidRPr="00522E24">
        <w:t>c) peuvent être transportés sous cette rubrique aux fins de recyclage ou d</w:t>
      </w:r>
      <w:r w:rsidR="00076242">
        <w:t>’</w:t>
      </w:r>
      <w:r w:rsidRPr="00522E24">
        <w:t>élimination. Ils n</w:t>
      </w:r>
      <w:r w:rsidR="00076242">
        <w:t>’</w:t>
      </w:r>
      <w:r w:rsidRPr="00522E24">
        <w:t>ont pas besoin d</w:t>
      </w:r>
      <w:r w:rsidR="00076242">
        <w:t>’</w:t>
      </w:r>
      <w:r w:rsidRPr="00522E24">
        <w:t>être protégés contre les mouvements et les fuites accidentelles, à condition que des mesures empêchant une augmentation dangereuse de la pression et la constitution d</w:t>
      </w:r>
      <w:r w:rsidR="00076242">
        <w:t>’</w:t>
      </w:r>
      <w:r w:rsidRPr="00522E24">
        <w:t>atmosphères dangereuses aient été prises. Les générateurs d</w:t>
      </w:r>
      <w:r w:rsidR="00076242">
        <w:t>’</w:t>
      </w:r>
      <w:r w:rsidRPr="00522E24">
        <w:t>aérosol mis au rebut, à l</w:t>
      </w:r>
      <w:r w:rsidR="00076242">
        <w:t>’</w:t>
      </w:r>
      <w:r w:rsidRPr="00522E24">
        <w:t>exclusion de ceux qui présentent des fuites ou de graves déformations, doivent être emballés conformément à l</w:t>
      </w:r>
      <w:r w:rsidR="00076242">
        <w:t>’</w:t>
      </w:r>
      <w:r w:rsidRPr="00522E24">
        <w:t>instruction d</w:t>
      </w:r>
      <w:r w:rsidR="00076242">
        <w:t>’</w:t>
      </w:r>
      <w:r w:rsidRPr="00522E24">
        <w:t>emballage P207 et à la disposition spéciale PP87, ou encore conformément à l</w:t>
      </w:r>
      <w:r w:rsidR="00076242">
        <w:t>’</w:t>
      </w:r>
      <w:r w:rsidRPr="00522E24">
        <w:t>instruction d</w:t>
      </w:r>
      <w:r w:rsidR="00076242">
        <w:t>’</w:t>
      </w:r>
      <w:r w:rsidRPr="00522E24">
        <w:t>emballage LP2</w:t>
      </w:r>
      <w:r w:rsidR="002B28F1">
        <w:t>00 et à la disposition spéciale </w:t>
      </w:r>
      <w:r w:rsidRPr="00522E24">
        <w:t>L2</w:t>
      </w:r>
      <w:r w:rsidRPr="008426D1">
        <w:t xml:space="preserve">. </w:t>
      </w:r>
      <w:r>
        <w:rPr>
          <w:u w:val="single"/>
        </w:rPr>
        <w:t>Les cartouches à gaz mises au rebut, à l</w:t>
      </w:r>
      <w:r w:rsidR="00076242">
        <w:rPr>
          <w:u w:val="single"/>
        </w:rPr>
        <w:t>’</w:t>
      </w:r>
      <w:r>
        <w:rPr>
          <w:u w:val="single"/>
        </w:rPr>
        <w:t>exclusion de celles qui présentent des fuites ou de graves déformations, doivent être emballées conformément à l</w:t>
      </w:r>
      <w:r w:rsidR="00076242">
        <w:rPr>
          <w:u w:val="single"/>
        </w:rPr>
        <w:t>’</w:t>
      </w:r>
      <w:r>
        <w:rPr>
          <w:u w:val="single"/>
        </w:rPr>
        <w:t>instruction d</w:t>
      </w:r>
      <w:r w:rsidR="00076242">
        <w:rPr>
          <w:u w:val="single"/>
        </w:rPr>
        <w:t>’</w:t>
      </w:r>
      <w:r>
        <w:rPr>
          <w:u w:val="single"/>
        </w:rPr>
        <w:t xml:space="preserve">emballage </w:t>
      </w:r>
      <w:r w:rsidRPr="008426D1">
        <w:rPr>
          <w:u w:val="single"/>
        </w:rPr>
        <w:t xml:space="preserve">P003 </w:t>
      </w:r>
      <w:r>
        <w:rPr>
          <w:u w:val="single"/>
        </w:rPr>
        <w:t xml:space="preserve">et aux dispositions spéciales </w:t>
      </w:r>
      <w:r w:rsidRPr="008426D1">
        <w:rPr>
          <w:u w:val="single"/>
        </w:rPr>
        <w:t xml:space="preserve">PP17 </w:t>
      </w:r>
      <w:r>
        <w:rPr>
          <w:u w:val="single"/>
        </w:rPr>
        <w:t>et</w:t>
      </w:r>
      <w:r w:rsidRPr="008426D1">
        <w:rPr>
          <w:u w:val="single"/>
        </w:rPr>
        <w:t xml:space="preserve"> PPXX</w:t>
      </w:r>
      <w:r w:rsidRPr="002B28F1">
        <w:rPr>
          <w:u w:val="single"/>
        </w:rPr>
        <w:t>.</w:t>
      </w:r>
      <w:r w:rsidRPr="008426D1">
        <w:t xml:space="preserve"> </w:t>
      </w:r>
      <w:r>
        <w:t>Les générateurs d</w:t>
      </w:r>
      <w:r w:rsidR="00076242">
        <w:t>’</w:t>
      </w:r>
      <w:r>
        <w:t>aérosol</w:t>
      </w:r>
      <w:r w:rsidRPr="008426D1">
        <w:t xml:space="preserve"> </w:t>
      </w:r>
      <w:r>
        <w:rPr>
          <w:u w:val="single"/>
        </w:rPr>
        <w:t>et les cartouches à gaz</w:t>
      </w:r>
      <w:r w:rsidRPr="002B28F1">
        <w:rPr>
          <w:u w:val="single"/>
        </w:rPr>
        <w:t xml:space="preserve"> </w:t>
      </w:r>
      <w:r w:rsidRPr="00522E24">
        <w:t>qui présentent des fuites ou de graves déformations doivent être transportés dans des emballages de secours, à condition que des mesures appropriées soient prises pour empêcher toute augmentation dangereuse de la pression</w:t>
      </w:r>
      <w:r w:rsidRPr="008426D1">
        <w:t xml:space="preserve">. </w:t>
      </w:r>
      <w:r>
        <w:t>Les générateurs d</w:t>
      </w:r>
      <w:r w:rsidR="00076242">
        <w:t>’</w:t>
      </w:r>
      <w:r>
        <w:t>aérosol</w:t>
      </w:r>
      <w:r w:rsidRPr="008426D1">
        <w:t xml:space="preserve"> </w:t>
      </w:r>
      <w:r>
        <w:rPr>
          <w:u w:val="single"/>
        </w:rPr>
        <w:t>et les cartouches à gaz</w:t>
      </w:r>
      <w:r w:rsidRPr="002B28F1">
        <w:rPr>
          <w:u w:val="single"/>
        </w:rPr>
        <w:t xml:space="preserve"> </w:t>
      </w:r>
      <w:r w:rsidRPr="00EF5CDF">
        <w:t xml:space="preserve">mis au rebut </w:t>
      </w:r>
      <w:r w:rsidRPr="008118E0">
        <w:t>ne doivent pas être transportés dans des conteneurs fermés</w:t>
      </w:r>
      <w:r w:rsidRPr="002B28F1">
        <w:t>.</w:t>
      </w:r>
      <w:r w:rsidR="009909C4">
        <w:t> </w:t>
      </w:r>
      <w:r>
        <w:t>»</w:t>
      </w:r>
    </w:p>
    <w:p w:rsidR="00D016A5" w:rsidRPr="008426D1" w:rsidRDefault="00D016A5" w:rsidP="00545F73">
      <w:pPr>
        <w:pStyle w:val="SingleTxtG"/>
      </w:pPr>
      <w:r>
        <w:t>Modifier la</w:t>
      </w:r>
      <w:r w:rsidRPr="008426D1">
        <w:t xml:space="preserve"> P003 </w:t>
      </w:r>
      <w:r>
        <w:t>de manière à ajouter une disposition spéciale d</w:t>
      </w:r>
      <w:r w:rsidR="00076242">
        <w:t>’</w:t>
      </w:r>
      <w:r>
        <w:t>emballage</w:t>
      </w:r>
      <w:r w:rsidRPr="008426D1">
        <w:t xml:space="preserve"> PPXX </w:t>
      </w:r>
      <w:r>
        <w:t>comme suit</w:t>
      </w:r>
      <w:r w:rsidR="009909C4">
        <w:t> :</w:t>
      </w:r>
    </w:p>
    <w:p w:rsidR="00D016A5" w:rsidRPr="008426D1" w:rsidRDefault="002B28F1" w:rsidP="005B1DE2">
      <w:pPr>
        <w:pStyle w:val="SingleTxtG"/>
        <w:tabs>
          <w:tab w:val="left" w:pos="2552"/>
        </w:tabs>
        <w:ind w:left="1701"/>
      </w:pPr>
      <w:r>
        <w:t>« </w:t>
      </w:r>
      <w:r w:rsidR="00D016A5" w:rsidRPr="008426D1">
        <w:rPr>
          <w:b/>
        </w:rPr>
        <w:t>PPXX</w:t>
      </w:r>
      <w:r w:rsidR="00D016A5" w:rsidRPr="008426D1">
        <w:rPr>
          <w:b/>
        </w:rPr>
        <w:tab/>
      </w:r>
      <w:r w:rsidR="00D016A5">
        <w:t xml:space="preserve">Pour le </w:t>
      </w:r>
      <w:r w:rsidR="00D016A5" w:rsidRPr="00C0540A">
        <w:t xml:space="preserve">No </w:t>
      </w:r>
      <w:r w:rsidR="00D016A5">
        <w:t xml:space="preserve">ONU </w:t>
      </w:r>
      <w:r w:rsidR="00D016A5" w:rsidRPr="008426D1">
        <w:t>2037</w:t>
      </w:r>
      <w:r w:rsidR="00D016A5">
        <w:t>, les emballages des cartouches à gaz mises au rebut transportées conformément à la disposition spéciale 327 doivent être pourvus de moyens permettant de retenir tout liquide libéré susceptible de s</w:t>
      </w:r>
      <w:r w:rsidR="00076242">
        <w:t>’</w:t>
      </w:r>
      <w:r w:rsidR="00D016A5">
        <w:t xml:space="preserve">échapper pendant le transport, par exemple un matériau absorbant. </w:t>
      </w:r>
      <w:r w:rsidR="00D016A5" w:rsidRPr="00BD3261">
        <w:t>Ils doivent être correctement ventilés afin d</w:t>
      </w:r>
      <w:r w:rsidR="00076242">
        <w:t>’</w:t>
      </w:r>
      <w:r w:rsidR="00D016A5" w:rsidRPr="00BD3261">
        <w:t>empêcher la formation d</w:t>
      </w:r>
      <w:r w:rsidR="00076242">
        <w:t>’</w:t>
      </w:r>
      <w:r w:rsidR="00D016A5" w:rsidRPr="00BD3261">
        <w:t>une atmosphère inflammable et une accumulation de pression.</w:t>
      </w:r>
      <w:r>
        <w:t> </w:t>
      </w:r>
      <w:r w:rsidR="00D016A5">
        <w:t>»</w:t>
      </w:r>
      <w:r>
        <w:t>.</w:t>
      </w:r>
    </w:p>
    <w:p w:rsidR="00D016A5" w:rsidRPr="008426D1" w:rsidRDefault="00D016A5" w:rsidP="00545F73">
      <w:pPr>
        <w:pStyle w:val="SingleTxtG"/>
      </w:pPr>
      <w:r>
        <w:t xml:space="preserve">Modifier </w:t>
      </w:r>
      <w:r w:rsidRPr="008118E0">
        <w:t xml:space="preserve">en conséquence </w:t>
      </w:r>
      <w:r>
        <w:t>les colonnes 6 et 9</w:t>
      </w:r>
      <w:r w:rsidR="009909C4">
        <w:t xml:space="preserve"> </w:t>
      </w:r>
      <w:r>
        <w:t>pour la rubrique ONU 2037</w:t>
      </w:r>
      <w:r w:rsidRPr="008426D1">
        <w:t xml:space="preserve"> </w:t>
      </w:r>
      <w:r>
        <w:t>de la Liste des matières dangereuses dans le c</w:t>
      </w:r>
      <w:r w:rsidR="002B28F1">
        <w:t>hapitre </w:t>
      </w:r>
      <w:r w:rsidRPr="008426D1">
        <w:t xml:space="preserve">3.2. </w:t>
      </w:r>
    </w:p>
    <w:p w:rsidR="00D016A5" w:rsidRPr="008426D1" w:rsidRDefault="00D016A5" w:rsidP="0053103E">
      <w:pPr>
        <w:pStyle w:val="H1G"/>
      </w:pPr>
      <w:r w:rsidRPr="008426D1">
        <w:lastRenderedPageBreak/>
        <w:tab/>
      </w:r>
      <w:r w:rsidRPr="008426D1">
        <w:tab/>
        <w:t>Option 2</w:t>
      </w:r>
      <w:r w:rsidR="009909C4">
        <w:t> :</w:t>
      </w:r>
    </w:p>
    <w:p w:rsidR="00D016A5" w:rsidRPr="008426D1" w:rsidRDefault="00D016A5" w:rsidP="00545F73">
      <w:pPr>
        <w:pStyle w:val="SingleTxtG"/>
      </w:pPr>
      <w:r>
        <w:t>Modifier la disposition spéciale</w:t>
      </w:r>
      <w:r w:rsidRPr="008426D1">
        <w:t xml:space="preserve"> 327 </w:t>
      </w:r>
      <w:r>
        <w:t>comme suit</w:t>
      </w:r>
      <w:r w:rsidRPr="008426D1">
        <w:t>.</w:t>
      </w:r>
      <w:r w:rsidR="009909C4">
        <w:t xml:space="preserve"> </w:t>
      </w:r>
      <w:r w:rsidRPr="00BD3261">
        <w:t xml:space="preserve">Les </w:t>
      </w:r>
      <w:r>
        <w:t>ajouts</w:t>
      </w:r>
      <w:r w:rsidRPr="00BD3261">
        <w:t xml:space="preserve"> sont soulignés</w:t>
      </w:r>
      <w:r w:rsidRPr="008426D1">
        <w:t>.</w:t>
      </w:r>
    </w:p>
    <w:p w:rsidR="00D016A5" w:rsidRPr="008426D1" w:rsidRDefault="00D016A5" w:rsidP="0053103E">
      <w:pPr>
        <w:pStyle w:val="SingleTxtG"/>
        <w:tabs>
          <w:tab w:val="left" w:pos="2552"/>
        </w:tabs>
        <w:ind w:left="1701"/>
      </w:pPr>
      <w:r>
        <w:t>«</w:t>
      </w:r>
      <w:r w:rsidR="009909C4">
        <w:t> </w:t>
      </w:r>
      <w:r w:rsidRPr="008426D1">
        <w:t>327</w:t>
      </w:r>
      <w:r w:rsidRPr="008426D1">
        <w:tab/>
      </w:r>
      <w:r w:rsidRPr="00D75851">
        <w:t>Les générateurs d</w:t>
      </w:r>
      <w:r w:rsidR="00076242">
        <w:t>’</w:t>
      </w:r>
      <w:r w:rsidRPr="00D75851">
        <w:t xml:space="preserve">aérosol </w:t>
      </w:r>
      <w:r w:rsidRPr="00D75851">
        <w:rPr>
          <w:u w:val="single"/>
        </w:rPr>
        <w:t xml:space="preserve">et les cartouches à </w:t>
      </w:r>
      <w:r w:rsidRPr="008118E0">
        <w:rPr>
          <w:u w:val="single"/>
        </w:rPr>
        <w:t>gaz</w:t>
      </w:r>
      <w:r w:rsidRPr="002B28F1">
        <w:rPr>
          <w:u w:val="single"/>
        </w:rPr>
        <w:t xml:space="preserve"> </w:t>
      </w:r>
      <w:r w:rsidRPr="00EF5CDF">
        <w:t>mis au rebut</w:t>
      </w:r>
      <w:r w:rsidRPr="00D75851">
        <w:t xml:space="preserve"> envoyés conformément au 5.4.1.4.3 c) peuvent être transportés sous cette rubrique aux fins de recyclage ou d</w:t>
      </w:r>
      <w:r w:rsidR="00076242">
        <w:t>’</w:t>
      </w:r>
      <w:r w:rsidRPr="00D75851">
        <w:t>élimination. Ils n</w:t>
      </w:r>
      <w:r w:rsidR="00076242">
        <w:t>’</w:t>
      </w:r>
      <w:r w:rsidRPr="00D75851">
        <w:t>ont pas besoin d</w:t>
      </w:r>
      <w:r w:rsidR="00076242">
        <w:t>’</w:t>
      </w:r>
      <w:r w:rsidRPr="00D75851">
        <w:t>être protégés contre les mouvements et les fuites accidentelles, à condition que des mesures empêchant une augmentation dangereuse de la pression et la constitution d</w:t>
      </w:r>
      <w:r w:rsidR="00076242">
        <w:t>’</w:t>
      </w:r>
      <w:r w:rsidRPr="00D75851">
        <w:t>atmosphères dangereuses aient été prises. Les générateurs d</w:t>
      </w:r>
      <w:r w:rsidR="00076242">
        <w:t>’</w:t>
      </w:r>
      <w:r w:rsidRPr="00D75851">
        <w:t>aérosol mis au rebut, à l</w:t>
      </w:r>
      <w:r w:rsidR="00076242">
        <w:t>’</w:t>
      </w:r>
      <w:r w:rsidRPr="00D75851">
        <w:t>exclusion de ceux qui présentent des fuites ou de graves déformations, doivent être emballés conf</w:t>
      </w:r>
      <w:r w:rsidRPr="006B7EEB">
        <w:rPr>
          <w:spacing w:val="-4"/>
        </w:rPr>
        <w:t>ormément à l</w:t>
      </w:r>
      <w:r w:rsidR="00076242" w:rsidRPr="006B7EEB">
        <w:rPr>
          <w:spacing w:val="-4"/>
        </w:rPr>
        <w:t>’</w:t>
      </w:r>
      <w:r w:rsidRPr="006B7EEB">
        <w:rPr>
          <w:spacing w:val="-4"/>
        </w:rPr>
        <w:t>instruction d</w:t>
      </w:r>
      <w:r w:rsidR="00076242" w:rsidRPr="006B7EEB">
        <w:rPr>
          <w:spacing w:val="-4"/>
        </w:rPr>
        <w:t>’</w:t>
      </w:r>
      <w:r w:rsidRPr="006B7EEB">
        <w:rPr>
          <w:spacing w:val="-4"/>
        </w:rPr>
        <w:t>emballage P207 et à la disposition spéciale PP87, ou encore conformément à l</w:t>
      </w:r>
      <w:r w:rsidR="00076242" w:rsidRPr="006B7EEB">
        <w:rPr>
          <w:spacing w:val="-4"/>
        </w:rPr>
        <w:t>’</w:t>
      </w:r>
      <w:r w:rsidRPr="006B7EEB">
        <w:rPr>
          <w:spacing w:val="-4"/>
        </w:rPr>
        <w:t>instruction d</w:t>
      </w:r>
      <w:r w:rsidR="00076242" w:rsidRPr="006B7EEB">
        <w:rPr>
          <w:spacing w:val="-4"/>
        </w:rPr>
        <w:t>’</w:t>
      </w:r>
      <w:r w:rsidRPr="006B7EEB">
        <w:rPr>
          <w:spacing w:val="-4"/>
        </w:rPr>
        <w:t xml:space="preserve">emballage LP200 et à la disposition spéciale L2. </w:t>
      </w:r>
      <w:r w:rsidRPr="00D75851">
        <w:rPr>
          <w:u w:val="single"/>
        </w:rPr>
        <w:t>Les cartouches à gaz mis</w:t>
      </w:r>
      <w:r>
        <w:rPr>
          <w:u w:val="single"/>
        </w:rPr>
        <w:t>es</w:t>
      </w:r>
      <w:r w:rsidRPr="00D75851">
        <w:rPr>
          <w:u w:val="single"/>
        </w:rPr>
        <w:t xml:space="preserve"> au rebut, à l</w:t>
      </w:r>
      <w:r w:rsidR="00076242">
        <w:rPr>
          <w:u w:val="single"/>
        </w:rPr>
        <w:t>’</w:t>
      </w:r>
      <w:r w:rsidRPr="00D75851">
        <w:rPr>
          <w:u w:val="single"/>
        </w:rPr>
        <w:t>exclusion de celles qui présentent des fuites ou de graves déformations, doivent être emballées conformément à l</w:t>
      </w:r>
      <w:r w:rsidR="00076242">
        <w:rPr>
          <w:u w:val="single"/>
        </w:rPr>
        <w:t>’</w:t>
      </w:r>
      <w:r w:rsidRPr="00D75851">
        <w:rPr>
          <w:u w:val="single"/>
        </w:rPr>
        <w:t>instruction d</w:t>
      </w:r>
      <w:r w:rsidR="00076242">
        <w:rPr>
          <w:u w:val="single"/>
        </w:rPr>
        <w:t>’</w:t>
      </w:r>
      <w:r w:rsidRPr="00D75851">
        <w:rPr>
          <w:u w:val="single"/>
        </w:rPr>
        <w:t>emballage P003 et aux dispositions spéciales PP17 et PPXX</w:t>
      </w:r>
      <w:r>
        <w:rPr>
          <w:u w:val="single"/>
        </w:rPr>
        <w:t>, ou à l</w:t>
      </w:r>
      <w:r w:rsidR="00076242">
        <w:rPr>
          <w:u w:val="single"/>
        </w:rPr>
        <w:t>’</w:t>
      </w:r>
      <w:r>
        <w:rPr>
          <w:u w:val="single"/>
        </w:rPr>
        <w:t>instruction d</w:t>
      </w:r>
      <w:r w:rsidR="00076242">
        <w:rPr>
          <w:u w:val="single"/>
        </w:rPr>
        <w:t>’</w:t>
      </w:r>
      <w:r>
        <w:rPr>
          <w:u w:val="single"/>
        </w:rPr>
        <w:t>emballage LP200 et à la disposition d</w:t>
      </w:r>
      <w:r w:rsidR="00076242">
        <w:rPr>
          <w:u w:val="single"/>
        </w:rPr>
        <w:t>’</w:t>
      </w:r>
      <w:r>
        <w:rPr>
          <w:u w:val="single"/>
        </w:rPr>
        <w:t>emballage L2</w:t>
      </w:r>
      <w:r w:rsidRPr="002B28F1">
        <w:rPr>
          <w:u w:val="single"/>
        </w:rPr>
        <w:t>.</w:t>
      </w:r>
      <w:r w:rsidRPr="00D75851">
        <w:t xml:space="preserve"> Les générateurs d</w:t>
      </w:r>
      <w:r w:rsidR="00076242">
        <w:t>’</w:t>
      </w:r>
      <w:r w:rsidRPr="00D75851">
        <w:t xml:space="preserve">aérosol </w:t>
      </w:r>
      <w:r w:rsidRPr="00D75851">
        <w:rPr>
          <w:u w:val="single"/>
        </w:rPr>
        <w:t>et les cartouches à gaz</w:t>
      </w:r>
      <w:r w:rsidRPr="002B28F1">
        <w:rPr>
          <w:u w:val="single"/>
        </w:rPr>
        <w:t xml:space="preserve"> </w:t>
      </w:r>
      <w:r w:rsidRPr="00D75851">
        <w:t>qui présentent des fuites ou de graves déformations doivent être transportés dans des emballages de secours, à condition que des mesures appropriées soient prises pour empêcher toute augmentation dangereuse de la pression. Les générateurs d</w:t>
      </w:r>
      <w:r w:rsidR="00076242">
        <w:t>’</w:t>
      </w:r>
      <w:r w:rsidRPr="00D75851">
        <w:t xml:space="preserve">aérosol </w:t>
      </w:r>
      <w:r w:rsidRPr="00D75851">
        <w:rPr>
          <w:u w:val="single"/>
        </w:rPr>
        <w:t>et les cartouches à gaz</w:t>
      </w:r>
      <w:r w:rsidRPr="002B28F1">
        <w:rPr>
          <w:u w:val="single"/>
        </w:rPr>
        <w:t xml:space="preserve"> </w:t>
      </w:r>
      <w:r w:rsidRPr="00EF5CDF">
        <w:t>mis au rebut</w:t>
      </w:r>
      <w:r w:rsidRPr="00D75851">
        <w:t xml:space="preserve"> ne doivent pas être transportés dans des conteneurs fermés</w:t>
      </w:r>
      <w:r w:rsidRPr="008426D1">
        <w:t>.</w:t>
      </w:r>
      <w:r w:rsidR="002B28F1">
        <w:t> </w:t>
      </w:r>
      <w:r>
        <w:t>»</w:t>
      </w:r>
    </w:p>
    <w:p w:rsidR="00D016A5" w:rsidRPr="00923F8B" w:rsidRDefault="00D016A5" w:rsidP="00545F73">
      <w:pPr>
        <w:pStyle w:val="SingleTxtG"/>
        <w:rPr>
          <w:spacing w:val="-4"/>
        </w:rPr>
      </w:pPr>
      <w:r w:rsidRPr="00923F8B">
        <w:rPr>
          <w:spacing w:val="-4"/>
        </w:rPr>
        <w:t>Modifier la P003 de manière à ajouter une disposition spéciale d</w:t>
      </w:r>
      <w:r w:rsidR="00076242" w:rsidRPr="00923F8B">
        <w:rPr>
          <w:spacing w:val="-4"/>
        </w:rPr>
        <w:t>’</w:t>
      </w:r>
      <w:r w:rsidRPr="00923F8B">
        <w:rPr>
          <w:spacing w:val="-4"/>
        </w:rPr>
        <w:t>emballage PPXX comme suit</w:t>
      </w:r>
      <w:r w:rsidR="009909C4" w:rsidRPr="00923F8B">
        <w:rPr>
          <w:spacing w:val="-4"/>
        </w:rPr>
        <w:t> :</w:t>
      </w:r>
    </w:p>
    <w:p w:rsidR="00D016A5" w:rsidRPr="008426D1" w:rsidRDefault="00D016A5" w:rsidP="0053103E">
      <w:pPr>
        <w:pStyle w:val="SingleTxtG"/>
        <w:tabs>
          <w:tab w:val="left" w:pos="2552"/>
        </w:tabs>
        <w:ind w:left="1701"/>
      </w:pPr>
      <w:r>
        <w:t>«</w:t>
      </w:r>
      <w:r w:rsidR="009909C4">
        <w:t> </w:t>
      </w:r>
      <w:r w:rsidRPr="00EF5CDF">
        <w:rPr>
          <w:b/>
        </w:rPr>
        <w:t>PPXX</w:t>
      </w:r>
      <w:r w:rsidRPr="001A4AEF">
        <w:tab/>
        <w:t>Pour le No ONU 2037, les emballages des cartouches à gaz mises au rebut transportées conformément à la disposition spéciale 327 doivent être pourvus de moyens permettant de retenir tout liquide libéré susceptible de s</w:t>
      </w:r>
      <w:r w:rsidR="00076242">
        <w:t>’</w:t>
      </w:r>
      <w:r w:rsidRPr="001A4AEF">
        <w:t>échapper pendant le transport, par exemple un matériau absorbant. Ils doivent être correctement ventilés afin d</w:t>
      </w:r>
      <w:r w:rsidR="00076242">
        <w:t>’</w:t>
      </w:r>
      <w:r w:rsidRPr="001A4AEF">
        <w:t>empêcher la formation d</w:t>
      </w:r>
      <w:r w:rsidR="00076242">
        <w:t>’</w:t>
      </w:r>
      <w:r w:rsidRPr="001A4AEF">
        <w:t>une atmosphère inflammable et une accumulation de pression</w:t>
      </w:r>
      <w:r w:rsidRPr="008426D1">
        <w:t>.</w:t>
      </w:r>
      <w:r w:rsidR="002B28F1">
        <w:t> </w:t>
      </w:r>
      <w:r>
        <w:t>»</w:t>
      </w:r>
      <w:r w:rsidR="002B28F1">
        <w:t>.</w:t>
      </w:r>
    </w:p>
    <w:p w:rsidR="00D016A5" w:rsidRDefault="00D016A5" w:rsidP="00545F73">
      <w:pPr>
        <w:pStyle w:val="SingleTxtG"/>
      </w:pPr>
      <w:r>
        <w:t>Modifier l</w:t>
      </w:r>
      <w:r w:rsidR="00076242">
        <w:t>’</w:t>
      </w:r>
      <w:r>
        <w:t>instruction d</w:t>
      </w:r>
      <w:r w:rsidR="00076242">
        <w:t>’</w:t>
      </w:r>
      <w:r>
        <w:t>emballage</w:t>
      </w:r>
      <w:r w:rsidRPr="008426D1">
        <w:t xml:space="preserve"> LP200 </w:t>
      </w:r>
      <w:r>
        <w:t>comme suit</w:t>
      </w:r>
      <w:r w:rsidR="002B28F1">
        <w:t xml:space="preserve">. </w:t>
      </w:r>
      <w:r>
        <w:t xml:space="preserve">Les ajouts sont soulignés et les suppressions </w:t>
      </w:r>
      <w:r w:rsidRPr="001A4AEF">
        <w:rPr>
          <w:strike/>
        </w:rPr>
        <w:t>sont biffées</w:t>
      </w:r>
      <w:r>
        <w:t>.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53103E" w:rsidTr="00262360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3E" w:rsidRDefault="0053103E" w:rsidP="009909C4">
            <w:pPr>
              <w:tabs>
                <w:tab w:val="left" w:pos="2271"/>
                <w:tab w:val="left" w:pos="6789"/>
              </w:tabs>
              <w:spacing w:before="60" w:after="60"/>
              <w:ind w:left="2274" w:hanging="2274"/>
            </w:pPr>
            <w:r>
              <w:rPr>
                <w:b/>
              </w:rPr>
              <w:t>LP200</w:t>
            </w:r>
            <w:r>
              <w:rPr>
                <w:b/>
              </w:rPr>
              <w:tab/>
              <w:t>INSTRUCTION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</w:t>
            </w:r>
            <w:r w:rsidR="00076242">
              <w:rPr>
                <w:b/>
              </w:rPr>
              <w:t>’</w:t>
            </w:r>
            <w:r>
              <w:rPr>
                <w:b/>
              </w:rPr>
              <w:t>EMBALLAGE</w:t>
            </w:r>
            <w:r>
              <w:rPr>
                <w:b/>
              </w:rPr>
              <w:tab/>
              <w:t>LP200</w:t>
            </w:r>
          </w:p>
        </w:tc>
      </w:tr>
      <w:tr w:rsidR="0053103E" w:rsidTr="006112A2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3E" w:rsidRDefault="0053103E" w:rsidP="009909C4">
            <w:pPr>
              <w:spacing w:before="60" w:after="60"/>
              <w:jc w:val="both"/>
            </w:pPr>
            <w:r w:rsidRPr="00EF5CDF">
              <w:t>Cette instruction s</w:t>
            </w:r>
            <w:r w:rsidR="00076242">
              <w:t>’</w:t>
            </w:r>
            <w:r w:rsidRPr="00EF5CDF">
              <w:t xml:space="preserve">applique au No ONU 1950 </w:t>
            </w:r>
            <w:r w:rsidRPr="00EF5CDF">
              <w:rPr>
                <w:u w:val="single"/>
              </w:rPr>
              <w:t xml:space="preserve">et </w:t>
            </w:r>
            <w:r w:rsidRPr="00262360">
              <w:rPr>
                <w:u w:val="single"/>
              </w:rPr>
              <w:t>au</w:t>
            </w:r>
            <w:r w:rsidR="00262360" w:rsidRPr="00262360">
              <w:rPr>
                <w:u w:val="single"/>
              </w:rPr>
              <w:t xml:space="preserve"> </w:t>
            </w:r>
            <w:r w:rsidRPr="00262360">
              <w:rPr>
                <w:u w:val="single"/>
              </w:rPr>
              <w:t>No</w:t>
            </w:r>
            <w:r w:rsidRPr="00EF5CDF">
              <w:rPr>
                <w:u w:val="single"/>
              </w:rPr>
              <w:t xml:space="preserve"> ONU 2037.</w:t>
            </w:r>
          </w:p>
        </w:tc>
      </w:tr>
      <w:tr w:rsidR="0053103E" w:rsidTr="006112A2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03E" w:rsidRPr="00EF5CDF" w:rsidRDefault="00FC1F35" w:rsidP="009909C4">
            <w:pPr>
              <w:spacing w:before="60" w:after="60"/>
              <w:jc w:val="both"/>
            </w:pPr>
            <w:r w:rsidRPr="00262360">
              <w:t xml:space="preserve">Les grands emballages suivants sont autorisés pour les aérosols </w:t>
            </w:r>
            <w:r w:rsidRPr="00262360">
              <w:rPr>
                <w:u w:val="single"/>
              </w:rPr>
              <w:t>et les cartouches à gaz</w:t>
            </w:r>
            <w:r w:rsidRPr="00923F8B">
              <w:rPr>
                <w:u w:val="single"/>
              </w:rPr>
              <w:t xml:space="preserve"> </w:t>
            </w:r>
            <w:r w:rsidRPr="00262360">
              <w:t>s</w:t>
            </w:r>
            <w:r w:rsidR="00076242">
              <w:t>’</w:t>
            </w:r>
            <w:r w:rsidRPr="00262360">
              <w:t xml:space="preserve">il est satisfait aux dispositions générales des </w:t>
            </w:r>
            <w:r w:rsidRPr="00262360">
              <w:rPr>
                <w:b/>
              </w:rPr>
              <w:t xml:space="preserve">4.1.1 </w:t>
            </w:r>
            <w:r w:rsidRPr="00262360">
              <w:t>et</w:t>
            </w:r>
            <w:r w:rsidR="00262360" w:rsidRPr="00262360">
              <w:t xml:space="preserve"> </w:t>
            </w:r>
            <w:r w:rsidRPr="00262360">
              <w:rPr>
                <w:b/>
              </w:rPr>
              <w:t>4.1.3</w:t>
            </w:r>
            <w:r w:rsidR="009909C4">
              <w:t> :</w:t>
            </w:r>
          </w:p>
        </w:tc>
      </w:tr>
      <w:tr w:rsidR="00262360" w:rsidTr="006112A2">
        <w:trPr>
          <w:jc w:val="center"/>
        </w:trPr>
        <w:tc>
          <w:tcPr>
            <w:tcW w:w="7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360" w:rsidRPr="00262360" w:rsidRDefault="00FC1F35" w:rsidP="009909C4">
            <w:pPr>
              <w:spacing w:before="60" w:after="60"/>
              <w:jc w:val="both"/>
            </w:pPr>
            <w:r w:rsidRPr="00262360">
              <w:t>Grands emballages rigides satisfaisant au niveau d</w:t>
            </w:r>
            <w:r w:rsidR="00076242">
              <w:t>’</w:t>
            </w:r>
            <w:r w:rsidRPr="00262360">
              <w:t>épreuve du groupe d</w:t>
            </w:r>
            <w:r w:rsidR="00076242">
              <w:t>’</w:t>
            </w:r>
            <w:r w:rsidRPr="00262360">
              <w:t>emballage II, en</w:t>
            </w:r>
            <w:r w:rsidR="009909C4">
              <w:t> :</w:t>
            </w:r>
          </w:p>
        </w:tc>
      </w:tr>
      <w:tr w:rsidR="00262360" w:rsidTr="006112A2">
        <w:trPr>
          <w:jc w:val="center"/>
        </w:trPr>
        <w:tc>
          <w:tcPr>
            <w:tcW w:w="7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360" w:rsidRPr="00262360" w:rsidRDefault="002355FA" w:rsidP="009909C4">
            <w:pPr>
              <w:spacing w:before="60" w:after="60"/>
              <w:ind w:left="567"/>
              <w:jc w:val="both"/>
            </w:pPr>
            <w:r w:rsidRPr="00262360">
              <w:t>a</w:t>
            </w:r>
            <w:r w:rsidR="00FC1F35" w:rsidRPr="00262360">
              <w:t xml:space="preserve">cier </w:t>
            </w:r>
            <w:r w:rsidR="00FC1F35" w:rsidRPr="00262360">
              <w:t>(50A)</w:t>
            </w:r>
            <w:r w:rsidR="009909C4">
              <w:t> ;</w:t>
            </w:r>
          </w:p>
        </w:tc>
      </w:tr>
      <w:tr w:rsidR="00262360" w:rsidTr="006112A2">
        <w:trPr>
          <w:jc w:val="center"/>
        </w:trPr>
        <w:tc>
          <w:tcPr>
            <w:tcW w:w="7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360" w:rsidRPr="00262360" w:rsidRDefault="002355FA" w:rsidP="009909C4">
            <w:pPr>
              <w:spacing w:before="60" w:after="60"/>
              <w:ind w:left="567"/>
              <w:jc w:val="both"/>
            </w:pPr>
            <w:r w:rsidRPr="00262360">
              <w:t>a</w:t>
            </w:r>
            <w:r w:rsidR="00FC1F35" w:rsidRPr="00262360">
              <w:t>luminium (50B)</w:t>
            </w:r>
            <w:r w:rsidR="009909C4">
              <w:t> </w:t>
            </w:r>
            <w:r w:rsidR="00FC1F35" w:rsidRPr="00262360">
              <w:t>;</w:t>
            </w:r>
          </w:p>
        </w:tc>
      </w:tr>
      <w:tr w:rsidR="00262360" w:rsidTr="006112A2">
        <w:trPr>
          <w:jc w:val="center"/>
        </w:trPr>
        <w:tc>
          <w:tcPr>
            <w:tcW w:w="7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360" w:rsidRPr="00262360" w:rsidRDefault="002355FA" w:rsidP="009909C4">
            <w:pPr>
              <w:spacing w:before="60" w:after="60"/>
              <w:ind w:left="567"/>
              <w:jc w:val="both"/>
            </w:pPr>
            <w:r w:rsidRPr="00262360">
              <w:t>m</w:t>
            </w:r>
            <w:r w:rsidR="00FC1F35" w:rsidRPr="00262360">
              <w:t>étal autre que l</w:t>
            </w:r>
            <w:r w:rsidR="00076242">
              <w:t>’</w:t>
            </w:r>
            <w:r w:rsidR="00FC1F35" w:rsidRPr="00262360">
              <w:t>acier ou l</w:t>
            </w:r>
            <w:r w:rsidR="00076242">
              <w:t>’</w:t>
            </w:r>
            <w:r w:rsidR="00FC1F35" w:rsidRPr="00262360">
              <w:t>aluminium (50N)</w:t>
            </w:r>
            <w:r w:rsidR="009909C4">
              <w:t> </w:t>
            </w:r>
            <w:r w:rsidR="00FC1F35" w:rsidRPr="00262360">
              <w:t xml:space="preserve">; </w:t>
            </w:r>
          </w:p>
        </w:tc>
      </w:tr>
      <w:tr w:rsidR="006112A2" w:rsidTr="006112A2">
        <w:trPr>
          <w:jc w:val="center"/>
        </w:trPr>
        <w:tc>
          <w:tcPr>
            <w:tcW w:w="7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2A2" w:rsidRPr="00262360" w:rsidRDefault="002355FA" w:rsidP="009909C4">
            <w:pPr>
              <w:spacing w:before="60" w:after="60"/>
              <w:ind w:left="567"/>
              <w:jc w:val="both"/>
            </w:pPr>
            <w:r w:rsidRPr="00262360">
              <w:t>p</w:t>
            </w:r>
            <w:r w:rsidR="006112A2" w:rsidRPr="00262360">
              <w:t>lastique rigide (50H)</w:t>
            </w:r>
            <w:r w:rsidR="009909C4">
              <w:t> </w:t>
            </w:r>
            <w:r w:rsidR="006112A2" w:rsidRPr="00262360">
              <w:t>;</w:t>
            </w:r>
          </w:p>
        </w:tc>
      </w:tr>
      <w:tr w:rsidR="00262360" w:rsidTr="005A5457">
        <w:trPr>
          <w:jc w:val="center"/>
        </w:trPr>
        <w:tc>
          <w:tcPr>
            <w:tcW w:w="7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360" w:rsidRPr="00262360" w:rsidRDefault="002355FA" w:rsidP="009909C4">
            <w:pPr>
              <w:spacing w:before="60" w:after="60"/>
              <w:ind w:left="567"/>
              <w:jc w:val="both"/>
            </w:pPr>
            <w:r w:rsidRPr="00262360">
              <w:t>b</w:t>
            </w:r>
            <w:r w:rsidR="00FC1F35" w:rsidRPr="00262360">
              <w:t>ois naturel (50C)</w:t>
            </w:r>
            <w:r w:rsidR="009909C4">
              <w:t> </w:t>
            </w:r>
            <w:r w:rsidR="00FC1F35" w:rsidRPr="00262360">
              <w:t xml:space="preserve">; </w:t>
            </w:r>
          </w:p>
        </w:tc>
      </w:tr>
      <w:tr w:rsidR="006112A2" w:rsidTr="005A5457">
        <w:trPr>
          <w:jc w:val="center"/>
        </w:trPr>
        <w:tc>
          <w:tcPr>
            <w:tcW w:w="7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2A2" w:rsidRPr="00262360" w:rsidRDefault="002355FA" w:rsidP="009909C4">
            <w:pPr>
              <w:spacing w:before="60" w:after="60"/>
              <w:ind w:left="567"/>
              <w:jc w:val="both"/>
            </w:pPr>
            <w:r w:rsidRPr="00262360">
              <w:t>c</w:t>
            </w:r>
            <w:r w:rsidR="005A5457" w:rsidRPr="00262360">
              <w:t>ontre-plaqué (50D)</w:t>
            </w:r>
            <w:r w:rsidR="009909C4">
              <w:t> </w:t>
            </w:r>
            <w:r w:rsidR="005A5457" w:rsidRPr="00262360">
              <w:t xml:space="preserve">; </w:t>
            </w:r>
          </w:p>
        </w:tc>
      </w:tr>
      <w:tr w:rsidR="005A5457" w:rsidTr="005A5457">
        <w:trPr>
          <w:jc w:val="center"/>
        </w:trPr>
        <w:tc>
          <w:tcPr>
            <w:tcW w:w="7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457" w:rsidRPr="00262360" w:rsidRDefault="002355FA" w:rsidP="009909C4">
            <w:pPr>
              <w:spacing w:before="60" w:after="60"/>
              <w:ind w:left="567"/>
              <w:jc w:val="both"/>
            </w:pPr>
            <w:r w:rsidRPr="00262360">
              <w:t>b</w:t>
            </w:r>
            <w:r w:rsidR="005A5457" w:rsidRPr="00262360">
              <w:t>ois reconstitué (50F)</w:t>
            </w:r>
            <w:r w:rsidR="009909C4">
              <w:t> </w:t>
            </w:r>
            <w:r w:rsidR="005A5457" w:rsidRPr="00262360">
              <w:t xml:space="preserve">; </w:t>
            </w:r>
          </w:p>
        </w:tc>
      </w:tr>
      <w:tr w:rsidR="005A5457" w:rsidTr="00923F8B">
        <w:trPr>
          <w:jc w:val="center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57" w:rsidRPr="00262360" w:rsidRDefault="002355FA" w:rsidP="009909C4">
            <w:pPr>
              <w:spacing w:before="60" w:after="60"/>
              <w:ind w:left="567"/>
              <w:jc w:val="both"/>
            </w:pPr>
            <w:r w:rsidRPr="00262360">
              <w:t>c</w:t>
            </w:r>
            <w:r w:rsidR="005A5457" w:rsidRPr="00262360">
              <w:t>arton rigide (50G).</w:t>
            </w:r>
          </w:p>
        </w:tc>
      </w:tr>
      <w:tr w:rsidR="006112A2" w:rsidTr="00923F8B">
        <w:trPr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2A2" w:rsidRPr="00262360" w:rsidRDefault="00FC1F35" w:rsidP="009909C4">
            <w:pPr>
              <w:spacing w:before="60" w:after="60"/>
              <w:jc w:val="both"/>
            </w:pPr>
            <w:r w:rsidRPr="006112A2">
              <w:rPr>
                <w:b/>
              </w:rPr>
              <w:t>Disposition spéciale d</w:t>
            </w:r>
            <w:r w:rsidR="00076242">
              <w:rPr>
                <w:b/>
              </w:rPr>
              <w:t>’</w:t>
            </w:r>
            <w:r w:rsidRPr="006112A2">
              <w:rPr>
                <w:b/>
              </w:rPr>
              <w:t>emballage</w:t>
            </w:r>
            <w:r w:rsidR="009909C4">
              <w:rPr>
                <w:b/>
              </w:rPr>
              <w:t> </w:t>
            </w:r>
            <w:r w:rsidRPr="006112A2">
              <w:rPr>
                <w:b/>
              </w:rPr>
              <w:t>:</w:t>
            </w:r>
          </w:p>
        </w:tc>
      </w:tr>
      <w:tr w:rsidR="006112A2" w:rsidTr="00923F8B">
        <w:trPr>
          <w:jc w:val="center"/>
        </w:trPr>
        <w:tc>
          <w:tcPr>
            <w:tcW w:w="7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12A2" w:rsidRPr="006112A2" w:rsidRDefault="00FC1F35" w:rsidP="009909C4">
            <w:pPr>
              <w:spacing w:before="60" w:after="60"/>
              <w:ind w:left="567" w:hanging="567"/>
              <w:jc w:val="both"/>
            </w:pPr>
            <w:r w:rsidRPr="002355FA">
              <w:rPr>
                <w:b/>
              </w:rPr>
              <w:t>L2</w:t>
            </w:r>
            <w:r w:rsidR="006112A2">
              <w:tab/>
            </w:r>
            <w:r w:rsidRPr="006112A2">
              <w:t>Les grands emballages doivent être conçus et fabriqués de manière à éviter tout mouvement dangereux des</w:t>
            </w:r>
            <w:r w:rsidR="009909C4">
              <w:t xml:space="preserve"> </w:t>
            </w:r>
            <w:r w:rsidRPr="006112A2">
              <w:t xml:space="preserve">aérosols et toute décharge accidentelle dans des conditions normales de transport. Pour les aérosols </w:t>
            </w:r>
            <w:r w:rsidRPr="006112A2">
              <w:rPr>
                <w:u w:val="single"/>
              </w:rPr>
              <w:t>et les cartouches à gaz</w:t>
            </w:r>
            <w:r w:rsidRPr="002B28F1">
              <w:rPr>
                <w:u w:val="single"/>
              </w:rPr>
              <w:t xml:space="preserve"> </w:t>
            </w:r>
            <w:r w:rsidRPr="006112A2">
              <w:t>mis au</w:t>
            </w:r>
            <w:r w:rsidR="009909C4">
              <w:t xml:space="preserve"> </w:t>
            </w:r>
            <w:r w:rsidRPr="006112A2">
              <w:t>reb</w:t>
            </w:r>
            <w:r w:rsidRPr="006112A2">
              <w:t xml:space="preserve">ut, transportés conformément à la disposition spéciale 327, les grands emballages doivent être pourvus de moyens permettant de retenir tout liquide libéré susceptible de </w:t>
            </w:r>
            <w:r w:rsidRPr="006112A2">
              <w:lastRenderedPageBreak/>
              <w:t>s</w:t>
            </w:r>
            <w:r w:rsidR="00076242">
              <w:t>’</w:t>
            </w:r>
            <w:r w:rsidRPr="006112A2">
              <w:t>échapper pendant le transport, par exemple un matériau absorbant. Ils doivent être c</w:t>
            </w:r>
            <w:r w:rsidRPr="006112A2">
              <w:t>orrectement ventilés afin d</w:t>
            </w:r>
            <w:r w:rsidR="00076242">
              <w:t>’</w:t>
            </w:r>
            <w:r w:rsidRPr="006112A2">
              <w:t>empêcher la formation d</w:t>
            </w:r>
            <w:r w:rsidR="00076242">
              <w:t>’</w:t>
            </w:r>
            <w:r w:rsidRPr="006112A2">
              <w:t>une atmosphère inflammable et une accumulation de pression.</w:t>
            </w:r>
          </w:p>
        </w:tc>
      </w:tr>
      <w:tr w:rsidR="0053103E" w:rsidTr="00216E0F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3E" w:rsidRDefault="0053103E" w:rsidP="009909C4">
            <w:pPr>
              <w:spacing w:before="60" w:after="60"/>
            </w:pPr>
          </w:p>
        </w:tc>
      </w:tr>
    </w:tbl>
    <w:p w:rsidR="00D016A5" w:rsidRPr="008426D1" w:rsidRDefault="00D016A5" w:rsidP="006112A2">
      <w:pPr>
        <w:pStyle w:val="SingleTxtG"/>
        <w:spacing w:before="240"/>
      </w:pPr>
      <w:r w:rsidRPr="008118E0">
        <w:t>Modifier en conséquence les colonnes 6</w:t>
      </w:r>
      <w:r>
        <w:t>, 8</w:t>
      </w:r>
      <w:r w:rsidRPr="008118E0">
        <w:t xml:space="preserve"> et 9</w:t>
      </w:r>
      <w:r w:rsidR="009909C4">
        <w:t xml:space="preserve"> </w:t>
      </w:r>
      <w:r>
        <w:t xml:space="preserve">pour </w:t>
      </w:r>
      <w:r w:rsidRPr="008118E0">
        <w:t xml:space="preserve">la rubrique ONU 2037 de la Liste des matières dangereuses dans le </w:t>
      </w:r>
      <w:r>
        <w:t>c</w:t>
      </w:r>
      <w:r w:rsidRPr="008118E0">
        <w:t>hapitre 3.2</w:t>
      </w:r>
      <w:r w:rsidRPr="008426D1">
        <w:t xml:space="preserve">. </w:t>
      </w:r>
    </w:p>
    <w:p w:rsidR="00D016A5" w:rsidRPr="008426D1" w:rsidRDefault="00D016A5" w:rsidP="005A5457">
      <w:pPr>
        <w:pStyle w:val="HChG"/>
      </w:pPr>
      <w:r w:rsidRPr="008426D1">
        <w:tab/>
      </w:r>
      <w:r w:rsidRPr="008426D1">
        <w:tab/>
        <w:t>Justification</w:t>
      </w:r>
    </w:p>
    <w:p w:rsidR="00D016A5" w:rsidRPr="008426D1" w:rsidRDefault="005A5457" w:rsidP="00545F73">
      <w:pPr>
        <w:pStyle w:val="SingleTxtG"/>
      </w:pPr>
      <w:r>
        <w:t>6.</w:t>
      </w:r>
      <w:r>
        <w:tab/>
      </w:r>
      <w:r w:rsidR="00D016A5">
        <w:t>De nombreuses cartouches à gaz ont un aspect relativement similaire à celui des aérosols et le grand public n</w:t>
      </w:r>
      <w:r w:rsidR="00076242">
        <w:t>’</w:t>
      </w:r>
      <w:r w:rsidR="00D016A5">
        <w:t>est pas toujours capable de les distinguer ; c</w:t>
      </w:r>
      <w:r w:rsidR="00076242">
        <w:t>’</w:t>
      </w:r>
      <w:r w:rsidR="00D016A5">
        <w:t xml:space="preserve">est pourquoi les aérosols </w:t>
      </w:r>
      <w:r w:rsidR="00D016A5" w:rsidRPr="008426D1">
        <w:t>(</w:t>
      </w:r>
      <w:r w:rsidR="00D016A5">
        <w:t>ONU</w:t>
      </w:r>
      <w:r w:rsidR="00D016A5" w:rsidRPr="008426D1">
        <w:t xml:space="preserve"> 1950) </w:t>
      </w:r>
      <w:r w:rsidR="00D016A5">
        <w:t xml:space="preserve">et les cartouches à gaz (ONU </w:t>
      </w:r>
      <w:r w:rsidR="00D016A5" w:rsidRPr="008426D1">
        <w:t xml:space="preserve">2037) </w:t>
      </w:r>
      <w:r w:rsidR="00D016A5">
        <w:t>se retrouvent souvent mélangés dans les conteneurs de collecte des décharges publiques</w:t>
      </w:r>
      <w:r w:rsidR="009909C4">
        <w:t xml:space="preserve"> </w:t>
      </w:r>
      <w:r w:rsidR="00D016A5">
        <w:t>aux fins de recyclage ou d</w:t>
      </w:r>
      <w:r w:rsidR="00076242">
        <w:t>’</w:t>
      </w:r>
      <w:r w:rsidR="00D016A5">
        <w:t>élimination</w:t>
      </w:r>
      <w:r w:rsidR="00D016A5" w:rsidRPr="008426D1">
        <w:t>.</w:t>
      </w:r>
    </w:p>
    <w:p w:rsidR="00D016A5" w:rsidRPr="008426D1" w:rsidRDefault="005A5457" w:rsidP="00545F73">
      <w:pPr>
        <w:pStyle w:val="SingleTxtG"/>
      </w:pPr>
      <w:r>
        <w:t>7.</w:t>
      </w:r>
      <w:r>
        <w:tab/>
      </w:r>
      <w:r w:rsidR="00D016A5">
        <w:t>Après</w:t>
      </w:r>
      <w:r w:rsidR="009909C4">
        <w:t xml:space="preserve"> </w:t>
      </w:r>
      <w:r w:rsidR="00D016A5">
        <w:t>avoir été retirées du dispositif d</w:t>
      </w:r>
      <w:r w:rsidR="00076242">
        <w:t>’</w:t>
      </w:r>
      <w:r w:rsidR="00D016A5">
        <w:t>ouverture pour utilisation de la cartouche, les v</w:t>
      </w:r>
      <w:r w:rsidR="00D016A5" w:rsidRPr="008426D1">
        <w:t>alves</w:t>
      </w:r>
      <w:r w:rsidR="00D016A5">
        <w:t xml:space="preserve"> de toutes les cartouches à gaz</w:t>
      </w:r>
      <w:r w:rsidR="00D016A5" w:rsidRPr="008426D1">
        <w:t xml:space="preserve"> </w:t>
      </w:r>
      <w:r w:rsidR="00D016A5" w:rsidRPr="0050305F">
        <w:t>(ONU 2037)</w:t>
      </w:r>
      <w:r w:rsidR="00D016A5">
        <w:t xml:space="preserve"> ne se referment pas toujours parfaitement</w:t>
      </w:r>
      <w:r w:rsidR="00D016A5" w:rsidRPr="008426D1">
        <w:t xml:space="preserve">. </w:t>
      </w:r>
      <w:r w:rsidR="00D016A5">
        <w:t xml:space="preserve">En Irlande, il a été signalé que des cartouches à gaz mises au rebut avaient été collectées </w:t>
      </w:r>
      <w:r w:rsidR="00D016A5" w:rsidRPr="0050305F">
        <w:t xml:space="preserve">sur un site industriel </w:t>
      </w:r>
      <w:r w:rsidR="00D016A5">
        <w:t>dans un fût en plastique à couvercle amovible. Une forte odeur de gaz s</w:t>
      </w:r>
      <w:r w:rsidR="00076242">
        <w:t>’</w:t>
      </w:r>
      <w:r w:rsidR="00D016A5">
        <w:t>est dégagée à l</w:t>
      </w:r>
      <w:r w:rsidR="00076242">
        <w:t>’</w:t>
      </w:r>
      <w:r w:rsidR="00D016A5">
        <w:t>ouverture du couvercle,</w:t>
      </w:r>
      <w:r w:rsidR="009909C4">
        <w:t xml:space="preserve"> </w:t>
      </w:r>
      <w:r w:rsidR="00D016A5">
        <w:t>signe de la création d</w:t>
      </w:r>
      <w:r w:rsidR="00076242">
        <w:t>’</w:t>
      </w:r>
      <w:r w:rsidR="00D016A5">
        <w:t>une atmosphère inflammable à l</w:t>
      </w:r>
      <w:r w:rsidR="00076242">
        <w:t>’</w:t>
      </w:r>
      <w:r w:rsidR="00D016A5">
        <w:t>intérieur du fût.</w:t>
      </w:r>
      <w:r w:rsidR="00D016A5" w:rsidRPr="008426D1">
        <w:t xml:space="preserve"> </w:t>
      </w:r>
      <w:r w:rsidR="00D016A5">
        <w:t>L</w:t>
      </w:r>
      <w:r w:rsidR="00076242">
        <w:t>’</w:t>
      </w:r>
      <w:r w:rsidR="00D016A5">
        <w:t>application aux cartouches à gaz des prescriptions de la PP87 relatives à la ventilation et aux moyens de retenir les liquides libérés contribuerait à l</w:t>
      </w:r>
      <w:r w:rsidR="00076242">
        <w:t>’</w:t>
      </w:r>
      <w:r w:rsidR="00D016A5">
        <w:t>amélioration de la sécurité.</w:t>
      </w:r>
      <w:r w:rsidR="009909C4">
        <w:t xml:space="preserve"> </w:t>
      </w:r>
    </w:p>
    <w:p w:rsidR="00D016A5" w:rsidRPr="008426D1" w:rsidRDefault="005A5457" w:rsidP="00545F73">
      <w:pPr>
        <w:pStyle w:val="SingleTxtG"/>
      </w:pPr>
      <w:r>
        <w:t>8.</w:t>
      </w:r>
      <w:r>
        <w:tab/>
      </w:r>
      <w:r w:rsidR="00D016A5">
        <w:t>L</w:t>
      </w:r>
      <w:r w:rsidR="00076242">
        <w:t>’</w:t>
      </w:r>
      <w:r w:rsidR="00D016A5">
        <w:t>instruction d</w:t>
      </w:r>
      <w:r w:rsidR="00076242">
        <w:t>’</w:t>
      </w:r>
      <w:r w:rsidR="00D016A5">
        <w:t xml:space="preserve">emballage </w:t>
      </w:r>
      <w:r w:rsidR="00D016A5" w:rsidRPr="008426D1">
        <w:t xml:space="preserve">P003, </w:t>
      </w:r>
      <w:r w:rsidR="00D016A5">
        <w:t>qui s</w:t>
      </w:r>
      <w:r w:rsidR="00076242">
        <w:t>’</w:t>
      </w:r>
      <w:r w:rsidR="00D016A5">
        <w:t>applique actuellement aux cartouches à gaz, contient une prescription générale visant à ce que les emballages soient élaborés et fabriqués de manière à éviter toute décharge accidentelle</w:t>
      </w:r>
      <w:r w:rsidR="00D016A5" w:rsidRPr="008426D1">
        <w:t xml:space="preserve">, </w:t>
      </w:r>
      <w:r w:rsidR="00D016A5">
        <w:t>mais dans la mesure où les cartouches à gaz ne contiennent pas de mécanisme de libération, une telle disposition n</w:t>
      </w:r>
      <w:r w:rsidR="00076242">
        <w:t>’</w:t>
      </w:r>
      <w:r w:rsidR="00D016A5">
        <w:t>indique pas que les cartouches usagées peuvent fuir. Il existe également des cartouches à perforation, c</w:t>
      </w:r>
      <w:r w:rsidR="00076242">
        <w:t>’</w:t>
      </w:r>
      <w:r w:rsidR="00D016A5">
        <w:t>est-à-dire des petites cartouches de gaz pour le camping, qui peuvent contenir encore des résidus de gaz lors de leur élimination.</w:t>
      </w:r>
    </w:p>
    <w:p w:rsidR="00D016A5" w:rsidRPr="008426D1" w:rsidRDefault="005A5457" w:rsidP="00545F73">
      <w:pPr>
        <w:pStyle w:val="SingleTxtG"/>
      </w:pPr>
      <w:r>
        <w:t>9.</w:t>
      </w:r>
      <w:r>
        <w:tab/>
      </w:r>
      <w:r w:rsidR="00D016A5">
        <w:t>La présente proposition servirait à mettre les pratiques actuelles dans de nombreuses décharges publiques, consistant à</w:t>
      </w:r>
      <w:r w:rsidR="009909C4">
        <w:t xml:space="preserve"> </w:t>
      </w:r>
      <w:r w:rsidR="00D016A5">
        <w:t>mettre ensemble les générateurs d</w:t>
      </w:r>
      <w:r w:rsidR="00076242">
        <w:t>’</w:t>
      </w:r>
      <w:r w:rsidR="00D016A5">
        <w:t xml:space="preserve">aérosols </w:t>
      </w:r>
      <w:r w:rsidR="00D016A5" w:rsidRPr="008426D1">
        <w:t>(No</w:t>
      </w:r>
      <w:r w:rsidR="009909C4">
        <w:t> ONU </w:t>
      </w:r>
      <w:r w:rsidR="00D016A5" w:rsidRPr="008426D1">
        <w:t xml:space="preserve">1950) </w:t>
      </w:r>
      <w:r w:rsidR="00D016A5">
        <w:t>et les cartouches à gaz</w:t>
      </w:r>
      <w:r w:rsidR="00D016A5" w:rsidRPr="008426D1">
        <w:t xml:space="preserve"> (No </w:t>
      </w:r>
      <w:r w:rsidR="00D016A5">
        <w:t xml:space="preserve">ONU </w:t>
      </w:r>
      <w:r w:rsidR="00D016A5" w:rsidRPr="008426D1">
        <w:t xml:space="preserve">2037) </w:t>
      </w:r>
      <w:r w:rsidR="00D016A5">
        <w:t>mis au rebut dans des emballages en vue de leur transport à des fins de recyclage ou d</w:t>
      </w:r>
      <w:r w:rsidR="00076242">
        <w:t>’</w:t>
      </w:r>
      <w:r w:rsidR="00D016A5">
        <w:t>élimination, en conformité avec la réglementation relative au transport des marchandises dangereuses.</w:t>
      </w:r>
    </w:p>
    <w:p w:rsidR="00446FE5" w:rsidRPr="005A5457" w:rsidRDefault="005A5457" w:rsidP="005A545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5A5457" w:rsidSect="00D016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000" w:rsidRDefault="00C72000" w:rsidP="00F95C08">
      <w:pPr>
        <w:spacing w:line="240" w:lineRule="auto"/>
      </w:pPr>
    </w:p>
  </w:endnote>
  <w:endnote w:type="continuationSeparator" w:id="0">
    <w:p w:rsidR="00C72000" w:rsidRPr="00AC3823" w:rsidRDefault="00C72000" w:rsidP="00AC3823">
      <w:pPr>
        <w:pStyle w:val="Footer"/>
      </w:pPr>
    </w:p>
  </w:endnote>
  <w:endnote w:type="continuationNotice" w:id="1">
    <w:p w:rsidR="00C72000" w:rsidRDefault="00C720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A5" w:rsidRPr="00D016A5" w:rsidRDefault="00D016A5" w:rsidP="00D016A5">
    <w:pPr>
      <w:pStyle w:val="Footer"/>
      <w:tabs>
        <w:tab w:val="right" w:pos="9638"/>
      </w:tabs>
    </w:pPr>
    <w:r w:rsidRPr="00D016A5">
      <w:rPr>
        <w:b/>
        <w:sz w:val="18"/>
      </w:rPr>
      <w:fldChar w:fldCharType="begin"/>
    </w:r>
    <w:r w:rsidRPr="00D016A5">
      <w:rPr>
        <w:b/>
        <w:sz w:val="18"/>
      </w:rPr>
      <w:instrText xml:space="preserve"> PAGE  \* MERGEFORMAT </w:instrText>
    </w:r>
    <w:r w:rsidRPr="00D016A5">
      <w:rPr>
        <w:b/>
        <w:sz w:val="18"/>
      </w:rPr>
      <w:fldChar w:fldCharType="separate"/>
    </w:r>
    <w:r w:rsidR="00FC1F35">
      <w:rPr>
        <w:b/>
        <w:noProof/>
        <w:sz w:val="18"/>
      </w:rPr>
      <w:t>4</w:t>
    </w:r>
    <w:r w:rsidRPr="00D016A5">
      <w:rPr>
        <w:b/>
        <w:sz w:val="18"/>
      </w:rPr>
      <w:fldChar w:fldCharType="end"/>
    </w:r>
    <w:r>
      <w:rPr>
        <w:b/>
        <w:sz w:val="18"/>
      </w:rPr>
      <w:tab/>
    </w:r>
    <w:r>
      <w:t>GE.18-05228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A5" w:rsidRPr="00D016A5" w:rsidRDefault="00D016A5" w:rsidP="00D016A5">
    <w:pPr>
      <w:pStyle w:val="Footer"/>
      <w:tabs>
        <w:tab w:val="right" w:pos="9638"/>
      </w:tabs>
      <w:rPr>
        <w:b/>
        <w:sz w:val="18"/>
      </w:rPr>
    </w:pPr>
    <w:r>
      <w:t>GE.18-05228</w:t>
    </w:r>
    <w:r>
      <w:tab/>
    </w:r>
    <w:r w:rsidRPr="00D016A5">
      <w:rPr>
        <w:b/>
        <w:sz w:val="18"/>
      </w:rPr>
      <w:fldChar w:fldCharType="begin"/>
    </w:r>
    <w:r w:rsidRPr="00D016A5">
      <w:rPr>
        <w:b/>
        <w:sz w:val="18"/>
      </w:rPr>
      <w:instrText xml:space="preserve"> PAGE  \* MERGEFORMAT </w:instrText>
    </w:r>
    <w:r w:rsidRPr="00D016A5">
      <w:rPr>
        <w:b/>
        <w:sz w:val="18"/>
      </w:rPr>
      <w:fldChar w:fldCharType="separate"/>
    </w:r>
    <w:r w:rsidR="00FC1F35">
      <w:rPr>
        <w:b/>
        <w:noProof/>
        <w:sz w:val="18"/>
      </w:rPr>
      <w:t>3</w:t>
    </w:r>
    <w:r w:rsidRPr="00D016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D016A5" w:rsidRDefault="00D016A5" w:rsidP="00D016A5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18-05228  (F)</w:t>
    </w:r>
    <w:r w:rsidR="005B1DE2">
      <w:rPr>
        <w:sz w:val="20"/>
      </w:rPr>
      <w:t xml:space="preserve">    020518    080518</w:t>
    </w:r>
    <w:r>
      <w:rPr>
        <w:sz w:val="20"/>
      </w:rPr>
      <w:br/>
    </w:r>
    <w:r w:rsidRPr="00D016A5">
      <w:rPr>
        <w:rFonts w:ascii="C39T30Lfz" w:hAnsi="C39T30Lfz"/>
        <w:sz w:val="56"/>
      </w:rPr>
      <w:t></w:t>
    </w:r>
    <w:r w:rsidRPr="00D016A5">
      <w:rPr>
        <w:rFonts w:ascii="C39T30Lfz" w:hAnsi="C39T30Lfz"/>
        <w:sz w:val="56"/>
      </w:rPr>
      <w:t></w:t>
    </w:r>
    <w:r w:rsidRPr="00D016A5">
      <w:rPr>
        <w:rFonts w:ascii="C39T30Lfz" w:hAnsi="C39T30Lfz"/>
        <w:sz w:val="56"/>
      </w:rPr>
      <w:t></w:t>
    </w:r>
    <w:r w:rsidRPr="00D016A5">
      <w:rPr>
        <w:rFonts w:ascii="C39T30Lfz" w:hAnsi="C39T30Lfz"/>
        <w:sz w:val="56"/>
      </w:rPr>
      <w:t></w:t>
    </w:r>
    <w:r w:rsidRPr="00D016A5">
      <w:rPr>
        <w:rFonts w:ascii="C39T30Lfz" w:hAnsi="C39T30Lfz"/>
        <w:sz w:val="56"/>
      </w:rPr>
      <w:t></w:t>
    </w:r>
    <w:r w:rsidRPr="00D016A5">
      <w:rPr>
        <w:rFonts w:ascii="C39T30Lfz" w:hAnsi="C39T30Lfz"/>
        <w:sz w:val="56"/>
      </w:rPr>
      <w:t></w:t>
    </w:r>
    <w:r w:rsidRPr="00D016A5">
      <w:rPr>
        <w:rFonts w:ascii="C39T30Lfz" w:hAnsi="C39T30Lfz"/>
        <w:sz w:val="56"/>
      </w:rPr>
      <w:t></w:t>
    </w:r>
    <w:r w:rsidRPr="00D016A5">
      <w:rPr>
        <w:rFonts w:ascii="C39T30Lfz" w:hAnsi="C39T30Lfz"/>
        <w:sz w:val="56"/>
      </w:rPr>
      <w:t></w:t>
    </w:r>
    <w:r w:rsidRPr="00D016A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3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3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000" w:rsidRPr="00AC3823" w:rsidRDefault="00C7200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2000" w:rsidRPr="00AC3823" w:rsidRDefault="00C7200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2000" w:rsidRPr="00AC3823" w:rsidRDefault="00C72000">
      <w:pPr>
        <w:spacing w:line="240" w:lineRule="auto"/>
        <w:rPr>
          <w:sz w:val="2"/>
          <w:szCs w:val="2"/>
        </w:rPr>
      </w:pPr>
    </w:p>
  </w:footnote>
  <w:footnote w:id="2">
    <w:p w:rsidR="00D016A5" w:rsidRPr="00046FD2" w:rsidRDefault="005B1DE2" w:rsidP="005B1DE2">
      <w:pPr>
        <w:pStyle w:val="FootnoteText"/>
      </w:pPr>
      <w:r>
        <w:tab/>
      </w:r>
      <w:r w:rsidR="00D016A5">
        <w:rPr>
          <w:rStyle w:val="FootnoteReference"/>
        </w:rPr>
        <w:footnoteRef/>
      </w:r>
      <w:r w:rsidR="00D016A5">
        <w:tab/>
      </w:r>
      <w:r w:rsidR="00D016A5" w:rsidRPr="00DB3F12">
        <w:rPr>
          <w:lang w:eastAsia="en-GB"/>
        </w:rPr>
        <w:t>Conformément au programme de travail du Sous-Comité pour la période biennale</w:t>
      </w:r>
      <w:r w:rsidR="00D016A5">
        <w:rPr>
          <w:lang w:eastAsia="en-GB"/>
        </w:rPr>
        <w:t xml:space="preserve"> 2017-2018, approuvé par le Comité à sa huitième session</w:t>
      </w:r>
      <w:r w:rsidR="00D016A5" w:rsidRPr="00DB3F12">
        <w:rPr>
          <w:lang w:eastAsia="en-GB"/>
        </w:rPr>
        <w:t xml:space="preserve"> </w:t>
      </w:r>
      <w:r w:rsidR="00D016A5" w:rsidRPr="0086261F">
        <w:t>(</w:t>
      </w:r>
      <w:r w:rsidR="00D016A5">
        <w:t>voir</w:t>
      </w:r>
      <w:r w:rsidR="00D016A5" w:rsidRPr="0086261F">
        <w:t xml:space="preserve"> ST/SG/AC.10/C.3/</w:t>
      </w:r>
      <w:r w:rsidR="00D016A5" w:rsidRPr="00284946">
        <w:t>100, par</w:t>
      </w:r>
      <w:r w:rsidR="00D016A5">
        <w:t>.</w:t>
      </w:r>
      <w:r w:rsidR="005A5457">
        <w:t> </w:t>
      </w:r>
      <w:r w:rsidR="00D016A5">
        <w:t>98 et ST/SG/AC.10/44, par. </w:t>
      </w:r>
      <w:r w:rsidR="00D016A5" w:rsidRPr="00284946">
        <w:t>14</w:t>
      </w:r>
      <w:r w:rsidR="00D016A5" w:rsidRPr="0086261F">
        <w:t>)</w:t>
      </w:r>
      <w:r w:rsidR="00D016A5" w:rsidRPr="0086261F">
        <w:rPr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A5" w:rsidRPr="00D016A5" w:rsidRDefault="00FC1F35">
    <w:pPr>
      <w:pStyle w:val="Header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>
      <w:t>ST/SG/AC.10/C.3/2018/36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A5" w:rsidRPr="00D016A5" w:rsidRDefault="00FC1F35" w:rsidP="00D016A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0"/>
    <w:rsid w:val="00017F94"/>
    <w:rsid w:val="00023842"/>
    <w:rsid w:val="000305D3"/>
    <w:rsid w:val="000334F9"/>
    <w:rsid w:val="00076242"/>
    <w:rsid w:val="0007796D"/>
    <w:rsid w:val="00093D0A"/>
    <w:rsid w:val="000B7790"/>
    <w:rsid w:val="00111F2F"/>
    <w:rsid w:val="00132EA9"/>
    <w:rsid w:val="0014365E"/>
    <w:rsid w:val="00176178"/>
    <w:rsid w:val="001F525A"/>
    <w:rsid w:val="00223272"/>
    <w:rsid w:val="002355FA"/>
    <w:rsid w:val="0024779E"/>
    <w:rsid w:val="00262360"/>
    <w:rsid w:val="002823BE"/>
    <w:rsid w:val="00283190"/>
    <w:rsid w:val="002832AC"/>
    <w:rsid w:val="002B28F1"/>
    <w:rsid w:val="002D7C93"/>
    <w:rsid w:val="00441C3B"/>
    <w:rsid w:val="00446FE5"/>
    <w:rsid w:val="00452396"/>
    <w:rsid w:val="004E468C"/>
    <w:rsid w:val="0053103E"/>
    <w:rsid w:val="00545F73"/>
    <w:rsid w:val="005505B7"/>
    <w:rsid w:val="00573BE5"/>
    <w:rsid w:val="00584DC4"/>
    <w:rsid w:val="00586ED3"/>
    <w:rsid w:val="00596AA9"/>
    <w:rsid w:val="005A5457"/>
    <w:rsid w:val="005B1DE2"/>
    <w:rsid w:val="006112A2"/>
    <w:rsid w:val="0068456F"/>
    <w:rsid w:val="006B7EEB"/>
    <w:rsid w:val="0071601D"/>
    <w:rsid w:val="007A62E6"/>
    <w:rsid w:val="007D1F61"/>
    <w:rsid w:val="0080684C"/>
    <w:rsid w:val="00871C75"/>
    <w:rsid w:val="008776DC"/>
    <w:rsid w:val="008B40CD"/>
    <w:rsid w:val="00923F8B"/>
    <w:rsid w:val="009705C8"/>
    <w:rsid w:val="009909C4"/>
    <w:rsid w:val="009C1CF4"/>
    <w:rsid w:val="00A30353"/>
    <w:rsid w:val="00A559FD"/>
    <w:rsid w:val="00AC3823"/>
    <w:rsid w:val="00AE323C"/>
    <w:rsid w:val="00B00181"/>
    <w:rsid w:val="00B00B0D"/>
    <w:rsid w:val="00B5234D"/>
    <w:rsid w:val="00B765F7"/>
    <w:rsid w:val="00BA0CA9"/>
    <w:rsid w:val="00C02897"/>
    <w:rsid w:val="00C72000"/>
    <w:rsid w:val="00D016A5"/>
    <w:rsid w:val="00D3439C"/>
    <w:rsid w:val="00DB1831"/>
    <w:rsid w:val="00DD3BFD"/>
    <w:rsid w:val="00DF6678"/>
    <w:rsid w:val="00EF2E22"/>
    <w:rsid w:val="00F01738"/>
    <w:rsid w:val="00F02FCA"/>
    <w:rsid w:val="00F660DF"/>
    <w:rsid w:val="00F730C8"/>
    <w:rsid w:val="00F95C08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10473B-2058-423E-84AE-FFB0719A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ST/SG/AC.10/C.3/2018/36</vt:lpstr>
      <vt:lpstr>ST/SG/AC.10/C.3/2018/36</vt:lpstr>
    </vt:vector>
  </TitlesOfParts>
  <Company>DCM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ST/SG/AC.10/C.3/2018/36</dc:title>
  <dc:subject/>
  <dc:creator>Sandrine CLERE</dc:creator>
  <cp:keywords/>
  <cp:lastModifiedBy>Laurence Berthet</cp:lastModifiedBy>
  <cp:revision>3</cp:revision>
  <cp:lastPrinted>2018-05-08T18:50:00Z</cp:lastPrinted>
  <dcterms:created xsi:type="dcterms:W3CDTF">2018-05-08T18:50:00Z</dcterms:created>
  <dcterms:modified xsi:type="dcterms:W3CDTF">2018-05-08T18:50:00Z</dcterms:modified>
</cp:coreProperties>
</file>