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9E523D">
            <w:pPr>
              <w:jc w:val="right"/>
            </w:pPr>
            <w:r w:rsidRPr="006D12B1">
              <w:rPr>
                <w:sz w:val="40"/>
              </w:rPr>
              <w:t>ST</w:t>
            </w:r>
            <w:r>
              <w:t>/SG/AC.10/C.3/201</w:t>
            </w:r>
            <w:r w:rsidR="00E61617">
              <w:t>8</w:t>
            </w:r>
            <w:r>
              <w:t>/</w:t>
            </w:r>
            <w:r w:rsidR="00806437">
              <w:t>35</w:t>
            </w:r>
            <w:r>
              <w:t>−</w:t>
            </w:r>
            <w:r w:rsidRPr="006D12B1">
              <w:rPr>
                <w:sz w:val="40"/>
              </w:rPr>
              <w:t>ST</w:t>
            </w:r>
            <w:r>
              <w:t>/SG/AC.10/C.4/201</w:t>
            </w:r>
            <w:r w:rsidR="00E61617">
              <w:t>8</w:t>
            </w:r>
            <w:r>
              <w:t>/</w:t>
            </w:r>
            <w:r w:rsidR="00806437">
              <w:t>8</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A4CF1" w:rsidP="006D12B1">
            <w:pPr>
              <w:spacing w:before="120"/>
              <w:jc w:val="center"/>
            </w:pPr>
            <w:r>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F95F84" w:rsidP="006D12B1">
            <w:pPr>
              <w:spacing w:line="240" w:lineRule="exact"/>
            </w:pPr>
            <w:r>
              <w:t>4</w:t>
            </w:r>
            <w:r w:rsidR="00B63B75">
              <w:t xml:space="preserve"> Ap</w:t>
            </w:r>
            <w:r w:rsidR="00806437">
              <w:t>ril</w:t>
            </w:r>
            <w:r w:rsidR="009E523D">
              <w:t xml:space="preserve"> </w:t>
            </w:r>
            <w:r w:rsidR="00E61617">
              <w:t>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E523D" w:rsidRPr="009E523D" w:rsidRDefault="009E523D" w:rsidP="009F0F06">
      <w:pPr>
        <w:spacing w:before="120"/>
        <w:rPr>
          <w:b/>
          <w:sz w:val="22"/>
          <w:szCs w:val="22"/>
        </w:rPr>
      </w:pP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E61617">
        <w:tc>
          <w:tcPr>
            <w:tcW w:w="4593" w:type="dxa"/>
            <w:shd w:val="clear" w:color="auto" w:fill="auto"/>
          </w:tcPr>
          <w:p w:rsidR="00D46231" w:rsidRPr="006D12B1" w:rsidRDefault="00D46231" w:rsidP="00796AE1">
            <w:pPr>
              <w:spacing w:before="120" w:after="120"/>
              <w:ind w:right="57"/>
              <w:rPr>
                <w:b/>
              </w:rPr>
            </w:pPr>
            <w:r w:rsidRPr="006D12B1">
              <w:rPr>
                <w:b/>
              </w:rPr>
              <w:t xml:space="preserve">Sub-Committee of Experts on the Transport </w:t>
            </w:r>
            <w:r w:rsidRPr="006D12B1">
              <w:rPr>
                <w:b/>
              </w:rPr>
              <w:br/>
              <w:t xml:space="preserve">of Dangerous Goods </w:t>
            </w:r>
          </w:p>
        </w:tc>
        <w:tc>
          <w:tcPr>
            <w:tcW w:w="5046" w:type="dxa"/>
            <w:shd w:val="clear" w:color="auto" w:fill="auto"/>
          </w:tcPr>
          <w:p w:rsidR="00D46231" w:rsidRPr="006D12B1" w:rsidRDefault="00D46231" w:rsidP="008D53CE">
            <w:pPr>
              <w:spacing w:before="120" w:after="120"/>
              <w:rPr>
                <w:b/>
              </w:rPr>
            </w:pPr>
            <w:r w:rsidRPr="006D12B1">
              <w:rPr>
                <w:b/>
              </w:rPr>
              <w:t>Sub-Committee of Experts on the Globally Harmonized System of Classification and</w:t>
            </w:r>
            <w:r w:rsidR="00E1679E" w:rsidRPr="006D12B1">
              <w:rPr>
                <w:b/>
              </w:rPr>
              <w:t xml:space="preserve"> </w:t>
            </w:r>
            <w:r w:rsidRPr="006D12B1">
              <w:rPr>
                <w:b/>
              </w:rPr>
              <w:t xml:space="preserve">Labelling of Chemicals </w:t>
            </w:r>
          </w:p>
        </w:tc>
      </w:tr>
      <w:tr w:rsidR="00D46231" w:rsidRPr="00876878" w:rsidTr="00E61617">
        <w:tc>
          <w:tcPr>
            <w:tcW w:w="4593" w:type="dxa"/>
            <w:shd w:val="clear" w:color="auto" w:fill="auto"/>
          </w:tcPr>
          <w:p w:rsidR="00E61617" w:rsidRDefault="00E61617" w:rsidP="00E61617">
            <w:r>
              <w:rPr>
                <w:b/>
              </w:rPr>
              <w:t>Fifty-third</w:t>
            </w:r>
            <w:r w:rsidRPr="00CA0680">
              <w:rPr>
                <w:b/>
              </w:rPr>
              <w:t xml:space="preserve"> session</w:t>
            </w:r>
            <w:r>
              <w:t xml:space="preserve"> </w:t>
            </w:r>
          </w:p>
          <w:p w:rsidR="00D46231" w:rsidRPr="00E61617" w:rsidRDefault="00E61617" w:rsidP="00E61617">
            <w:pPr>
              <w:ind w:right="57"/>
            </w:pPr>
            <w:r>
              <w:t>Geneva, 25 June-4 July 2018</w:t>
            </w:r>
          </w:p>
        </w:tc>
        <w:tc>
          <w:tcPr>
            <w:tcW w:w="5046" w:type="dxa"/>
            <w:shd w:val="clear" w:color="auto" w:fill="auto"/>
          </w:tcPr>
          <w:p w:rsidR="00E61617" w:rsidRDefault="009E523D" w:rsidP="00E61617">
            <w:pPr>
              <w:rPr>
                <w:b/>
              </w:rPr>
            </w:pPr>
            <w:r w:rsidRPr="00876878">
              <w:rPr>
                <w:b/>
              </w:rPr>
              <w:t>Thirty-</w:t>
            </w:r>
            <w:r w:rsidR="00E61617">
              <w:rPr>
                <w:b/>
              </w:rPr>
              <w:t>fifth</w:t>
            </w:r>
            <w:r w:rsidR="00563498" w:rsidRPr="00876878">
              <w:rPr>
                <w:b/>
              </w:rPr>
              <w:t xml:space="preserve"> session</w:t>
            </w:r>
          </w:p>
          <w:p w:rsidR="00D46231" w:rsidRPr="00876878" w:rsidRDefault="00E61617" w:rsidP="00E61617">
            <w:pPr>
              <w:rPr>
                <w:b/>
              </w:rPr>
            </w:pPr>
            <w:r w:rsidRPr="00876878">
              <w:t xml:space="preserve">Geneva, </w:t>
            </w:r>
            <w:r>
              <w:t xml:space="preserve">4-6 July </w:t>
            </w:r>
            <w:r w:rsidRPr="00876878">
              <w:t>201</w:t>
            </w:r>
            <w:r>
              <w:t>8</w:t>
            </w:r>
          </w:p>
        </w:tc>
      </w:tr>
      <w:tr w:rsidR="00D46231" w:rsidRPr="00CE57DA" w:rsidTr="00E61617">
        <w:tc>
          <w:tcPr>
            <w:tcW w:w="4593" w:type="dxa"/>
            <w:shd w:val="clear" w:color="auto" w:fill="auto"/>
          </w:tcPr>
          <w:p w:rsidR="00D46231" w:rsidRPr="008B24C8" w:rsidRDefault="00D46231" w:rsidP="004E05DD">
            <w:pPr>
              <w:ind w:right="57"/>
            </w:pPr>
            <w:r w:rsidRPr="008B24C8">
              <w:t>Item</w:t>
            </w:r>
            <w:r w:rsidR="006B20F6" w:rsidRPr="008B24C8">
              <w:t xml:space="preserve"> </w:t>
            </w:r>
            <w:r w:rsidR="007E79E3" w:rsidRPr="008B24C8">
              <w:t>10</w:t>
            </w:r>
            <w:r w:rsidR="00806437">
              <w:t xml:space="preserve"> </w:t>
            </w:r>
            <w:r w:rsidR="007E79E3" w:rsidRPr="008B24C8">
              <w:t xml:space="preserve">(b) </w:t>
            </w:r>
            <w:r w:rsidRPr="008B24C8">
              <w:t>of the provisional agenda</w:t>
            </w:r>
          </w:p>
          <w:p w:rsidR="008F79EE" w:rsidRPr="00876878" w:rsidRDefault="009E523D" w:rsidP="00DF18E3">
            <w:pPr>
              <w:spacing w:after="120"/>
              <w:ind w:right="57"/>
              <w:rPr>
                <w:b/>
              </w:rPr>
            </w:pPr>
            <w:r w:rsidRPr="008B24C8">
              <w:rPr>
                <w:b/>
              </w:rPr>
              <w:t xml:space="preserve">Issues relating to the Globally Harmonized System of Classification and Labelling of Chemicals: </w:t>
            </w:r>
            <w:r w:rsidR="008B24C8" w:rsidRPr="008B24C8">
              <w:rPr>
                <w:b/>
              </w:rPr>
              <w:br/>
            </w:r>
            <w:r w:rsidR="00C1473B">
              <w:rPr>
                <w:b/>
              </w:rPr>
              <w:t>t</w:t>
            </w:r>
            <w:r w:rsidR="00E61617" w:rsidRPr="008B24C8">
              <w:rPr>
                <w:b/>
              </w:rPr>
              <w:t>esting of oxidizing substances</w:t>
            </w:r>
          </w:p>
        </w:tc>
        <w:tc>
          <w:tcPr>
            <w:tcW w:w="5046" w:type="dxa"/>
            <w:shd w:val="clear" w:color="auto" w:fill="auto"/>
          </w:tcPr>
          <w:p w:rsidR="00563498" w:rsidRPr="00876878" w:rsidRDefault="00D46231" w:rsidP="000504CE">
            <w:r w:rsidRPr="00876878">
              <w:t>Item</w:t>
            </w:r>
            <w:r w:rsidR="007E79E3">
              <w:t xml:space="preserve"> </w:t>
            </w:r>
            <w:r w:rsidR="00E61617">
              <w:t>3</w:t>
            </w:r>
            <w:r w:rsidR="00806437">
              <w:t xml:space="preserve"> </w:t>
            </w:r>
            <w:r w:rsidR="00E61617">
              <w:t>(a)</w:t>
            </w:r>
            <w:r w:rsidR="007E79E3">
              <w:t xml:space="preserve"> </w:t>
            </w:r>
            <w:r w:rsidRPr="00876878">
              <w:t>of the provisional agenda</w:t>
            </w:r>
          </w:p>
          <w:p w:rsidR="00D46231" w:rsidRPr="00876878" w:rsidRDefault="00E61617" w:rsidP="00E61617">
            <w:pPr>
              <w:spacing w:after="120"/>
              <w:rPr>
                <w:b/>
                <w:strike/>
              </w:rPr>
            </w:pPr>
            <w:r w:rsidRPr="00E61617">
              <w:rPr>
                <w:b/>
              </w:rPr>
              <w:t>Classification criteria and related hazard communication:</w:t>
            </w:r>
            <w:r>
              <w:rPr>
                <w:b/>
              </w:rPr>
              <w:t xml:space="preserve"> </w:t>
            </w:r>
            <w:r w:rsidR="00C1473B">
              <w:rPr>
                <w:b/>
              </w:rPr>
              <w:t>w</w:t>
            </w:r>
            <w:r w:rsidRPr="00E61617">
              <w:rPr>
                <w:b/>
              </w:rPr>
              <w:t>ork of the Sub-Committee of Experts on the Transport of Dangerous Goods (TDG) on matters of interest to the GHS Sub-Committee</w:t>
            </w:r>
          </w:p>
        </w:tc>
      </w:tr>
    </w:tbl>
    <w:p w:rsidR="006547FF" w:rsidRPr="006547FF" w:rsidRDefault="008E071B" w:rsidP="00D30605">
      <w:pPr>
        <w:pStyle w:val="HChG"/>
      </w:pPr>
      <w:r>
        <w:tab/>
      </w:r>
      <w:r>
        <w:tab/>
      </w:r>
      <w:r w:rsidR="00D30605">
        <w:t>Tests for oxidizing liquids</w:t>
      </w:r>
      <w:r w:rsidR="00F95F84">
        <w:t xml:space="preserve"> (</w:t>
      </w:r>
      <w:r w:rsidR="00D30605">
        <w:t>Tes</w:t>
      </w:r>
      <w:r w:rsidR="00F95F84">
        <w:t>t O.2) and oxidizing solids (</w:t>
      </w:r>
      <w:r w:rsidR="00D30605">
        <w:t>Tests O.1 and O.3)</w:t>
      </w:r>
      <w:r w:rsidR="00F95F84">
        <w:t>:</w:t>
      </w:r>
      <w:r w:rsidR="00662E45">
        <w:t xml:space="preserve"> </w:t>
      </w:r>
      <w:r w:rsidR="00D30605">
        <w:t>Consequential amendments of cellulose replacement to test descriptions</w:t>
      </w:r>
    </w:p>
    <w:p w:rsidR="008E071B" w:rsidRDefault="008E071B" w:rsidP="00047D68">
      <w:pPr>
        <w:pStyle w:val="H1G"/>
        <w:keepNext w:val="0"/>
        <w:keepLines w:val="0"/>
        <w:jc w:val="both"/>
      </w:pPr>
      <w:r>
        <w:tab/>
      </w:r>
      <w:r>
        <w:tab/>
        <w:t>Transmitted by the expert from France</w:t>
      </w:r>
      <w:r w:rsidR="00806437">
        <w:rPr>
          <w:rStyle w:val="FootnoteReference"/>
        </w:rPr>
        <w:footnoteReference w:customMarkFollows="1" w:id="2"/>
        <w:t>*</w:t>
      </w:r>
    </w:p>
    <w:p w:rsidR="008E071B" w:rsidRPr="00D30605" w:rsidRDefault="008E071B" w:rsidP="00047D68">
      <w:pPr>
        <w:pStyle w:val="HChG"/>
        <w:keepNext w:val="0"/>
        <w:keepLines w:val="0"/>
      </w:pPr>
      <w:r>
        <w:tab/>
      </w:r>
      <w:r>
        <w:tab/>
      </w:r>
      <w:r w:rsidRPr="00D30605">
        <w:t>Introduction</w:t>
      </w:r>
    </w:p>
    <w:p w:rsidR="00D30605" w:rsidRDefault="00D30605" w:rsidP="00053284">
      <w:pPr>
        <w:pStyle w:val="SingleTxtG"/>
        <w:numPr>
          <w:ilvl w:val="0"/>
          <w:numId w:val="18"/>
        </w:numPr>
        <w:spacing w:after="240"/>
        <w:ind w:left="1134" w:firstLine="0"/>
      </w:pPr>
      <w:r>
        <w:t xml:space="preserve">During its eighth session, the Committee approved the programme of work of its two sub-committees for the biennium 2017-2018 (see ST/SG/AC.10/44, para 14; ST/SG/AC.10/C.3/100, para 98; ST/SG/AC.10/C.4/64, annex III). This programme of work includes </w:t>
      </w:r>
      <w:r w:rsidR="00F061BF">
        <w:t>among issues relating to the GHS, testing of oxidizing substances</w:t>
      </w:r>
      <w:r>
        <w:t>.</w:t>
      </w:r>
    </w:p>
    <w:p w:rsidR="00D30605" w:rsidRDefault="00D30605" w:rsidP="00053284">
      <w:pPr>
        <w:pStyle w:val="SingleTxtG"/>
        <w:numPr>
          <w:ilvl w:val="0"/>
          <w:numId w:val="18"/>
        </w:numPr>
        <w:spacing w:after="240"/>
        <w:ind w:left="1134" w:firstLine="0"/>
      </w:pPr>
      <w:r>
        <w:t>This programme of work will focus on</w:t>
      </w:r>
      <w:r w:rsidR="00F95F84">
        <w:t xml:space="preserve"> consequential amendments to </w:t>
      </w:r>
      <w:r>
        <w:t>Test O.1 to O.3 as a follow-up of the replacement of cellulose as agreed by the Committee (see ST/SG/AC.10/44, para 11 and /Add. 2, section 34; ST/SG/AC.10/C.3/100, para 79-82; ST/SG/AC.10/C.3/64, para 14).</w:t>
      </w:r>
    </w:p>
    <w:p w:rsidR="003C7B41" w:rsidRPr="00A53850" w:rsidRDefault="00F95F84" w:rsidP="00053284">
      <w:pPr>
        <w:pStyle w:val="SingleTxtG"/>
        <w:numPr>
          <w:ilvl w:val="0"/>
          <w:numId w:val="18"/>
        </w:numPr>
        <w:spacing w:after="240"/>
        <w:ind w:left="1134" w:firstLine="0"/>
      </w:pPr>
      <w:r>
        <w:lastRenderedPageBreak/>
        <w:t>The c</w:t>
      </w:r>
      <w:r w:rsidR="00876878" w:rsidRPr="00A53850">
        <w:t>alendar for the</w:t>
      </w:r>
      <w:r w:rsidR="00A53850" w:rsidRPr="00A53850">
        <w:t xml:space="preserve"> development of the consequential amendments</w:t>
      </w:r>
      <w:r w:rsidR="00876878" w:rsidRPr="00A53850">
        <w:t xml:space="preserve"> </w:t>
      </w:r>
      <w:r>
        <w:t xml:space="preserve">to </w:t>
      </w:r>
      <w:r w:rsidR="00A53850" w:rsidRPr="00A53850">
        <w:t xml:space="preserve">Test O.1 to O.3 as a follow-up of the replacement of cellulose </w:t>
      </w:r>
      <w:r w:rsidR="00876878" w:rsidRPr="00A53850">
        <w:t xml:space="preserve">indicated by the expert from France in </w:t>
      </w:r>
      <w:r w:rsidR="003C7B41" w:rsidRPr="00A53850">
        <w:t>ST/SG/AC.10/C.3/201</w:t>
      </w:r>
      <w:r w:rsidR="00A53850" w:rsidRPr="00A53850">
        <w:t>7</w:t>
      </w:r>
      <w:r w:rsidR="003C7B41" w:rsidRPr="00A53850">
        <w:t>/</w:t>
      </w:r>
      <w:r w:rsidR="00A53850" w:rsidRPr="00A53850">
        <w:t>28</w:t>
      </w:r>
      <w:r w:rsidR="00876878" w:rsidRPr="00A53850">
        <w:t xml:space="preserve"> has been applied</w:t>
      </w:r>
      <w:r w:rsidR="007E79E3" w:rsidRPr="00A53850">
        <w:t>.</w:t>
      </w:r>
    </w:p>
    <w:p w:rsidR="0009150D" w:rsidRPr="00D9684A" w:rsidRDefault="00187F67" w:rsidP="00053284">
      <w:pPr>
        <w:pStyle w:val="SingleTxtG"/>
        <w:numPr>
          <w:ilvl w:val="0"/>
          <w:numId w:val="18"/>
        </w:numPr>
        <w:spacing w:after="240"/>
        <w:ind w:left="1134" w:firstLine="0"/>
      </w:pPr>
      <w:r w:rsidRPr="00D9684A">
        <w:t>An overview of the progress of work was</w:t>
      </w:r>
      <w:r w:rsidR="0009150D" w:rsidRPr="00D9684A">
        <w:t xml:space="preserve"> </w:t>
      </w:r>
      <w:r w:rsidRPr="00D9684A">
        <w:t xml:space="preserve">given </w:t>
      </w:r>
      <w:r w:rsidR="0009150D" w:rsidRPr="00D9684A">
        <w:t>in ST/SG/</w:t>
      </w:r>
      <w:r w:rsidR="00A3012E" w:rsidRPr="00D9684A">
        <w:t>AC.10/C.3/201</w:t>
      </w:r>
      <w:r w:rsidRPr="00D9684A">
        <w:t>7</w:t>
      </w:r>
      <w:r w:rsidR="00A3012E" w:rsidRPr="00D9684A">
        <w:t>/</w:t>
      </w:r>
      <w:r w:rsidRPr="00D9684A">
        <w:t>45</w:t>
      </w:r>
      <w:r w:rsidR="00A3012E" w:rsidRPr="00D9684A">
        <w:t xml:space="preserve"> </w:t>
      </w:r>
      <w:r w:rsidRPr="00D9684A">
        <w:t xml:space="preserve">and </w:t>
      </w:r>
      <w:r w:rsidR="00F95F84">
        <w:t xml:space="preserve">informal document </w:t>
      </w:r>
      <w:r w:rsidRPr="00D9684A">
        <w:t>INF.35</w:t>
      </w:r>
      <w:r w:rsidR="00A3012E" w:rsidRPr="00D9684A">
        <w:t xml:space="preserve"> </w:t>
      </w:r>
      <w:r w:rsidR="00F95F84">
        <w:t>(</w:t>
      </w:r>
      <w:r w:rsidR="00B63B75">
        <w:t>fifty-second</w:t>
      </w:r>
      <w:r w:rsidR="00F95F84">
        <w:t xml:space="preserve"> session) </w:t>
      </w:r>
      <w:r w:rsidR="00A3012E" w:rsidRPr="00D9684A">
        <w:t xml:space="preserve">as well as first proposals for amendments </w:t>
      </w:r>
      <w:r w:rsidRPr="00D9684A">
        <w:t xml:space="preserve">of the </w:t>
      </w:r>
      <w:r w:rsidR="00F95F84">
        <w:t>t</w:t>
      </w:r>
      <w:r w:rsidR="00A3012E" w:rsidRPr="00D9684A">
        <w:t xml:space="preserve">est descriptions </w:t>
      </w:r>
      <w:r w:rsidR="00F95F84">
        <w:t>for oxidizing liquids (</w:t>
      </w:r>
      <w:r w:rsidRPr="00D9684A">
        <w:t>Tes</w:t>
      </w:r>
      <w:r w:rsidR="00F95F84">
        <w:t>t O.2) and oxidizing solids (</w:t>
      </w:r>
      <w:r w:rsidRPr="00D9684A">
        <w:t>Test O.1 and O.3)</w:t>
      </w:r>
      <w:r w:rsidR="00A3012E" w:rsidRPr="00D9684A">
        <w:t>.</w:t>
      </w:r>
    </w:p>
    <w:p w:rsidR="003A25EB" w:rsidRPr="00E42BCF" w:rsidRDefault="009B4E26" w:rsidP="004F3384">
      <w:pPr>
        <w:pStyle w:val="HChG"/>
        <w:keepNext w:val="0"/>
        <w:keepLines w:val="0"/>
        <w:ind w:firstLine="0"/>
      </w:pPr>
      <w:r w:rsidRPr="00E42BCF">
        <w:t>Results of</w:t>
      </w:r>
      <w:r w:rsidR="00F95F84">
        <w:t xml:space="preserve"> the p</w:t>
      </w:r>
      <w:r w:rsidR="003A25EB" w:rsidRPr="00E42BCF">
        <w:t>rogramme</w:t>
      </w:r>
      <w:r w:rsidR="00E42BCF" w:rsidRPr="00E42BCF">
        <w:t xml:space="preserve"> of work</w:t>
      </w:r>
    </w:p>
    <w:p w:rsidR="00E42BCF" w:rsidRPr="007A19A5" w:rsidRDefault="00E42BCF" w:rsidP="00053284">
      <w:pPr>
        <w:pStyle w:val="SingleTxtG"/>
        <w:numPr>
          <w:ilvl w:val="0"/>
          <w:numId w:val="18"/>
        </w:numPr>
        <w:spacing w:after="240"/>
        <w:ind w:left="1134" w:firstLine="0"/>
      </w:pPr>
      <w:r w:rsidRPr="00E42BCF">
        <w:t>T</w:t>
      </w:r>
      <w:r>
        <w:t>he following paragraphs give the results</w:t>
      </w:r>
      <w:r w:rsidRPr="00E42BCF">
        <w:t xml:space="preserve"> of the </w:t>
      </w:r>
      <w:r>
        <w:t>work carried out</w:t>
      </w:r>
      <w:r w:rsidRPr="00E42BCF">
        <w:t xml:space="preserve"> for the four items identified for consideration (see </w:t>
      </w:r>
      <w:r w:rsidR="00806437">
        <w:t xml:space="preserve">informal document </w:t>
      </w:r>
      <w:r w:rsidRPr="00E42BCF">
        <w:t>INF.12</w:t>
      </w:r>
      <w:r w:rsidR="00806437">
        <w:t xml:space="preserve"> (</w:t>
      </w:r>
      <w:r w:rsidR="00B63B75">
        <w:t>fifty-first</w:t>
      </w:r>
      <w:r w:rsidR="00806437">
        <w:t xml:space="preserve"> session)</w:t>
      </w:r>
      <w:r w:rsidRPr="00E42BCF">
        <w:t>)</w:t>
      </w:r>
      <w:r>
        <w:t xml:space="preserve"> in the programme of work</w:t>
      </w:r>
      <w:r w:rsidRPr="00E42BCF">
        <w:t xml:space="preserve">. </w:t>
      </w:r>
    </w:p>
    <w:p w:rsidR="00E42BCF" w:rsidRPr="00770D12" w:rsidRDefault="00F95F84" w:rsidP="00053284">
      <w:pPr>
        <w:pStyle w:val="SingleTxtG"/>
        <w:numPr>
          <w:ilvl w:val="0"/>
          <w:numId w:val="18"/>
        </w:numPr>
        <w:spacing w:after="240"/>
        <w:ind w:left="1134" w:firstLine="0"/>
      </w:pPr>
      <w:r>
        <w:t xml:space="preserve">For the improvement of </w:t>
      </w:r>
      <w:r w:rsidR="00E42BCF" w:rsidRPr="007A19A5">
        <w:t xml:space="preserve">Test O.2, it was </w:t>
      </w:r>
      <w:r w:rsidR="000C2846" w:rsidRPr="007A19A5">
        <w:t xml:space="preserve">first </w:t>
      </w:r>
      <w:r w:rsidR="00E42BCF" w:rsidRPr="007A19A5">
        <w:t xml:space="preserve">considered </w:t>
      </w:r>
      <w:r w:rsidR="000C2846" w:rsidRPr="007A19A5">
        <w:t>the</w:t>
      </w:r>
      <w:r w:rsidR="00E42BCF" w:rsidRPr="007A19A5">
        <w:t xml:space="preserve"> possib</w:t>
      </w:r>
      <w:r w:rsidR="000C2846" w:rsidRPr="007A19A5">
        <w:t>ility of</w:t>
      </w:r>
      <w:r w:rsidR="00E42BCF" w:rsidRPr="007A19A5">
        <w:t xml:space="preserve"> replacement of the reference substances for allocation of </w:t>
      </w:r>
      <w:r>
        <w:t>packing group (PG) II</w:t>
      </w:r>
      <w:r w:rsidR="00E42BCF" w:rsidRPr="007A19A5">
        <w:t xml:space="preserve"> (i.e. 40% aqueous sodium chlorate solution) and of PGIII (i.e. 65% aqueous nitric acid) by diluted aqueous solutions of perchloric acid</w:t>
      </w:r>
      <w:r w:rsidR="00806437">
        <w:rPr>
          <w:rStyle w:val="FootnoteReference"/>
        </w:rPr>
        <w:footnoteReference w:customMarkFollows="1" w:id="3"/>
        <w:t>1</w:t>
      </w:r>
      <w:r w:rsidR="00E42BCF" w:rsidRPr="007A19A5">
        <w:t xml:space="preserve"> in the range of 30-40%. Preliminary promising results were presented by </w:t>
      </w:r>
      <w:r>
        <w:t>the French National Institute for Industrial Environment and Risk (</w:t>
      </w:r>
      <w:r w:rsidR="00E42BCF" w:rsidRPr="007A19A5">
        <w:t>INERIS</w:t>
      </w:r>
      <w:r>
        <w:t>)</w:t>
      </w:r>
      <w:r w:rsidR="00E42BCF" w:rsidRPr="007A19A5">
        <w:t xml:space="preserve"> to other laboratories in September. Although most of the laboratories expressed their sympathy for the idea of replacing three reference substances by only one in the test method, it was also recognized that this operation will required additional work and a longer time frame before it can be validated through Round Robin Tests (RRT).</w:t>
      </w:r>
    </w:p>
    <w:p w:rsidR="000C2846" w:rsidRPr="00770D12" w:rsidRDefault="000C2846" w:rsidP="00053284">
      <w:pPr>
        <w:pStyle w:val="SingleTxtG"/>
        <w:numPr>
          <w:ilvl w:val="0"/>
          <w:numId w:val="18"/>
        </w:numPr>
        <w:spacing w:after="240"/>
        <w:ind w:left="1134" w:firstLine="0"/>
      </w:pPr>
      <w:r w:rsidRPr="007A19A5">
        <w:t xml:space="preserve">Secondly it was considered to improve the wording of the test description, </w:t>
      </w:r>
      <w:proofErr w:type="gramStart"/>
      <w:r w:rsidRPr="007A19A5">
        <w:t>in particular of</w:t>
      </w:r>
      <w:proofErr w:type="gramEnd"/>
      <w:r w:rsidRPr="007A19A5">
        <w:t xml:space="preserve"> the section 34.4.2.3 of the Manual of Tests and Criteria, </w:t>
      </w:r>
      <w:r w:rsidR="00F95F84">
        <w:t>(</w:t>
      </w:r>
      <w:r w:rsidRPr="007A19A5">
        <w:t>ST/SG/AC.10/11/Rev.6</w:t>
      </w:r>
      <w:r w:rsidR="00F95F84">
        <w:t>)</w:t>
      </w:r>
      <w:r w:rsidRPr="007A19A5">
        <w:t xml:space="preserve">. For that a questionnaire was circulated between the nine laboratories that participated to a RRT (see </w:t>
      </w:r>
      <w:r w:rsidR="00770DE8">
        <w:t xml:space="preserve">informal document </w:t>
      </w:r>
      <w:r w:rsidRPr="007A19A5">
        <w:t>INF.47</w:t>
      </w:r>
      <w:r w:rsidR="00770DE8">
        <w:t xml:space="preserve"> (</w:t>
      </w:r>
      <w:r w:rsidR="00B63B75">
        <w:t>forty-ninth</w:t>
      </w:r>
      <w:r w:rsidR="00770DE8">
        <w:t xml:space="preserve"> session)</w:t>
      </w:r>
      <w:r w:rsidR="00F95F84">
        <w:t xml:space="preserve"> annex 1) on </w:t>
      </w:r>
      <w:r w:rsidRPr="007A19A5">
        <w:t xml:space="preserve">Test O.2 in 2015 to collect details of their best practices. Feedback gained from their answers and other communication allow to make a proposal (see </w:t>
      </w:r>
      <w:r w:rsidRPr="00053284">
        <w:t xml:space="preserve">para </w:t>
      </w:r>
      <w:r w:rsidR="00B2670F">
        <w:t>13</w:t>
      </w:r>
      <w:r w:rsidRPr="00053284">
        <w:t xml:space="preserve"> of this document</w:t>
      </w:r>
      <w:r w:rsidRPr="007A19A5">
        <w:t>).</w:t>
      </w:r>
    </w:p>
    <w:p w:rsidR="003E12A4" w:rsidRPr="00140635" w:rsidRDefault="00770D12" w:rsidP="00053284">
      <w:pPr>
        <w:pStyle w:val="SingleTxtG"/>
        <w:numPr>
          <w:ilvl w:val="0"/>
          <w:numId w:val="18"/>
        </w:numPr>
        <w:spacing w:after="240"/>
        <w:ind w:left="1134" w:firstLine="0"/>
      </w:pPr>
      <w:r>
        <w:t>The reference oxidizer (i.e. calcium peroxide 75%) for Test O.3 may originate from different sources and is subject to ageing. Therefore, the question of the necessity of a determination of the concentration in calcium peroxide prior using the reference oxidizer was investigated. It was judged that making this determination mandatory prior to each testing campaign would increase the level of comple</w:t>
      </w:r>
      <w:r w:rsidR="00F95F84">
        <w:t xml:space="preserve">xity of </w:t>
      </w:r>
      <w:r>
        <w:t>Test O.3 methodology, require further interlaboratory studies and create an unnecessary burden. It was considered that the quality of the calcium peroxide shall be based on the certificate of analysis from the supplier and its date of expiry. It was also recognized that the tolerance given for the concentration of calcium peroxide as specification could be changed with no impact on the outcome of the test and that will extend the period of usage of calcium peroxide according to the actual specifications of the suppliers.</w:t>
      </w:r>
      <w:r w:rsidR="001E1CD5">
        <w:t xml:space="preserve"> See corresponding proposal in para </w:t>
      </w:r>
      <w:r w:rsidR="001174B6">
        <w:t>14</w:t>
      </w:r>
      <w:r w:rsidR="001E1CD5" w:rsidRPr="00053284">
        <w:t xml:space="preserve"> </w:t>
      </w:r>
      <w:r w:rsidR="001E1CD5">
        <w:t>of this document.</w:t>
      </w:r>
    </w:p>
    <w:p w:rsidR="00662E45" w:rsidRDefault="001E1CD5" w:rsidP="00932D10">
      <w:pPr>
        <w:pStyle w:val="SingleTxtG"/>
        <w:numPr>
          <w:ilvl w:val="0"/>
          <w:numId w:val="18"/>
        </w:numPr>
        <w:suppressAutoHyphens w:val="0"/>
        <w:spacing w:after="240" w:line="240" w:lineRule="auto"/>
        <w:ind w:left="1134" w:firstLine="0"/>
      </w:pPr>
      <w:r w:rsidRPr="00140635">
        <w:t>Requirements in Test O.3 description (see section 34.4.3.5.3 of the Manual of Tests and Criteria ST/SG/AC.10/11/Rev.6) are set for the coefficient of correlation R2 (i.e. at least 0.95) and the standard deviation (i.e. not exceeding 10%). From a practical point of view, to respect the strictness of these criteria has for consequence the necessity to repeat burning trials a very numerous time before both criteria can be met at once.</w:t>
      </w:r>
    </w:p>
    <w:p w:rsidR="001E1CD5" w:rsidRPr="00053284" w:rsidRDefault="00F95F84" w:rsidP="00053284">
      <w:pPr>
        <w:pStyle w:val="SingleTxtG"/>
        <w:numPr>
          <w:ilvl w:val="0"/>
          <w:numId w:val="18"/>
        </w:numPr>
        <w:spacing w:after="240"/>
        <w:ind w:left="1134" w:firstLine="0"/>
      </w:pPr>
      <w:r>
        <w:lastRenderedPageBreak/>
        <w:t xml:space="preserve">Following a RRT on </w:t>
      </w:r>
      <w:r w:rsidR="001E1CD5" w:rsidRPr="00053284">
        <w:t xml:space="preserve">Test O.3 (see </w:t>
      </w:r>
      <w:r w:rsidR="00770DE8">
        <w:t xml:space="preserve">informal document </w:t>
      </w:r>
      <w:r w:rsidR="001E1CD5" w:rsidRPr="00053284">
        <w:t>INF.47</w:t>
      </w:r>
      <w:r w:rsidR="00770DE8">
        <w:t xml:space="preserve"> (</w:t>
      </w:r>
      <w:r w:rsidR="00B63B75">
        <w:t>forty-ninth</w:t>
      </w:r>
      <w:r w:rsidR="00770DE8">
        <w:t xml:space="preserve"> session) annex </w:t>
      </w:r>
      <w:r w:rsidR="001E1CD5" w:rsidRPr="00053284">
        <w:t>2) and analysis of its results, these criteria were, indeed, seen to be too limiting by the majority of the thirteen participating laboratories. The impact and consequence of a possible relaxation of these criteria were studied based on test results gained during the hereinbefore RRT. The study showed that no significant alteration of the overall results (i.e. classification of the tested substances) were noticeable in the case where the criteria are changed from “at least 0.95” to “at least 0.90” for the coefficient of correlation R</w:t>
      </w:r>
      <w:r w:rsidR="001E1CD5" w:rsidRPr="001174B6">
        <w:rPr>
          <w:vertAlign w:val="superscript"/>
        </w:rPr>
        <w:t>2</w:t>
      </w:r>
      <w:r w:rsidR="001E1CD5" w:rsidRPr="00053284">
        <w:t xml:space="preserve"> and from “not exceeding 10%” to “not exceeding 20%” for the standard deviation.</w:t>
      </w:r>
      <w:r w:rsidR="001D5FBA" w:rsidRPr="00053284">
        <w:t xml:space="preserve"> </w:t>
      </w:r>
      <w:r w:rsidR="001D5FBA">
        <w:t xml:space="preserve">See corresponding proposal in para </w:t>
      </w:r>
      <w:r w:rsidR="001174B6">
        <w:t>15</w:t>
      </w:r>
      <w:r w:rsidR="001D5FBA" w:rsidRPr="00053284">
        <w:t xml:space="preserve"> </w:t>
      </w:r>
      <w:r w:rsidR="001D5FBA">
        <w:t>of this document.</w:t>
      </w:r>
    </w:p>
    <w:p w:rsidR="001D5FBA" w:rsidRPr="00053284" w:rsidRDefault="00F95F84" w:rsidP="00053284">
      <w:pPr>
        <w:pStyle w:val="SingleTxtG"/>
        <w:numPr>
          <w:ilvl w:val="0"/>
          <w:numId w:val="18"/>
        </w:numPr>
        <w:spacing w:after="240"/>
        <w:ind w:left="1134" w:firstLine="0"/>
      </w:pPr>
      <w:r>
        <w:t xml:space="preserve">During </w:t>
      </w:r>
      <w:r w:rsidR="001D5FBA" w:rsidRPr="00053284">
        <w:t xml:space="preserve">Test O.3 in some cases breakage of the wire during the runs is observed see for illustration the RRT </w:t>
      </w:r>
      <w:r w:rsidR="0006230A" w:rsidRPr="00053284">
        <w:t>report</w:t>
      </w:r>
      <w:r w:rsidR="001D5FBA" w:rsidRPr="00053284">
        <w:t xml:space="preserve"> detailed in </w:t>
      </w:r>
      <w:r w:rsidR="00770DE8">
        <w:t xml:space="preserve">informal document </w:t>
      </w:r>
      <w:r w:rsidR="001D5FBA" w:rsidRPr="00053284">
        <w:t>INF.47</w:t>
      </w:r>
      <w:r w:rsidR="00770DE8">
        <w:t xml:space="preserve"> (</w:t>
      </w:r>
      <w:r w:rsidR="00B63B75">
        <w:t>forty-seventh</w:t>
      </w:r>
      <w:bookmarkStart w:id="0" w:name="_GoBack"/>
      <w:bookmarkEnd w:id="0"/>
      <w:r w:rsidR="00770DE8">
        <w:t xml:space="preserve"> session) annex </w:t>
      </w:r>
      <w:r w:rsidR="001D5FBA" w:rsidRPr="00053284">
        <w:t>2, para 2.5.1.1.</w:t>
      </w:r>
      <w:r w:rsidR="0006230A" w:rsidRPr="00053284">
        <w:t xml:space="preserve"> The possible reasons of these breakages were explored in more details by France. It is known from the literature</w:t>
      </w:r>
      <w:r w:rsidR="00662E45">
        <w:rPr>
          <w:rStyle w:val="FootnoteReference"/>
        </w:rPr>
        <w:footnoteReference w:customMarkFollows="1" w:id="4"/>
        <w:t>2</w:t>
      </w:r>
      <w:r w:rsidR="0006230A" w:rsidRPr="00053284">
        <w:t xml:space="preserve"> that this issue is more frequent with nitrate compounds or with low melting point samples. In this latter case, the melted portion of the sample may fuse to the ignition wire and the fused portion possibly reaches a temperature higher than the melting point of the ignition wire. </w:t>
      </w:r>
      <w:r w:rsidR="001D5FBA" w:rsidRPr="00053284">
        <w:t>Different natures of ignition wires are already used by the different laboratories. Information on the performance of these wires are available in a published RRT report and can be used as guidance for the selection of a wire on a case by case based on the laboratory experience. Based on that it is seen not necessary to change the specifications given in section 34.4.3.3.2.</w:t>
      </w:r>
    </w:p>
    <w:p w:rsidR="00140635" w:rsidRPr="00140635" w:rsidRDefault="00F95F84" w:rsidP="00053284">
      <w:pPr>
        <w:pStyle w:val="SingleTxtG"/>
        <w:numPr>
          <w:ilvl w:val="0"/>
          <w:numId w:val="18"/>
        </w:numPr>
        <w:spacing w:after="240"/>
        <w:ind w:left="1134" w:firstLine="0"/>
      </w:pPr>
      <w:r>
        <w:t xml:space="preserve">For </w:t>
      </w:r>
      <w:r w:rsidR="002016FA" w:rsidRPr="00140635">
        <w:t>Test O.1 whi</w:t>
      </w:r>
      <w:r>
        <w:t xml:space="preserve">ch is similar in principle to </w:t>
      </w:r>
      <w:r w:rsidR="002016FA" w:rsidRPr="00140635">
        <w:t xml:space="preserve">Test O.3, </w:t>
      </w:r>
      <w:r w:rsidR="00140635" w:rsidRPr="00140635">
        <w:t>the wording for the metal wire description in 34.4.1.2.3 can be aligned with the text in 34.4.3.3.2 to benefit from the work achiev</w:t>
      </w:r>
      <w:r>
        <w:t xml:space="preserve">ed during the development of </w:t>
      </w:r>
      <w:r w:rsidR="00140635" w:rsidRPr="00140635">
        <w:t xml:space="preserve">Test O.3. See corresponding proposal in para </w:t>
      </w:r>
      <w:r w:rsidR="001174B6">
        <w:t>16</w:t>
      </w:r>
      <w:r w:rsidR="00140635" w:rsidRPr="00053284">
        <w:t xml:space="preserve"> </w:t>
      </w:r>
      <w:r w:rsidR="00140635" w:rsidRPr="00140635">
        <w:t>of this document.</w:t>
      </w:r>
    </w:p>
    <w:p w:rsidR="004F3384" w:rsidRPr="00053284" w:rsidRDefault="004F3384" w:rsidP="004F3384">
      <w:pPr>
        <w:pStyle w:val="HChG"/>
        <w:keepNext w:val="0"/>
        <w:keepLines w:val="0"/>
        <w:ind w:firstLine="0"/>
      </w:pPr>
      <w:r w:rsidRPr="00053284">
        <w:t>Proposal</w:t>
      </w:r>
      <w:r w:rsidR="00A713FC" w:rsidRPr="00053284">
        <w:t>s</w:t>
      </w:r>
      <w:r w:rsidRPr="00053284">
        <w:t xml:space="preserve"> for amendments </w:t>
      </w:r>
    </w:p>
    <w:p w:rsidR="00800367" w:rsidRDefault="00770DE8" w:rsidP="00345B7B">
      <w:pPr>
        <w:pStyle w:val="SingleTxtG"/>
        <w:spacing w:before="120" w:after="0"/>
      </w:pPr>
      <w:r>
        <w:t>13.</w:t>
      </w:r>
      <w:r>
        <w:tab/>
      </w:r>
      <w:r w:rsidR="00A713FC">
        <w:t>In the following proposals, n</w:t>
      </w:r>
      <w:r w:rsidR="00A713FC" w:rsidRPr="00A713FC">
        <w:t xml:space="preserve">ew text is </w:t>
      </w:r>
      <w:r w:rsidR="00A713FC" w:rsidRPr="00A713FC">
        <w:rPr>
          <w:u w:val="single"/>
        </w:rPr>
        <w:t>underlined</w:t>
      </w:r>
      <w:r w:rsidR="00A713FC" w:rsidRPr="00A713FC">
        <w:t xml:space="preserve"> and deleted text is </w:t>
      </w:r>
      <w:r w:rsidR="00A713FC" w:rsidRPr="00A713FC">
        <w:rPr>
          <w:strike/>
        </w:rPr>
        <w:t>struck out</w:t>
      </w:r>
      <w:r w:rsidR="00A713FC" w:rsidRPr="00A713FC">
        <w:t>.</w:t>
      </w:r>
    </w:p>
    <w:p w:rsidR="00345B7B" w:rsidRPr="004E10D4" w:rsidRDefault="00F95F84" w:rsidP="004E10D4">
      <w:pPr>
        <w:pStyle w:val="HChG"/>
        <w:keepNext w:val="0"/>
        <w:keepLines w:val="0"/>
        <w:ind w:firstLine="0"/>
      </w:pPr>
      <w:r>
        <w:t xml:space="preserve">Proposal relating to </w:t>
      </w:r>
      <w:r w:rsidR="00345B7B" w:rsidRPr="004E10D4">
        <w:t xml:space="preserve">Test O.2 </w:t>
      </w:r>
      <w:r w:rsidR="00AA58F1" w:rsidRPr="004E10D4">
        <w:t>– improved wording</w:t>
      </w:r>
    </w:p>
    <w:p w:rsidR="00345B7B" w:rsidRPr="00053284" w:rsidRDefault="00770DE8" w:rsidP="00770DE8">
      <w:pPr>
        <w:pStyle w:val="SingleTxtG"/>
        <w:spacing w:after="240"/>
      </w:pPr>
      <w:r>
        <w:t>14.</w:t>
      </w:r>
      <w:r>
        <w:tab/>
      </w:r>
      <w:r w:rsidR="00F95F84">
        <w:t xml:space="preserve">Modify the text in the </w:t>
      </w:r>
      <w:r w:rsidR="00345B7B" w:rsidRPr="00053284">
        <w:t>Test O.2 description, i.e. in section 34.4.2.3.1 of the Manual of Tests and Criteria, ST/SG/AC.10/11/Rev.6, as follow</w:t>
      </w:r>
      <w:r w:rsidR="00F95F84">
        <w:t>s</w:t>
      </w:r>
      <w:r w:rsidR="00345B7B" w:rsidRPr="00053284">
        <w:t>:</w:t>
      </w:r>
    </w:p>
    <w:p w:rsidR="00345B7B" w:rsidRPr="00E1796F" w:rsidRDefault="00F95F84" w:rsidP="00AE4E54">
      <w:pPr>
        <w:pStyle w:val="SingleTxtG"/>
        <w:ind w:left="1701"/>
        <w:rPr>
          <w:lang w:val="en-US"/>
        </w:rPr>
      </w:pPr>
      <w:r>
        <w:rPr>
          <w:lang w:val="en-US"/>
        </w:rPr>
        <w:t>“</w:t>
      </w:r>
      <w:r w:rsidR="009E3E43">
        <w:rPr>
          <w:lang w:val="en-US"/>
        </w:rPr>
        <w:t>34.4.2.3.1</w:t>
      </w:r>
      <w:r w:rsidR="009E3E43">
        <w:rPr>
          <w:lang w:val="en-US"/>
        </w:rPr>
        <w:tab/>
      </w:r>
      <w:r w:rsidR="00345B7B" w:rsidRPr="00E1796F">
        <w:rPr>
          <w:lang w:val="en-US"/>
        </w:rPr>
        <w:t xml:space="preserve">The apparatus, assembled complete with pressure transducer and heating system but without the bursting disc in position, is supported firing plug end down. </w:t>
      </w:r>
      <w:r w:rsidR="003529A8" w:rsidRPr="003529A8">
        <w:rPr>
          <w:u w:val="single"/>
          <w:lang w:val="en-US"/>
        </w:rPr>
        <w:t>A leakage test should be conducted on an empty vessel</w:t>
      </w:r>
      <w:r w:rsidR="00345B7B" w:rsidRPr="00E1796F">
        <w:rPr>
          <w:u w:val="single"/>
        </w:rPr>
        <w:t xml:space="preserve"> beforehand</w:t>
      </w:r>
      <w:r w:rsidR="00345B7B" w:rsidRPr="00E1796F">
        <w:rPr>
          <w:lang w:val="en-US"/>
        </w:rPr>
        <w:t>. 2.5</w:t>
      </w:r>
      <w:r w:rsidR="00345B7B" w:rsidRPr="00E1796F">
        <w:rPr>
          <w:u w:val="single"/>
        </w:rPr>
        <w:t>0 ± 0.01</w:t>
      </w:r>
      <w:r w:rsidR="00345B7B" w:rsidRPr="00E1796F">
        <w:rPr>
          <w:lang w:val="en-US"/>
        </w:rPr>
        <w:t xml:space="preserve"> g of the liquid to be tested is mixed with 2.5</w:t>
      </w:r>
      <w:r w:rsidR="00345B7B" w:rsidRPr="00E1796F">
        <w:rPr>
          <w:u w:val="single"/>
        </w:rPr>
        <w:t>0 ± 0.01</w:t>
      </w:r>
      <w:r w:rsidR="00345B7B" w:rsidRPr="00E1796F">
        <w:rPr>
          <w:lang w:val="en-US"/>
        </w:rPr>
        <w:t xml:space="preserve"> g of dried cellulose in a glass beaker using a glass stirring rod </w:t>
      </w:r>
      <w:r w:rsidR="00345B7B" w:rsidRPr="00E1796F">
        <w:rPr>
          <w:u w:val="single"/>
        </w:rPr>
        <w:t>or any</w:t>
      </w:r>
      <w:r w:rsidR="003529A8">
        <w:rPr>
          <w:u w:val="single"/>
        </w:rPr>
        <w:t xml:space="preserve"> other</w:t>
      </w:r>
      <w:r w:rsidR="00345B7B" w:rsidRPr="00E1796F">
        <w:rPr>
          <w:u w:val="single"/>
        </w:rPr>
        <w:t xml:space="preserve"> appropriate mixing tool for at least two minutes. The time for mixing should be tracked by a timer and kept uniform for </w:t>
      </w:r>
      <w:r w:rsidR="003529A8">
        <w:rPr>
          <w:u w:val="single"/>
        </w:rPr>
        <w:t>all mixtures</w:t>
      </w:r>
      <w:r w:rsidR="00345B7B" w:rsidRPr="00E1796F">
        <w:rPr>
          <w:lang w:val="en-US"/>
        </w:rPr>
        <w:t xml:space="preserve">. </w:t>
      </w:r>
      <w:r w:rsidR="00345B7B" w:rsidRPr="00E1796F">
        <w:rPr>
          <w:b/>
          <w:bCs/>
          <w:iCs/>
          <w:lang w:val="en-US"/>
        </w:rPr>
        <w:t xml:space="preserve">For safety, the mixing should be performed with a safety shield between the operator and mixture. </w:t>
      </w:r>
      <w:r w:rsidR="00345B7B" w:rsidRPr="00E1796F">
        <w:rPr>
          <w:lang w:val="en-US"/>
        </w:rPr>
        <w:t xml:space="preserve">(If the mixture ignites during mixing or filling, no further testing is necessary.) The mixture is added, in small portions with tapping, to the pressure vessel making sure that the mixture is packed around the ignition coil and is in good contact with it. It is important that the coil is not distorted during the packing process </w:t>
      </w:r>
      <w:r w:rsidR="00345B7B" w:rsidRPr="00E1796F">
        <w:rPr>
          <w:u w:val="single"/>
        </w:rPr>
        <w:t>and should be covered completely by the mixture after loading</w:t>
      </w:r>
      <w:r w:rsidR="00345B7B" w:rsidRPr="00E1796F">
        <w:rPr>
          <w:lang w:val="en-US"/>
        </w:rPr>
        <w:t xml:space="preserve">. The bursting disc is placed in position and the retaining plug is screwed in tightly. The charged </w:t>
      </w:r>
      <w:r w:rsidR="00345B7B" w:rsidRPr="00E1796F">
        <w:rPr>
          <w:lang w:val="en-US"/>
        </w:rPr>
        <w:lastRenderedPageBreak/>
        <w:t xml:space="preserve">vessel is transferred </w:t>
      </w:r>
      <w:r w:rsidR="003529A8" w:rsidRPr="003529A8">
        <w:rPr>
          <w:u w:val="single"/>
          <w:lang w:val="en-US"/>
        </w:rPr>
        <w:t>bursting disc uppermost</w:t>
      </w:r>
      <w:r w:rsidR="003529A8" w:rsidRPr="00E1796F">
        <w:rPr>
          <w:lang w:val="en-US"/>
        </w:rPr>
        <w:t xml:space="preserve"> </w:t>
      </w:r>
      <w:r w:rsidR="00345B7B" w:rsidRPr="00E1796F">
        <w:rPr>
          <w:lang w:val="en-US"/>
        </w:rPr>
        <w:t xml:space="preserve">to the firing support stand, </w:t>
      </w:r>
      <w:r w:rsidR="00345B7B" w:rsidRPr="003529A8">
        <w:rPr>
          <w:strike/>
          <w:lang w:val="en-US"/>
        </w:rPr>
        <w:t>bursting disc uppermost</w:t>
      </w:r>
      <w:r w:rsidR="00345B7B" w:rsidRPr="00E1796F">
        <w:rPr>
          <w:lang w:val="en-US"/>
        </w:rPr>
        <w:t xml:space="preserve">, which should </w:t>
      </w:r>
      <w:proofErr w:type="gramStart"/>
      <w:r w:rsidR="00345B7B" w:rsidRPr="00E1796F">
        <w:rPr>
          <w:lang w:val="en-US"/>
        </w:rPr>
        <w:t>be located in</w:t>
      </w:r>
      <w:proofErr w:type="gramEnd"/>
      <w:r w:rsidR="00345B7B" w:rsidRPr="00E1796F">
        <w:rPr>
          <w:lang w:val="en-US"/>
        </w:rPr>
        <w:t xml:space="preserve"> a suitable, </w:t>
      </w:r>
      <w:proofErr w:type="spellStart"/>
      <w:r w:rsidR="00345B7B" w:rsidRPr="00E1796F">
        <w:rPr>
          <w:lang w:val="en-US"/>
        </w:rPr>
        <w:t>armoured</w:t>
      </w:r>
      <w:proofErr w:type="spellEnd"/>
      <w:r w:rsidR="00345B7B" w:rsidRPr="00E1796F">
        <w:rPr>
          <w:lang w:val="en-US"/>
        </w:rPr>
        <w:t xml:space="preserve"> fume cupboard or firing cell. The power supply is connected to the external terminals of the firing plug and 10 </w:t>
      </w:r>
      <w:r w:rsidR="003529A8">
        <w:rPr>
          <w:u w:val="single"/>
        </w:rPr>
        <w:t xml:space="preserve">± 0.5 </w:t>
      </w:r>
      <w:r w:rsidR="00345B7B" w:rsidRPr="00E1796F">
        <w:rPr>
          <w:lang w:val="en-US"/>
        </w:rPr>
        <w:t>A</w:t>
      </w:r>
      <w:r w:rsidR="00345B7B" w:rsidRPr="00E1796F">
        <w:t xml:space="preserve"> </w:t>
      </w:r>
      <w:r w:rsidR="00345B7B" w:rsidRPr="00E1796F">
        <w:rPr>
          <w:lang w:val="en-US"/>
        </w:rPr>
        <w:t>applied.</w:t>
      </w:r>
      <w:r w:rsidR="003529A8">
        <w:rPr>
          <w:lang w:val="en-US"/>
        </w:rPr>
        <w:t xml:space="preserve"> </w:t>
      </w:r>
      <w:r w:rsidR="003529A8" w:rsidRPr="006D2C08">
        <w:rPr>
          <w:u w:val="single"/>
          <w:lang w:val="en-US"/>
        </w:rPr>
        <w:t xml:space="preserve">The electric power is set before loading the vessel </w:t>
      </w:r>
      <w:r w:rsidR="006D2C08" w:rsidRPr="006D2C08">
        <w:rPr>
          <w:u w:val="single"/>
          <w:lang w:val="en-US"/>
        </w:rPr>
        <w:t>and should remain fixed for each test sequence or until any breakage of the wire occurs.</w:t>
      </w:r>
      <w:r w:rsidR="006D2C08">
        <w:rPr>
          <w:u w:val="single"/>
          <w:lang w:val="en-US"/>
        </w:rPr>
        <w:t xml:space="preserve"> </w:t>
      </w:r>
      <w:r w:rsidR="00345B7B" w:rsidRPr="00E1796F">
        <w:rPr>
          <w:lang w:val="en-US"/>
        </w:rPr>
        <w:t xml:space="preserve">The time between the start of mixing and switching the power on should </w:t>
      </w:r>
      <w:r w:rsidR="00345B7B" w:rsidRPr="00E1796F">
        <w:rPr>
          <w:strike/>
          <w:lang w:val="en-US"/>
        </w:rPr>
        <w:t>be about 10 minutes</w:t>
      </w:r>
      <w:r w:rsidR="006D2C08">
        <w:rPr>
          <w:u w:val="single"/>
        </w:rPr>
        <w:t xml:space="preserve"> be as short as possible and be kept constant for each test serie</w:t>
      </w:r>
      <w:r w:rsidR="00A713FC">
        <w:rPr>
          <w:u w:val="single"/>
        </w:rPr>
        <w:t>s</w:t>
      </w:r>
      <w:r w:rsidR="00345B7B" w:rsidRPr="00E1796F">
        <w:rPr>
          <w:lang w:val="en-US"/>
        </w:rPr>
        <w:t>.</w:t>
      </w:r>
    </w:p>
    <w:p w:rsidR="00345B7B" w:rsidRPr="004E10D4" w:rsidRDefault="00F95F84" w:rsidP="004E10D4">
      <w:pPr>
        <w:pStyle w:val="HChG"/>
        <w:keepNext w:val="0"/>
        <w:keepLines w:val="0"/>
        <w:ind w:firstLine="0"/>
      </w:pPr>
      <w:r>
        <w:t xml:space="preserve">Proposal relating to </w:t>
      </w:r>
      <w:r w:rsidR="00345B7B" w:rsidRPr="004E10D4">
        <w:t>Test O.3 – Reference oxidizer</w:t>
      </w:r>
    </w:p>
    <w:p w:rsidR="00345B7B" w:rsidRPr="00053284" w:rsidRDefault="00AE4E54" w:rsidP="00AE4E54">
      <w:pPr>
        <w:pStyle w:val="SingleTxtG"/>
        <w:spacing w:after="240"/>
      </w:pPr>
      <w:r>
        <w:tab/>
        <w:t>15.</w:t>
      </w:r>
      <w:r>
        <w:tab/>
      </w:r>
      <w:r w:rsidR="009E3E43" w:rsidRPr="00053284">
        <w:t xml:space="preserve">Modify the </w:t>
      </w:r>
      <w:r w:rsidR="00F95F84">
        <w:t xml:space="preserve">text in the </w:t>
      </w:r>
      <w:r w:rsidR="009E3E43" w:rsidRPr="00053284">
        <w:t xml:space="preserve">Test O.3 description, i.e. in section 34.4.3.2.1 of the Manual of Tests and Criteria, </w:t>
      </w:r>
      <w:r w:rsidR="00F95F84">
        <w:t>(</w:t>
      </w:r>
      <w:r w:rsidR="009E3E43" w:rsidRPr="00053284">
        <w:t>ST/SG/AC.10/11/Rev.6</w:t>
      </w:r>
      <w:r w:rsidR="00F95F84">
        <w:t>)</w:t>
      </w:r>
      <w:r w:rsidR="009E3E43" w:rsidRPr="00053284">
        <w:t>, as follow</w:t>
      </w:r>
      <w:r w:rsidR="00F95F84">
        <w:t>s</w:t>
      </w:r>
      <w:r w:rsidR="009E3E43" w:rsidRPr="00053284">
        <w:t>:</w:t>
      </w:r>
    </w:p>
    <w:p w:rsidR="009E3E43" w:rsidRPr="009E3E43" w:rsidRDefault="009E3E43" w:rsidP="00AE4E54">
      <w:pPr>
        <w:pStyle w:val="SingleTxtG"/>
        <w:ind w:left="1701"/>
        <w:rPr>
          <w:lang w:val="en-US"/>
        </w:rPr>
      </w:pPr>
      <w:r w:rsidRPr="009E3E43">
        <w:rPr>
          <w:lang w:val="en-US"/>
        </w:rPr>
        <w:t>34.4.3.2.1</w:t>
      </w:r>
      <w:r w:rsidRPr="009E3E43">
        <w:rPr>
          <w:lang w:val="en-US"/>
        </w:rPr>
        <w:tab/>
        <w:t>Technically pure, finely powdered calcium peroxide</w:t>
      </w:r>
      <w:r w:rsidR="00F95F84">
        <w:rPr>
          <w:lang w:val="en-US"/>
        </w:rPr>
        <w:t xml:space="preserve"> with a concentration of 75% ± 1.0</w:t>
      </w:r>
      <w:r w:rsidRPr="009E3E43">
        <w:rPr>
          <w:lang w:val="en-US"/>
        </w:rPr>
        <w:t xml:space="preserve">% is required as the reference oxidizer. The concentration of impurities such as chlorides or compounds which generate water during combustion should be low, as they may </w:t>
      </w:r>
      <w:r w:rsidRPr="009E3E43">
        <w:rPr>
          <w:strike/>
          <w:lang w:val="en-US"/>
        </w:rPr>
        <w:t>impact</w:t>
      </w:r>
      <w:r w:rsidRPr="009E3E43">
        <w:rPr>
          <w:lang w:val="en-US"/>
        </w:rPr>
        <w:t xml:space="preserve"> </w:t>
      </w:r>
      <w:proofErr w:type="spellStart"/>
      <w:r w:rsidRPr="009E3E43">
        <w:rPr>
          <w:u w:val="single"/>
          <w:lang w:val="en-US"/>
        </w:rPr>
        <w:t>affect</w:t>
      </w:r>
      <w:proofErr w:type="spellEnd"/>
      <w:r w:rsidRPr="009E3E43">
        <w:rPr>
          <w:lang w:val="en-US"/>
        </w:rPr>
        <w:t xml:space="preserve"> on the burning behavior of the reference </w:t>
      </w:r>
      <w:r w:rsidRPr="009E3E43">
        <w:rPr>
          <w:strike/>
          <w:lang w:val="en-US"/>
        </w:rPr>
        <w:t>piles</w:t>
      </w:r>
      <w:r w:rsidRPr="009E3E43">
        <w:rPr>
          <w:lang w:val="en-US"/>
        </w:rPr>
        <w:t xml:space="preserve"> </w:t>
      </w:r>
      <w:r w:rsidRPr="009E3E43">
        <w:rPr>
          <w:u w:val="single"/>
          <w:lang w:val="en-US"/>
        </w:rPr>
        <w:t>mixtures</w:t>
      </w:r>
      <w:r w:rsidRPr="009E3E43">
        <w:rPr>
          <w:lang w:val="en-US"/>
        </w:rPr>
        <w:t>. Calcium peroxide meeting the specification below can be used without further pretreatment.</w:t>
      </w:r>
      <w:r w:rsidRPr="009E3E43">
        <w:rPr>
          <w:vertAlign w:val="superscript"/>
          <w:lang w:val="en-US"/>
        </w:rPr>
        <w:t>4</w:t>
      </w:r>
    </w:p>
    <w:p w:rsidR="009E3E43" w:rsidRPr="009E3E43" w:rsidRDefault="009E3E43" w:rsidP="00AE4E54">
      <w:pPr>
        <w:tabs>
          <w:tab w:val="left" w:pos="3402"/>
        </w:tabs>
        <w:spacing w:line="240" w:lineRule="auto"/>
        <w:ind w:left="1701" w:right="1134"/>
        <w:rPr>
          <w:lang w:val="en-US"/>
        </w:rPr>
      </w:pPr>
      <w:r w:rsidRPr="009E3E43">
        <w:rPr>
          <w:lang w:val="en-US"/>
        </w:rPr>
        <w:t>CaO</w:t>
      </w:r>
      <w:r w:rsidRPr="009E3E43">
        <w:rPr>
          <w:vertAlign w:val="subscript"/>
          <w:lang w:val="en-US"/>
        </w:rPr>
        <w:t>2</w:t>
      </w:r>
      <w:r w:rsidRPr="009E3E43">
        <w:rPr>
          <w:lang w:val="en-US"/>
        </w:rPr>
        <w:t>:</w:t>
      </w:r>
      <w:r w:rsidRPr="009E3E43">
        <w:rPr>
          <w:lang w:val="en-US"/>
        </w:rPr>
        <w:tab/>
        <w:t xml:space="preserve">75% ± </w:t>
      </w:r>
      <w:r w:rsidRPr="009E3E43">
        <w:rPr>
          <w:strike/>
          <w:lang w:val="en-US"/>
        </w:rPr>
        <w:t>0.5</w:t>
      </w:r>
      <w:r w:rsidRPr="009E3E43">
        <w:rPr>
          <w:lang w:val="en-US"/>
        </w:rPr>
        <w:t xml:space="preserve"> </w:t>
      </w:r>
      <w:r w:rsidRPr="009E3E43">
        <w:rPr>
          <w:u w:val="single"/>
          <w:lang w:val="en-US"/>
        </w:rPr>
        <w:t>1.0</w:t>
      </w:r>
      <w:r w:rsidRPr="009E3E43">
        <w:rPr>
          <w:lang w:val="en-US"/>
        </w:rPr>
        <w:t xml:space="preserve"> %</w:t>
      </w:r>
    </w:p>
    <w:p w:rsidR="009E3E43" w:rsidRPr="009E3E43" w:rsidRDefault="009E3E43" w:rsidP="00AE4E54">
      <w:pPr>
        <w:tabs>
          <w:tab w:val="left" w:pos="3402"/>
        </w:tabs>
        <w:spacing w:line="240" w:lineRule="auto"/>
        <w:ind w:left="1701" w:right="1134"/>
        <w:rPr>
          <w:lang w:val="en-US"/>
        </w:rPr>
      </w:pPr>
      <w:r w:rsidRPr="009E3E43">
        <w:rPr>
          <w:lang w:val="en-US"/>
        </w:rPr>
        <w:t>Ca(OH)</w:t>
      </w:r>
      <w:r w:rsidRPr="009E3E43">
        <w:rPr>
          <w:vertAlign w:val="subscript"/>
          <w:lang w:val="en-US"/>
        </w:rPr>
        <w:t>2</w:t>
      </w:r>
      <w:r w:rsidRPr="009E3E43">
        <w:rPr>
          <w:lang w:val="en-US"/>
        </w:rPr>
        <w:t>:</w:t>
      </w:r>
      <w:r w:rsidRPr="009E3E43">
        <w:rPr>
          <w:lang w:val="en-US"/>
        </w:rPr>
        <w:tab/>
        <w:t>20% to 25%</w:t>
      </w:r>
    </w:p>
    <w:p w:rsidR="009E3E43" w:rsidRPr="009E3E43" w:rsidRDefault="009E3E43" w:rsidP="00AE4E54">
      <w:pPr>
        <w:tabs>
          <w:tab w:val="left" w:pos="3402"/>
        </w:tabs>
        <w:spacing w:line="240" w:lineRule="auto"/>
        <w:ind w:left="1701" w:right="1134"/>
        <w:rPr>
          <w:lang w:val="en-US"/>
        </w:rPr>
      </w:pPr>
      <w:r w:rsidRPr="009E3E43">
        <w:rPr>
          <w:lang w:val="en-US"/>
        </w:rPr>
        <w:t>CaCO</w:t>
      </w:r>
      <w:r w:rsidRPr="009E3E43">
        <w:rPr>
          <w:vertAlign w:val="subscript"/>
          <w:lang w:val="en-US"/>
        </w:rPr>
        <w:t>3</w:t>
      </w:r>
      <w:r w:rsidRPr="009E3E43">
        <w:rPr>
          <w:lang w:val="en-US"/>
        </w:rPr>
        <w:t>:</w:t>
      </w:r>
      <w:r w:rsidRPr="009E3E43">
        <w:rPr>
          <w:lang w:val="en-US"/>
        </w:rPr>
        <w:tab/>
        <w:t>0% to 5%</w:t>
      </w:r>
    </w:p>
    <w:p w:rsidR="009E3E43" w:rsidRPr="009E3E43" w:rsidRDefault="009E3E43" w:rsidP="00AE4E54">
      <w:pPr>
        <w:tabs>
          <w:tab w:val="left" w:pos="3402"/>
        </w:tabs>
        <w:spacing w:line="240" w:lineRule="auto"/>
        <w:ind w:left="1701" w:right="1134"/>
        <w:rPr>
          <w:lang w:val="en-US"/>
        </w:rPr>
      </w:pPr>
      <w:r w:rsidRPr="009E3E43">
        <w:rPr>
          <w:lang w:val="en-US"/>
        </w:rPr>
        <w:t>Chloride:</w:t>
      </w:r>
      <w:r w:rsidRPr="009E3E43">
        <w:rPr>
          <w:lang w:val="en-US"/>
        </w:rPr>
        <w:tab/>
        <w:t>max 500 ppm</w:t>
      </w:r>
    </w:p>
    <w:p w:rsidR="009E3E43" w:rsidRPr="009E3E43" w:rsidRDefault="009E3E43" w:rsidP="00AE4E54">
      <w:pPr>
        <w:tabs>
          <w:tab w:val="left" w:pos="3402"/>
        </w:tabs>
        <w:spacing w:line="240" w:lineRule="auto"/>
        <w:ind w:left="1701" w:right="1134"/>
        <w:rPr>
          <w:lang w:val="en-US"/>
        </w:rPr>
      </w:pPr>
      <w:r w:rsidRPr="009E3E43">
        <w:rPr>
          <w:lang w:val="en-US"/>
        </w:rPr>
        <w:t>Particle size:</w:t>
      </w:r>
      <w:r w:rsidRPr="009E3E43">
        <w:rPr>
          <w:lang w:val="en-US"/>
        </w:rPr>
        <w:tab/>
        <w:t xml:space="preserve">min 99% &lt; 75 </w:t>
      </w:r>
      <w:proofErr w:type="spellStart"/>
      <w:r w:rsidRPr="009E3E43">
        <w:rPr>
          <w:lang w:val="en-US"/>
        </w:rPr>
        <w:t>μm</w:t>
      </w:r>
      <w:proofErr w:type="spellEnd"/>
      <w:r w:rsidRPr="009E3E43">
        <w:rPr>
          <w:lang w:val="en-US"/>
        </w:rPr>
        <w:t xml:space="preserve">, </w:t>
      </w:r>
      <w:r w:rsidRPr="009E3E43">
        <w:rPr>
          <w:strike/>
          <w:lang w:val="en-US"/>
        </w:rPr>
        <w:t>and thereof</w:t>
      </w:r>
      <w:r w:rsidRPr="009E3E43">
        <w:rPr>
          <w:lang w:val="en-US"/>
        </w:rPr>
        <w:t xml:space="preserve"> </w:t>
      </w:r>
      <w:r w:rsidRPr="009E3E43">
        <w:rPr>
          <w:u w:val="single"/>
          <w:lang w:val="en-US"/>
        </w:rPr>
        <w:t>of which</w:t>
      </w:r>
    </w:p>
    <w:p w:rsidR="009E3E43" w:rsidRDefault="009E3E43" w:rsidP="00AE4E54">
      <w:pPr>
        <w:tabs>
          <w:tab w:val="left" w:pos="3402"/>
        </w:tabs>
        <w:spacing w:line="240" w:lineRule="auto"/>
        <w:ind w:left="1701" w:right="1134"/>
        <w:rPr>
          <w:highlight w:val="green"/>
          <w:lang w:val="en-US"/>
        </w:rPr>
      </w:pPr>
      <w:r>
        <w:rPr>
          <w:lang w:val="en-US"/>
        </w:rPr>
        <w:tab/>
      </w:r>
      <w:r w:rsidRPr="009E3E43">
        <w:rPr>
          <w:lang w:val="en-US"/>
        </w:rPr>
        <w:t xml:space="preserve">min 50% &lt; 20 </w:t>
      </w:r>
      <w:proofErr w:type="spellStart"/>
      <w:r w:rsidRPr="009E3E43">
        <w:rPr>
          <w:lang w:val="en-US"/>
        </w:rPr>
        <w:t>μm</w:t>
      </w:r>
      <w:proofErr w:type="spellEnd"/>
      <w:r w:rsidR="00F95F84">
        <w:rPr>
          <w:lang w:val="en-US"/>
        </w:rPr>
        <w:t>”</w:t>
      </w:r>
    </w:p>
    <w:p w:rsidR="00345B7B" w:rsidRPr="004E10D4" w:rsidRDefault="00F95F84" w:rsidP="004E10D4">
      <w:pPr>
        <w:pStyle w:val="HChG"/>
        <w:keepNext w:val="0"/>
        <w:keepLines w:val="0"/>
        <w:ind w:firstLine="0"/>
      </w:pPr>
      <w:r>
        <w:t xml:space="preserve">Proposal relating to </w:t>
      </w:r>
      <w:r w:rsidR="00345B7B" w:rsidRPr="004E10D4">
        <w:t>Test O.3 – Coefficient of correlation</w:t>
      </w:r>
      <w:r w:rsidR="00AA58F1" w:rsidRPr="004E10D4">
        <w:t>,</w:t>
      </w:r>
      <w:r w:rsidR="00345B7B" w:rsidRPr="004E10D4">
        <w:t xml:space="preserve"> standard deviation of test results</w:t>
      </w:r>
      <w:r w:rsidR="00AA58F1" w:rsidRPr="004E10D4">
        <w:t xml:space="preserve"> and improved wording</w:t>
      </w:r>
    </w:p>
    <w:p w:rsidR="00345B7B" w:rsidRPr="00053284" w:rsidRDefault="00AE4E54" w:rsidP="00AE4E54">
      <w:pPr>
        <w:pStyle w:val="SingleTxtG"/>
        <w:spacing w:after="240"/>
      </w:pPr>
      <w:r>
        <w:tab/>
        <w:t>16.</w:t>
      </w:r>
      <w:r>
        <w:tab/>
      </w:r>
      <w:r w:rsidR="00F95F84">
        <w:t xml:space="preserve">Modify the text in the </w:t>
      </w:r>
      <w:r w:rsidR="00345B7B" w:rsidRPr="00053284">
        <w:t xml:space="preserve">Test O.3 description, i.e. in section 34.4.3.5.3 of the Manual of Tests and Criteria, </w:t>
      </w:r>
      <w:r w:rsidR="00F95F84">
        <w:t>(</w:t>
      </w:r>
      <w:r w:rsidR="00345B7B" w:rsidRPr="00053284">
        <w:t>ST/SG/AC.10/11/Rev.6</w:t>
      </w:r>
      <w:r w:rsidR="00F95F84">
        <w:t>)</w:t>
      </w:r>
      <w:r w:rsidR="00345B7B" w:rsidRPr="00053284">
        <w:t>, as follow</w:t>
      </w:r>
      <w:r w:rsidR="00F95F84">
        <w:t>s</w:t>
      </w:r>
      <w:r w:rsidR="00345B7B" w:rsidRPr="00053284">
        <w:t xml:space="preserve">: </w:t>
      </w:r>
    </w:p>
    <w:p w:rsidR="002A6586" w:rsidRPr="002A6586" w:rsidRDefault="00F95F84" w:rsidP="00053284">
      <w:pPr>
        <w:tabs>
          <w:tab w:val="left" w:pos="567"/>
        </w:tabs>
        <w:spacing w:line="240" w:lineRule="auto"/>
        <w:ind w:left="1701" w:right="1133"/>
        <w:jc w:val="both"/>
        <w:rPr>
          <w:lang w:val="en-US"/>
        </w:rPr>
      </w:pPr>
      <w:r>
        <w:rPr>
          <w:lang w:val="en-US"/>
        </w:rPr>
        <w:t>“</w:t>
      </w:r>
      <w:r w:rsidR="002A6586" w:rsidRPr="002A6586">
        <w:rPr>
          <w:lang w:val="en-US"/>
        </w:rPr>
        <w:t>34.4.3.5.3</w:t>
      </w:r>
      <w:r w:rsidR="002A6586" w:rsidRPr="002A6586">
        <w:rPr>
          <w:lang w:val="en-US"/>
        </w:rPr>
        <w:tab/>
        <w:t xml:space="preserve">The burning rate (BR) depends on the burning intensity and the amount of cellulose in the mixture. </w:t>
      </w:r>
      <w:r w:rsidR="002A6586" w:rsidRPr="002A6586">
        <w:rPr>
          <w:strike/>
          <w:lang w:val="en-US"/>
        </w:rPr>
        <w:t xml:space="preserve">It is therefore </w:t>
      </w:r>
      <w:proofErr w:type="gramStart"/>
      <w:r w:rsidR="002A6586" w:rsidRPr="002A6586">
        <w:rPr>
          <w:u w:val="single"/>
          <w:lang w:val="en-US"/>
        </w:rPr>
        <w:t>For</w:t>
      </w:r>
      <w:proofErr w:type="gramEnd"/>
      <w:r w:rsidR="002A6586" w:rsidRPr="002A6586">
        <w:rPr>
          <w:u w:val="single"/>
          <w:lang w:val="en-US"/>
        </w:rPr>
        <w:t xml:space="preserve"> the purpose of this test it is</w:t>
      </w:r>
      <w:r w:rsidR="002A6586" w:rsidRPr="002A6586">
        <w:rPr>
          <w:lang w:val="en-US"/>
        </w:rPr>
        <w:t xml:space="preserve"> defined as the quotient of 60% of the total amount of cellulose </w:t>
      </w:r>
      <w:r w:rsidR="002A6586" w:rsidRPr="002A6586">
        <w:rPr>
          <w:u w:val="single"/>
          <w:lang w:val="en-US"/>
        </w:rPr>
        <w:t>(</w:t>
      </w:r>
      <w:proofErr w:type="spellStart"/>
      <w:r w:rsidR="002A6586" w:rsidRPr="002A6586">
        <w:rPr>
          <w:u w:val="single"/>
          <w:lang w:val="en-US"/>
        </w:rPr>
        <w:t>m</w:t>
      </w:r>
      <w:r w:rsidR="002A6586" w:rsidRPr="002A6586">
        <w:rPr>
          <w:u w:val="single"/>
          <w:vertAlign w:val="subscript"/>
          <w:lang w:val="en-US"/>
        </w:rPr>
        <w:t>cellulose</w:t>
      </w:r>
      <w:proofErr w:type="spellEnd"/>
      <w:r w:rsidR="002A6586" w:rsidRPr="002A6586">
        <w:rPr>
          <w:u w:val="single"/>
          <w:lang w:val="en-US"/>
        </w:rPr>
        <w:t>)</w:t>
      </w:r>
      <w:r w:rsidR="002A6586" w:rsidRPr="002A6586">
        <w:rPr>
          <w:lang w:val="en-US"/>
        </w:rPr>
        <w:t xml:space="preserve"> in the conical pile and the main combustion time t</w:t>
      </w:r>
      <w:r w:rsidR="002A6586" w:rsidRPr="002A6586">
        <w:rPr>
          <w:vertAlign w:val="subscript"/>
          <w:lang w:val="en-US"/>
        </w:rPr>
        <w:t>20-80</w:t>
      </w:r>
      <w:r w:rsidR="002A6586" w:rsidRPr="002A6586">
        <w:rPr>
          <w:lang w:val="en-US"/>
        </w:rPr>
        <w:t>. The time t</w:t>
      </w:r>
      <w:r w:rsidR="002A6586" w:rsidRPr="002A6586">
        <w:rPr>
          <w:vertAlign w:val="subscript"/>
          <w:lang w:val="en-US"/>
        </w:rPr>
        <w:t>20-80</w:t>
      </w:r>
      <w:r w:rsidR="002A6586" w:rsidRPr="002A6586">
        <w:rPr>
          <w:lang w:val="en-US"/>
        </w:rPr>
        <w:t xml:space="preserve"> is the time between 20% and 80% of the total mass loss. The total mass loss is the difference in mass before ignition and at the end of the </w:t>
      </w:r>
      <w:r w:rsidR="002A6586" w:rsidRPr="002A6586">
        <w:rPr>
          <w:strike/>
          <w:lang w:val="en-US"/>
        </w:rPr>
        <w:t>main reaction</w:t>
      </w:r>
      <w:r w:rsidR="002A6586" w:rsidRPr="002A6586">
        <w:rPr>
          <w:lang w:val="en-US"/>
        </w:rPr>
        <w:t xml:space="preserve"> </w:t>
      </w:r>
      <w:r w:rsidR="002A6586" w:rsidRPr="002A6586">
        <w:rPr>
          <w:u w:val="single"/>
          <w:lang w:val="en-US"/>
        </w:rPr>
        <w:t>combustion</w:t>
      </w:r>
      <w:r w:rsidR="002A6586" w:rsidRPr="002A6586">
        <w:rPr>
          <w:lang w:val="en-US"/>
        </w:rPr>
        <w:t xml:space="preserve">, defined as </w:t>
      </w:r>
      <w:r w:rsidR="002A6586" w:rsidRPr="002A6586">
        <w:rPr>
          <w:u w:val="single"/>
          <w:lang w:val="en-US"/>
        </w:rPr>
        <w:t xml:space="preserve">the time after which </w:t>
      </w:r>
      <w:proofErr w:type="gramStart"/>
      <w:r w:rsidR="002A6586" w:rsidRPr="002A6586">
        <w:rPr>
          <w:u w:val="single"/>
          <w:lang w:val="en-US"/>
        </w:rPr>
        <w:t>the</w:t>
      </w:r>
      <w:r w:rsidR="002A6586" w:rsidRPr="002A6586">
        <w:rPr>
          <w:lang w:val="en-US"/>
        </w:rPr>
        <w:t xml:space="preserve"> </w:t>
      </w:r>
      <w:r w:rsidR="002A6586" w:rsidRPr="002A6586">
        <w:rPr>
          <w:strike/>
          <w:lang w:val="en-US"/>
        </w:rPr>
        <w:t>a</w:t>
      </w:r>
      <w:proofErr w:type="gramEnd"/>
      <w:r w:rsidR="002A6586" w:rsidRPr="002A6586">
        <w:rPr>
          <w:lang w:val="en-US"/>
        </w:rPr>
        <w:t xml:space="preserve"> rate of mass loss rate of less than 1 g per minute. </w:t>
      </w:r>
    </w:p>
    <w:p w:rsidR="004E47E3" w:rsidRPr="004E47E3" w:rsidRDefault="004E47E3" w:rsidP="00871169">
      <w:pPr>
        <w:pStyle w:val="SingleTxtG"/>
        <w:ind w:left="1701" w:right="0"/>
      </w:pPr>
      <w:r w:rsidRPr="004E47E3">
        <w:t>The burning rate BR</w:t>
      </w:r>
      <w:r w:rsidRPr="004E47E3">
        <w:rPr>
          <w:vertAlign w:val="subscript"/>
        </w:rPr>
        <w:t>20-80</w:t>
      </w:r>
      <w:r w:rsidRPr="004E47E3">
        <w:t xml:space="preserve"> is therefore calculated by the following equation:</w:t>
      </w:r>
    </w:p>
    <w:p w:rsidR="004E47E3" w:rsidRPr="004E47E3" w:rsidRDefault="004E47E3" w:rsidP="00871169">
      <w:pPr>
        <w:spacing w:after="120"/>
        <w:ind w:left="567"/>
        <w:jc w:val="center"/>
        <w:rPr>
          <w:rFonts w:eastAsia="SimSun"/>
          <w:lang w:eastAsia="zh-CN" w:bidi="th-TH"/>
        </w:rPr>
      </w:pPr>
      <w:r w:rsidRPr="004E47E3">
        <w:rPr>
          <w:rFonts w:eastAsia="SimSun"/>
          <w:noProof/>
          <w:position w:val="-30"/>
          <w:lang w:val="de-DE" w:eastAsia="de-DE"/>
        </w:rPr>
        <w:drawing>
          <wp:inline distT="0" distB="0" distL="0" distR="0" wp14:anchorId="4F6A5427" wp14:editId="3D2B4478">
            <wp:extent cx="1447800" cy="438150"/>
            <wp:effectExtent l="0" t="0" r="0" b="0"/>
            <wp:docPr id="87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4E47E3" w:rsidRPr="004E47E3" w:rsidRDefault="004E47E3" w:rsidP="00AE4E54">
      <w:pPr>
        <w:pStyle w:val="SingleTxtG"/>
        <w:spacing w:after="240" w:line="240" w:lineRule="auto"/>
        <w:ind w:left="1701" w:right="0"/>
        <w:rPr>
          <w:color w:val="231F20"/>
        </w:rPr>
      </w:pPr>
      <w:r w:rsidRPr="004E47E3">
        <w:rPr>
          <w:lang w:eastAsia="zh-CN" w:bidi="th-TH"/>
        </w:rPr>
        <w:t>where:</w:t>
      </w:r>
    </w:p>
    <w:p w:rsidR="004E47E3" w:rsidRPr="004E47E3" w:rsidRDefault="004E47E3" w:rsidP="00871169">
      <w:pPr>
        <w:pStyle w:val="BodyText"/>
        <w:tabs>
          <w:tab w:val="left" w:pos="2666"/>
          <w:tab w:val="left" w:pos="3091"/>
        </w:tabs>
        <w:spacing w:line="240" w:lineRule="auto"/>
        <w:ind w:left="2099" w:right="3228"/>
      </w:pPr>
      <w:r w:rsidRPr="004E47E3">
        <w:rPr>
          <w:color w:val="231F20"/>
          <w:spacing w:val="-1"/>
          <w:w w:val="95"/>
        </w:rPr>
        <w:t>BR</w:t>
      </w:r>
      <w:r w:rsidRPr="004E47E3">
        <w:rPr>
          <w:color w:val="231F20"/>
          <w:spacing w:val="-1"/>
          <w:w w:val="95"/>
          <w:vertAlign w:val="subscript"/>
        </w:rPr>
        <w:t>20-80</w:t>
      </w:r>
      <w:r w:rsidRPr="004E47E3">
        <w:rPr>
          <w:color w:val="231F20"/>
          <w:spacing w:val="-1"/>
          <w:w w:val="95"/>
          <w:position w:val="-2"/>
        </w:rPr>
        <w:tab/>
      </w:r>
      <w:r w:rsidRPr="004E47E3">
        <w:rPr>
          <w:color w:val="231F20"/>
        </w:rPr>
        <w:t>=</w:t>
      </w:r>
      <w:r w:rsidRPr="004E47E3">
        <w:rPr>
          <w:color w:val="231F20"/>
        </w:rPr>
        <w:tab/>
        <w:t>burning rate between 20% to 80% in</w:t>
      </w:r>
      <w:r w:rsidRPr="004E47E3">
        <w:rPr>
          <w:color w:val="231F20"/>
          <w:spacing w:val="-1"/>
        </w:rPr>
        <w:t xml:space="preserve"> </w:t>
      </w:r>
      <w:r w:rsidRPr="004E47E3">
        <w:rPr>
          <w:color w:val="231F20"/>
        </w:rPr>
        <w:t>g/s</w:t>
      </w:r>
      <w:r w:rsidRPr="004E47E3">
        <w:rPr>
          <w:color w:val="231F20"/>
          <w:spacing w:val="23"/>
        </w:rPr>
        <w:t xml:space="preserve"> </w:t>
      </w:r>
      <w:proofErr w:type="spellStart"/>
      <w:r>
        <w:rPr>
          <w:color w:val="231F20"/>
          <w:spacing w:val="-1"/>
        </w:rPr>
        <w:t>m</w:t>
      </w:r>
      <w:r w:rsidRPr="004E47E3">
        <w:rPr>
          <w:color w:val="231F20"/>
          <w:spacing w:val="-1"/>
          <w:vertAlign w:val="subscript"/>
        </w:rPr>
        <w:t>cellulose</w:t>
      </w:r>
      <w:proofErr w:type="spellEnd"/>
      <w:r w:rsidRPr="004E47E3">
        <w:rPr>
          <w:color w:val="231F20"/>
          <w:spacing w:val="-1"/>
          <w:position w:val="-2"/>
        </w:rPr>
        <w:tab/>
      </w:r>
      <w:r w:rsidRPr="004E47E3">
        <w:rPr>
          <w:color w:val="231F20"/>
        </w:rPr>
        <w:t>=</w:t>
      </w:r>
      <w:r w:rsidRPr="004E47E3">
        <w:rPr>
          <w:color w:val="231F20"/>
        </w:rPr>
        <w:tab/>
        <w:t xml:space="preserve">mass of cellulose in </w:t>
      </w:r>
      <w:r w:rsidRPr="004E47E3">
        <w:rPr>
          <w:color w:val="231F20"/>
          <w:spacing w:val="-1"/>
        </w:rPr>
        <w:t>mixture</w:t>
      </w:r>
      <w:r w:rsidRPr="004E47E3">
        <w:rPr>
          <w:color w:val="231F20"/>
        </w:rPr>
        <w:t xml:space="preserve"> in gram</w:t>
      </w:r>
    </w:p>
    <w:p w:rsidR="004E47E3" w:rsidRPr="004E47E3" w:rsidRDefault="004E47E3" w:rsidP="00C1473B">
      <w:pPr>
        <w:pStyle w:val="BodyText"/>
        <w:tabs>
          <w:tab w:val="left" w:pos="2666"/>
          <w:tab w:val="left" w:pos="3091"/>
        </w:tabs>
        <w:spacing w:after="240" w:line="240" w:lineRule="auto"/>
        <w:ind w:left="2098"/>
      </w:pPr>
      <w:r w:rsidRPr="004E47E3">
        <w:rPr>
          <w:color w:val="231F20"/>
          <w:spacing w:val="-1"/>
        </w:rPr>
        <w:t>t</w:t>
      </w:r>
      <w:r w:rsidRPr="004E47E3">
        <w:rPr>
          <w:color w:val="231F20"/>
          <w:spacing w:val="-1"/>
          <w:w w:val="95"/>
          <w:vertAlign w:val="subscript"/>
        </w:rPr>
        <w:t>20-80</w:t>
      </w:r>
      <w:r w:rsidRPr="004E47E3">
        <w:rPr>
          <w:color w:val="231F20"/>
          <w:spacing w:val="-1"/>
          <w:position w:val="-2"/>
        </w:rPr>
        <w:tab/>
      </w:r>
      <w:r w:rsidRPr="004E47E3">
        <w:rPr>
          <w:color w:val="231F20"/>
        </w:rPr>
        <w:t>=</w:t>
      </w:r>
      <w:r w:rsidRPr="004E47E3">
        <w:rPr>
          <w:color w:val="231F20"/>
        </w:rPr>
        <w:tab/>
        <w:t xml:space="preserve">burning </w:t>
      </w:r>
      <w:r w:rsidRPr="004E47E3">
        <w:rPr>
          <w:color w:val="231F20"/>
          <w:spacing w:val="-1"/>
        </w:rPr>
        <w:t>time</w:t>
      </w:r>
      <w:r w:rsidRPr="004E47E3">
        <w:rPr>
          <w:color w:val="231F20"/>
          <w:spacing w:val="1"/>
        </w:rPr>
        <w:t xml:space="preserve"> </w:t>
      </w:r>
      <w:r w:rsidRPr="004E47E3">
        <w:rPr>
          <w:color w:val="231F20"/>
        </w:rPr>
        <w:t xml:space="preserve">between 20% to 80% of </w:t>
      </w:r>
      <w:r w:rsidRPr="004E47E3">
        <w:rPr>
          <w:color w:val="231F20"/>
          <w:spacing w:val="-1"/>
        </w:rPr>
        <w:t>total</w:t>
      </w:r>
      <w:r w:rsidRPr="004E47E3">
        <w:rPr>
          <w:color w:val="231F20"/>
          <w:spacing w:val="1"/>
        </w:rPr>
        <w:t xml:space="preserve"> </w:t>
      </w:r>
      <w:r w:rsidRPr="004E47E3">
        <w:rPr>
          <w:color w:val="231F20"/>
          <w:spacing w:val="-1"/>
        </w:rPr>
        <w:t>mass</w:t>
      </w:r>
      <w:r w:rsidRPr="004E47E3">
        <w:rPr>
          <w:color w:val="231F20"/>
        </w:rPr>
        <w:t xml:space="preserve"> loss in seconds</w:t>
      </w:r>
    </w:p>
    <w:p w:rsidR="00C1473B" w:rsidRDefault="00C1473B">
      <w:pPr>
        <w:suppressAutoHyphens w:val="0"/>
        <w:spacing w:line="240" w:lineRule="auto"/>
        <w:rPr>
          <w:color w:val="231F20"/>
          <w:u w:val="single"/>
        </w:rPr>
      </w:pPr>
      <w:r>
        <w:rPr>
          <w:color w:val="231F20"/>
          <w:u w:val="single"/>
        </w:rPr>
        <w:br w:type="page"/>
      </w:r>
    </w:p>
    <w:p w:rsidR="00345B7B" w:rsidRPr="00BF26A6" w:rsidRDefault="00871169" w:rsidP="00AE4E54">
      <w:pPr>
        <w:pStyle w:val="SingleTxtG"/>
        <w:ind w:left="1701"/>
        <w:rPr>
          <w:lang w:val="en-US"/>
        </w:rPr>
      </w:pPr>
      <w:r w:rsidRPr="00BF26A6">
        <w:rPr>
          <w:color w:val="231F20"/>
          <w:u w:val="single"/>
        </w:rPr>
        <w:lastRenderedPageBreak/>
        <w:t xml:space="preserve">Five valid tests should be performed with each reference and test substance mixture. </w:t>
      </w:r>
      <w:r w:rsidR="00345B7B" w:rsidRPr="00BF26A6">
        <w:rPr>
          <w:lang w:val="en-US"/>
        </w:rPr>
        <w:t xml:space="preserve">The profile of each burning test </w:t>
      </w:r>
      <w:proofErr w:type="gramStart"/>
      <w:r w:rsidR="00345B7B" w:rsidRPr="00BF26A6">
        <w:rPr>
          <w:lang w:val="en-US"/>
        </w:rPr>
        <w:t>has to</w:t>
      </w:r>
      <w:proofErr w:type="gramEnd"/>
      <w:r w:rsidR="00345B7B" w:rsidRPr="00BF26A6">
        <w:rPr>
          <w:lang w:val="en-US"/>
        </w:rPr>
        <w:t xml:space="preserve"> be examined by plotting the mass loss as a function of time. The graph can also be used for decision making and should be used in case of doubt. The coefficient of correlation (R²) of the mass curve of each burning test should be at least </w:t>
      </w:r>
      <w:r w:rsidR="00345B7B" w:rsidRPr="00BF26A6">
        <w:rPr>
          <w:strike/>
          <w:lang w:val="en-US"/>
        </w:rPr>
        <w:t>0.95</w:t>
      </w:r>
      <w:r w:rsidR="00345B7B" w:rsidRPr="00BF26A6">
        <w:rPr>
          <w:lang w:val="en-US"/>
        </w:rPr>
        <w:t xml:space="preserve"> </w:t>
      </w:r>
      <w:r w:rsidR="00345B7B" w:rsidRPr="00BF26A6">
        <w:rPr>
          <w:u w:val="single"/>
          <w:lang w:val="en-US"/>
        </w:rPr>
        <w:t xml:space="preserve">0.90 </w:t>
      </w:r>
      <w:r w:rsidR="00345B7B" w:rsidRPr="00BF26A6">
        <w:rPr>
          <w:lang w:val="en-US"/>
        </w:rPr>
        <w:t xml:space="preserve">between 20% to 80% mass loss, otherwise the burning trial </w:t>
      </w:r>
      <w:proofErr w:type="gramStart"/>
      <w:r w:rsidR="00345B7B" w:rsidRPr="00BF26A6">
        <w:rPr>
          <w:lang w:val="en-US"/>
        </w:rPr>
        <w:t>has to</w:t>
      </w:r>
      <w:proofErr w:type="gramEnd"/>
      <w:r w:rsidR="00345B7B" w:rsidRPr="00BF26A6">
        <w:rPr>
          <w:lang w:val="en-US"/>
        </w:rPr>
        <w:t xml:space="preserve"> be repeated. </w:t>
      </w:r>
      <w:r w:rsidR="00345B7B" w:rsidRPr="00BF26A6">
        <w:rPr>
          <w:strike/>
          <w:lang w:val="en-US"/>
        </w:rPr>
        <w:t>Five valid tests should be performed with each reference and test substance mixture.</w:t>
      </w:r>
      <w:r w:rsidR="00345B7B" w:rsidRPr="00BF26A6">
        <w:rPr>
          <w:lang w:val="en-US"/>
        </w:rPr>
        <w:t xml:space="preserve"> The standard deviation of the burning rates within these five tests should not exceed </w:t>
      </w:r>
      <w:r w:rsidR="00345B7B" w:rsidRPr="00BF26A6">
        <w:rPr>
          <w:strike/>
          <w:lang w:val="en-US"/>
        </w:rPr>
        <w:t>10%</w:t>
      </w:r>
      <w:r w:rsidR="00345B7B" w:rsidRPr="00BF26A6">
        <w:rPr>
          <w:lang w:val="en-US"/>
        </w:rPr>
        <w:t xml:space="preserve"> </w:t>
      </w:r>
      <w:r w:rsidR="00345B7B" w:rsidRPr="00BF26A6">
        <w:rPr>
          <w:u w:val="single"/>
          <w:lang w:val="en-US"/>
        </w:rPr>
        <w:t xml:space="preserve">20% </w:t>
      </w:r>
      <w:r w:rsidR="00345B7B" w:rsidRPr="00BF26A6">
        <w:rPr>
          <w:lang w:val="en-US"/>
        </w:rPr>
        <w:t>in total.</w:t>
      </w:r>
      <w:r w:rsidRPr="00BF26A6">
        <w:rPr>
          <w:lang w:val="en-US"/>
        </w:rPr>
        <w:t xml:space="preserve"> </w:t>
      </w:r>
      <w:r w:rsidRPr="00BF26A6">
        <w:rPr>
          <w:u w:val="single"/>
          <w:lang w:val="en-US"/>
        </w:rPr>
        <w:t>If these test quality criteria are not met due to test sample properties, judgement based on previous experience or competence of the person responsible for the classification should take precedence over recommended test criteria.</w:t>
      </w:r>
      <w:r w:rsidR="00F95F84">
        <w:rPr>
          <w:u w:val="single"/>
          <w:lang w:val="en-US"/>
        </w:rPr>
        <w:t>”</w:t>
      </w:r>
    </w:p>
    <w:p w:rsidR="00AA58F1" w:rsidRPr="004E10D4" w:rsidRDefault="00F95F84" w:rsidP="004E10D4">
      <w:pPr>
        <w:pStyle w:val="HChG"/>
        <w:keepNext w:val="0"/>
        <w:keepLines w:val="0"/>
        <w:ind w:firstLine="0"/>
      </w:pPr>
      <w:r>
        <w:t xml:space="preserve">Proposal relating to </w:t>
      </w:r>
      <w:r w:rsidR="00AA58F1" w:rsidRPr="004E10D4">
        <w:t>Test O.1 – Metal wire description</w:t>
      </w:r>
    </w:p>
    <w:p w:rsidR="00AA58F1" w:rsidRPr="00053284" w:rsidRDefault="00AE4E54" w:rsidP="00AE4E54">
      <w:pPr>
        <w:pStyle w:val="SingleTxtG"/>
        <w:spacing w:after="240"/>
      </w:pPr>
      <w:r>
        <w:tab/>
        <w:t>17.</w:t>
      </w:r>
      <w:r>
        <w:tab/>
      </w:r>
      <w:r w:rsidR="00F95F84">
        <w:t xml:space="preserve">Modify the text in the </w:t>
      </w:r>
      <w:r w:rsidR="00AA58F1" w:rsidRPr="00053284">
        <w:t xml:space="preserve">Test O.1 description, i.e. in section 34.4.1.2.3 of the Manual of Tests and Criteria, </w:t>
      </w:r>
      <w:r w:rsidR="00F95F84">
        <w:t>(</w:t>
      </w:r>
      <w:r w:rsidR="00AA58F1" w:rsidRPr="00053284">
        <w:t>ST/SG/AC.10/11/Rev.6</w:t>
      </w:r>
      <w:r w:rsidR="00F95F84">
        <w:t>)</w:t>
      </w:r>
      <w:r w:rsidR="00AA58F1" w:rsidRPr="00053284">
        <w:t>, as follow</w:t>
      </w:r>
      <w:r w:rsidR="00F95F84">
        <w:t>s</w:t>
      </w:r>
      <w:r w:rsidR="00AA58F1" w:rsidRPr="00053284">
        <w:t xml:space="preserve">: </w:t>
      </w:r>
    </w:p>
    <w:p w:rsidR="00AA58F1" w:rsidRPr="00AA58F1" w:rsidRDefault="00F95F84" w:rsidP="00AE4E54">
      <w:pPr>
        <w:pStyle w:val="SingleTxtG"/>
        <w:ind w:left="1701"/>
        <w:rPr>
          <w:lang w:val="en-US"/>
        </w:rPr>
      </w:pPr>
      <w:r>
        <w:rPr>
          <w:lang w:val="en-US"/>
        </w:rPr>
        <w:t>“</w:t>
      </w:r>
      <w:r w:rsidR="00AA58F1">
        <w:rPr>
          <w:lang w:val="en-US"/>
        </w:rPr>
        <w:t>34.4.1.2.3</w:t>
      </w:r>
      <w:r w:rsidR="00AA58F1">
        <w:rPr>
          <w:lang w:val="en-US"/>
        </w:rPr>
        <w:tab/>
      </w:r>
      <w:r w:rsidR="00AA58F1" w:rsidRPr="00AA58F1">
        <w:rPr>
          <w:lang w:val="en-US"/>
        </w:rPr>
        <w:t>An ignition source is required comprising an inert metal wire</w:t>
      </w:r>
      <w:r w:rsidR="00AA58F1">
        <w:rPr>
          <w:lang w:val="en-US"/>
        </w:rPr>
        <w:t xml:space="preserve"> </w:t>
      </w:r>
      <w:r w:rsidR="00AA58F1" w:rsidRPr="00AA58F1">
        <w:rPr>
          <w:strike/>
          <w:lang w:val="en-US"/>
        </w:rPr>
        <w:t>(e.g. nickel/chromium)</w:t>
      </w:r>
      <w:r w:rsidR="00AA58F1" w:rsidRPr="00AA58F1">
        <w:rPr>
          <w:lang w:val="en-US"/>
        </w:rPr>
        <w:t xml:space="preserve"> connected to an electrical power source</w:t>
      </w:r>
      <w:r w:rsidR="0037121C">
        <w:rPr>
          <w:lang w:val="en-US"/>
        </w:rPr>
        <w:t xml:space="preserve"> </w:t>
      </w:r>
      <w:r w:rsidR="0037121C" w:rsidRPr="0037121C">
        <w:rPr>
          <w:strike/>
          <w:lang w:val="en-US"/>
        </w:rPr>
        <w:t>and with the following characteristics</w:t>
      </w:r>
      <w:r w:rsidR="0037121C">
        <w:rPr>
          <w:lang w:val="en-US"/>
        </w:rPr>
        <w:t xml:space="preserve"> </w:t>
      </w:r>
      <w:r w:rsidR="00AA58F1" w:rsidRPr="0037121C">
        <w:rPr>
          <w:u w:val="single"/>
          <w:lang w:val="en-US"/>
        </w:rPr>
        <w:t>capable of maintaining the power dissipation specified below. The electrical resistance depends on the wire material</w:t>
      </w:r>
      <w:r w:rsidR="00AA58F1" w:rsidRPr="0037121C">
        <w:rPr>
          <w:u w:val="single"/>
          <w:vertAlign w:val="superscript"/>
          <w:lang w:val="en-US"/>
        </w:rPr>
        <w:t>1</w:t>
      </w:r>
      <w:r w:rsidR="00AA58F1" w:rsidRPr="0037121C">
        <w:rPr>
          <w:u w:val="single"/>
          <w:lang w:val="en-US"/>
        </w:rPr>
        <w:t>. It is recommended to use a nic</w:t>
      </w:r>
      <w:r w:rsidR="0037121C">
        <w:rPr>
          <w:u w:val="single"/>
          <w:lang w:val="en-US"/>
        </w:rPr>
        <w:t>kel/chromium</w:t>
      </w:r>
      <w:r w:rsidR="00AA58F1" w:rsidRPr="0037121C">
        <w:rPr>
          <w:u w:val="single"/>
          <w:lang w:val="en-US"/>
        </w:rPr>
        <w:t xml:space="preserve"> or </w:t>
      </w:r>
      <w:proofErr w:type="spellStart"/>
      <w:r w:rsidR="0037121C">
        <w:rPr>
          <w:u w:val="single"/>
          <w:lang w:val="en-US"/>
        </w:rPr>
        <w:t>A</w:t>
      </w:r>
      <w:r w:rsidR="00AA58F1" w:rsidRPr="0037121C">
        <w:rPr>
          <w:u w:val="single"/>
          <w:lang w:val="en-US"/>
        </w:rPr>
        <w:t>luchrom</w:t>
      </w:r>
      <w:proofErr w:type="spellEnd"/>
      <w:r w:rsidR="00AA58F1" w:rsidRPr="0037121C">
        <w:rPr>
          <w:u w:val="single"/>
          <w:lang w:val="en-US"/>
        </w:rPr>
        <w:t xml:space="preserve"> </w:t>
      </w:r>
      <w:r w:rsidR="00AA58F1" w:rsidRPr="001A098C">
        <w:rPr>
          <w:u w:val="single"/>
          <w:lang w:val="en-US"/>
        </w:rPr>
        <w:t xml:space="preserve">wire </w:t>
      </w:r>
      <w:r w:rsidR="0037121C" w:rsidRPr="001A098C">
        <w:rPr>
          <w:u w:val="single"/>
          <w:lang w:val="en-US"/>
        </w:rPr>
        <w:t>a</w:t>
      </w:r>
      <w:r w:rsidR="00AA58F1" w:rsidRPr="001A098C">
        <w:rPr>
          <w:u w:val="single"/>
          <w:lang w:val="en-US"/>
        </w:rPr>
        <w:t>s</w:t>
      </w:r>
      <w:r w:rsidR="0037121C" w:rsidRPr="001A098C">
        <w:rPr>
          <w:u w:val="single"/>
          <w:lang w:val="en-US"/>
        </w:rPr>
        <w:t xml:space="preserve"> follows</w:t>
      </w:r>
      <w:r w:rsidR="00AA58F1" w:rsidRPr="00AA58F1">
        <w:rPr>
          <w:lang w:val="en-US"/>
        </w:rPr>
        <w:t>:</w:t>
      </w:r>
    </w:p>
    <w:p w:rsidR="00AA58F1" w:rsidRPr="0037121C" w:rsidRDefault="00AA58F1" w:rsidP="00AE4E54">
      <w:pPr>
        <w:tabs>
          <w:tab w:val="left" w:pos="2127"/>
        </w:tabs>
        <w:ind w:left="2836" w:hanging="1135"/>
        <w:jc w:val="both"/>
        <w:rPr>
          <w:strike/>
          <w:lang w:val="en-CA"/>
        </w:rPr>
      </w:pPr>
      <w:r w:rsidRPr="0037121C">
        <w:rPr>
          <w:strike/>
          <w:lang w:val="en-CA"/>
        </w:rPr>
        <w:t>(a)</w:t>
      </w:r>
      <w:r w:rsidRPr="0037121C">
        <w:rPr>
          <w:strike/>
          <w:lang w:val="en-CA"/>
        </w:rPr>
        <w:tab/>
        <w:t>Length</w:t>
      </w:r>
      <w:r w:rsidRPr="0037121C">
        <w:rPr>
          <w:strike/>
          <w:lang w:val="en-CA"/>
        </w:rPr>
        <w:tab/>
      </w:r>
      <w:r w:rsidRPr="0037121C">
        <w:rPr>
          <w:strike/>
          <w:lang w:val="en-CA"/>
        </w:rPr>
        <w:tab/>
      </w:r>
      <w:r w:rsidRPr="0037121C">
        <w:rPr>
          <w:strike/>
          <w:lang w:val="en-CA"/>
        </w:rPr>
        <w:tab/>
      </w:r>
      <w:r w:rsidRPr="0037121C">
        <w:rPr>
          <w:strike/>
          <w:lang w:val="en-CA"/>
        </w:rPr>
        <w:tab/>
      </w:r>
      <w:r w:rsidRPr="0037121C">
        <w:rPr>
          <w:strike/>
          <w:lang w:val="en-CA"/>
        </w:rPr>
        <w:tab/>
      </w:r>
      <w:r w:rsidRPr="0037121C">
        <w:rPr>
          <w:strike/>
          <w:lang w:val="en-CA"/>
        </w:rPr>
        <w:tab/>
        <w:t>=</w:t>
      </w:r>
      <w:r w:rsidRPr="0037121C">
        <w:rPr>
          <w:strike/>
          <w:lang w:val="en-CA"/>
        </w:rPr>
        <w:tab/>
        <w:t>30 ± 1 cm;</w:t>
      </w:r>
    </w:p>
    <w:p w:rsidR="00AA58F1" w:rsidRPr="0037121C" w:rsidRDefault="00AA58F1" w:rsidP="00AE4E54">
      <w:pPr>
        <w:tabs>
          <w:tab w:val="left" w:pos="2127"/>
        </w:tabs>
        <w:ind w:left="2836" w:hanging="1135"/>
        <w:jc w:val="both"/>
        <w:rPr>
          <w:strike/>
          <w:lang w:val="en-CA"/>
        </w:rPr>
      </w:pPr>
      <w:r w:rsidRPr="0037121C">
        <w:rPr>
          <w:strike/>
          <w:lang w:val="en-CA"/>
        </w:rPr>
        <w:t>(b)</w:t>
      </w:r>
      <w:r w:rsidRPr="0037121C">
        <w:rPr>
          <w:strike/>
          <w:lang w:val="en-CA"/>
        </w:rPr>
        <w:tab/>
        <w:t>Diameter</w:t>
      </w:r>
      <w:r w:rsidRPr="0037121C">
        <w:rPr>
          <w:strike/>
          <w:lang w:val="en-CA"/>
        </w:rPr>
        <w:tab/>
      </w:r>
      <w:r w:rsidRPr="0037121C">
        <w:rPr>
          <w:strike/>
          <w:lang w:val="en-CA"/>
        </w:rPr>
        <w:tab/>
      </w:r>
      <w:r w:rsidRPr="0037121C">
        <w:rPr>
          <w:strike/>
          <w:lang w:val="en-CA"/>
        </w:rPr>
        <w:tab/>
      </w:r>
      <w:r w:rsidRPr="0037121C">
        <w:rPr>
          <w:strike/>
          <w:lang w:val="en-CA"/>
        </w:rPr>
        <w:tab/>
      </w:r>
      <w:r w:rsidRPr="0037121C">
        <w:rPr>
          <w:strike/>
          <w:lang w:val="en-CA"/>
        </w:rPr>
        <w:tab/>
        <w:t>=</w:t>
      </w:r>
      <w:r w:rsidRPr="0037121C">
        <w:rPr>
          <w:strike/>
          <w:lang w:val="en-CA"/>
        </w:rPr>
        <w:tab/>
        <w:t>0.6 ± 0.05 mm;</w:t>
      </w:r>
    </w:p>
    <w:p w:rsidR="00AA58F1" w:rsidRPr="0037121C" w:rsidRDefault="00AA58F1" w:rsidP="00AE4E54">
      <w:pPr>
        <w:tabs>
          <w:tab w:val="left" w:pos="2127"/>
        </w:tabs>
        <w:ind w:left="2836" w:hanging="1135"/>
        <w:jc w:val="both"/>
        <w:rPr>
          <w:strike/>
          <w:lang w:val="en-CA"/>
        </w:rPr>
      </w:pPr>
      <w:r w:rsidRPr="0037121C">
        <w:rPr>
          <w:strike/>
          <w:lang w:val="en-CA"/>
        </w:rPr>
        <w:t>(c)</w:t>
      </w:r>
      <w:r w:rsidRPr="0037121C">
        <w:rPr>
          <w:strike/>
          <w:lang w:val="en-CA"/>
        </w:rPr>
        <w:tab/>
        <w:t>Electrical resistance</w:t>
      </w:r>
      <w:r w:rsidRPr="0037121C">
        <w:rPr>
          <w:strike/>
          <w:lang w:val="en-CA"/>
        </w:rPr>
        <w:tab/>
      </w:r>
      <w:r w:rsidRPr="0037121C">
        <w:rPr>
          <w:strike/>
          <w:lang w:val="en-CA"/>
        </w:rPr>
        <w:tab/>
      </w:r>
      <w:r w:rsidRPr="0037121C">
        <w:rPr>
          <w:strike/>
          <w:lang w:val="en-CA"/>
        </w:rPr>
        <w:tab/>
      </w:r>
      <w:r w:rsidRPr="0037121C">
        <w:rPr>
          <w:strike/>
          <w:lang w:val="en-CA"/>
        </w:rPr>
        <w:tab/>
        <w:t>=</w:t>
      </w:r>
      <w:r w:rsidRPr="0037121C">
        <w:rPr>
          <w:strike/>
          <w:lang w:val="en-CA"/>
        </w:rPr>
        <w:tab/>
        <w:t>6.0 ± 0.5 Ω/m;</w:t>
      </w:r>
    </w:p>
    <w:p w:rsidR="00AA58F1" w:rsidRPr="0037121C" w:rsidRDefault="00AA58F1" w:rsidP="00AE4E54">
      <w:pPr>
        <w:tabs>
          <w:tab w:val="left" w:pos="2127"/>
        </w:tabs>
        <w:ind w:left="2836" w:hanging="1135"/>
        <w:jc w:val="both"/>
        <w:rPr>
          <w:strike/>
          <w:lang w:val="en-CA"/>
        </w:rPr>
      </w:pPr>
      <w:r w:rsidRPr="0037121C">
        <w:rPr>
          <w:strike/>
          <w:lang w:val="en-CA"/>
        </w:rPr>
        <w:t>(d)</w:t>
      </w:r>
      <w:r w:rsidRPr="0037121C">
        <w:rPr>
          <w:strike/>
          <w:lang w:val="en-CA"/>
        </w:rPr>
        <w:tab/>
        <w:t>Electrical power dissipated in the wire</w:t>
      </w:r>
      <w:r w:rsidRPr="0037121C">
        <w:rPr>
          <w:strike/>
          <w:lang w:val="en-CA"/>
        </w:rPr>
        <w:tab/>
        <w:t>=</w:t>
      </w:r>
      <w:r w:rsidRPr="0037121C">
        <w:rPr>
          <w:strike/>
          <w:lang w:val="en-CA"/>
        </w:rPr>
        <w:tab/>
        <w:t xml:space="preserve">150 ± 7 </w:t>
      </w:r>
      <w:proofErr w:type="gramStart"/>
      <w:r w:rsidRPr="0037121C">
        <w:rPr>
          <w:strike/>
          <w:lang w:val="en-CA"/>
        </w:rPr>
        <w:t>W .</w:t>
      </w:r>
      <w:proofErr w:type="gramEnd"/>
    </w:p>
    <w:p w:rsidR="00AA58F1" w:rsidRPr="00AA58F1" w:rsidRDefault="00AA58F1" w:rsidP="00AE4E54">
      <w:pPr>
        <w:tabs>
          <w:tab w:val="left" w:pos="567"/>
        </w:tabs>
        <w:spacing w:line="240" w:lineRule="auto"/>
        <w:ind w:left="1701" w:right="1133" w:hanging="1135"/>
        <w:jc w:val="both"/>
        <w:rPr>
          <w:highlight w:val="green"/>
        </w:rPr>
      </w:pPr>
    </w:p>
    <w:p w:rsidR="00AA58F1" w:rsidRPr="0037121C" w:rsidRDefault="00AA58F1" w:rsidP="00AE4E54">
      <w:pPr>
        <w:tabs>
          <w:tab w:val="left" w:pos="2127"/>
        </w:tabs>
        <w:ind w:left="2836" w:hanging="1135"/>
        <w:jc w:val="both"/>
        <w:rPr>
          <w:u w:val="single"/>
          <w:lang w:val="en-CA"/>
        </w:rPr>
      </w:pPr>
      <w:r w:rsidRPr="0037121C">
        <w:rPr>
          <w:u w:val="single"/>
          <w:lang w:val="en-CA"/>
        </w:rPr>
        <w:t>(a)</w:t>
      </w:r>
      <w:r w:rsidRPr="0037121C">
        <w:rPr>
          <w:u w:val="single"/>
          <w:lang w:val="en-CA"/>
        </w:rPr>
        <w:tab/>
        <w:t>Length</w:t>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00AE4E54">
        <w:rPr>
          <w:u w:val="single"/>
          <w:lang w:val="en-CA"/>
        </w:rPr>
        <w:tab/>
      </w:r>
      <w:r w:rsidRPr="0037121C">
        <w:rPr>
          <w:u w:val="single"/>
          <w:lang w:val="en-CA"/>
        </w:rPr>
        <w:t>= 30 cm ± 1 cm;</w:t>
      </w:r>
    </w:p>
    <w:p w:rsidR="00AA58F1" w:rsidRPr="0037121C" w:rsidRDefault="00AA58F1" w:rsidP="00AE4E54">
      <w:pPr>
        <w:tabs>
          <w:tab w:val="left" w:pos="2127"/>
        </w:tabs>
        <w:ind w:left="2836" w:hanging="1135"/>
        <w:jc w:val="both"/>
        <w:rPr>
          <w:u w:val="single"/>
          <w:lang w:val="en-CA"/>
        </w:rPr>
      </w:pPr>
      <w:r w:rsidRPr="0037121C">
        <w:rPr>
          <w:u w:val="single"/>
          <w:lang w:val="en-CA"/>
        </w:rPr>
        <w:t>(b)</w:t>
      </w:r>
      <w:r w:rsidRPr="0037121C">
        <w:rPr>
          <w:u w:val="single"/>
          <w:lang w:val="en-CA"/>
        </w:rPr>
        <w:tab/>
        <w:t>Diameter</w:t>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Pr="0037121C">
        <w:rPr>
          <w:u w:val="single"/>
          <w:lang w:val="en-CA"/>
        </w:rPr>
        <w:tab/>
      </w:r>
      <w:r w:rsidR="00AE4E54">
        <w:rPr>
          <w:u w:val="single"/>
          <w:lang w:val="en-CA"/>
        </w:rPr>
        <w:tab/>
      </w:r>
      <w:r w:rsidRPr="0037121C">
        <w:rPr>
          <w:u w:val="single"/>
          <w:lang w:val="en-CA"/>
        </w:rPr>
        <w:t>below 1 mm;</w:t>
      </w:r>
    </w:p>
    <w:p w:rsidR="00AA58F1" w:rsidRPr="0037121C" w:rsidRDefault="00AA58F1" w:rsidP="00AE4E54">
      <w:pPr>
        <w:tabs>
          <w:tab w:val="left" w:pos="2127"/>
        </w:tabs>
        <w:ind w:left="2836" w:hanging="1135"/>
        <w:jc w:val="both"/>
        <w:rPr>
          <w:u w:val="single"/>
          <w:lang w:val="en-CA"/>
        </w:rPr>
      </w:pPr>
      <w:r w:rsidRPr="0037121C">
        <w:rPr>
          <w:u w:val="single"/>
          <w:lang w:val="en-CA"/>
        </w:rPr>
        <w:t>(c)</w:t>
      </w:r>
      <w:r w:rsidRPr="0037121C">
        <w:rPr>
          <w:u w:val="single"/>
          <w:lang w:val="en-CA"/>
        </w:rPr>
        <w:tab/>
        <w:t>Electrical power dissipated in the wire</w:t>
      </w:r>
      <w:r w:rsidRPr="0037121C">
        <w:rPr>
          <w:u w:val="single"/>
          <w:lang w:val="en-CA"/>
        </w:rPr>
        <w:tab/>
      </w:r>
      <w:r w:rsidR="00AE4E54">
        <w:rPr>
          <w:u w:val="single"/>
          <w:lang w:val="en-CA"/>
        </w:rPr>
        <w:tab/>
      </w:r>
      <w:r w:rsidRPr="0037121C">
        <w:rPr>
          <w:u w:val="single"/>
          <w:lang w:val="en-CA"/>
        </w:rPr>
        <w:t>= 150 W ± 7 W.</w:t>
      </w:r>
    </w:p>
    <w:p w:rsidR="00AA58F1" w:rsidRDefault="00AA58F1" w:rsidP="00AE4E54">
      <w:pPr>
        <w:pStyle w:val="SingleTxtG"/>
        <w:spacing w:before="240"/>
        <w:ind w:firstLine="567"/>
      </w:pPr>
      <w:r>
        <w:t>The wire should be shaped as in Figure</w:t>
      </w:r>
      <w:r>
        <w:rPr>
          <w:spacing w:val="-1"/>
        </w:rPr>
        <w:t xml:space="preserve"> </w:t>
      </w:r>
      <w:r>
        <w:t>34.4.1.1.</w:t>
      </w:r>
      <w:r w:rsidR="00F95F84">
        <w:t>”.</w:t>
      </w:r>
    </w:p>
    <w:p w:rsidR="00345B7B" w:rsidRPr="00287306" w:rsidRDefault="00345B7B" w:rsidP="00345B7B">
      <w:pPr>
        <w:tabs>
          <w:tab w:val="left" w:pos="567"/>
        </w:tabs>
        <w:spacing w:line="240" w:lineRule="auto"/>
        <w:ind w:left="851" w:right="1133"/>
        <w:jc w:val="center"/>
        <w:rPr>
          <w:lang w:val="en-US"/>
        </w:rPr>
      </w:pPr>
      <w:r w:rsidRPr="0006230A">
        <w:rPr>
          <w:lang w:val="en-US"/>
        </w:rPr>
        <w:t>_______________</w:t>
      </w:r>
    </w:p>
    <w:sectPr w:rsidR="00345B7B" w:rsidRPr="00287306" w:rsidSect="006D12B1">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303" w:rsidRDefault="00A90303"/>
  </w:endnote>
  <w:endnote w:type="continuationSeparator" w:id="0">
    <w:p w:rsidR="00A90303" w:rsidRDefault="00A90303"/>
  </w:endnote>
  <w:endnote w:type="continuationNotice" w:id="1">
    <w:p w:rsidR="00A90303" w:rsidRDefault="00A90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8E5763"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EC3CC8">
      <w:rPr>
        <w:b/>
        <w:noProof/>
        <w:sz w:val="18"/>
      </w:rPr>
      <w:t>4</w:t>
    </w:r>
    <w:r w:rsidRPr="006D12B1">
      <w:rPr>
        <w:b/>
        <w:sz w:val="18"/>
      </w:rPr>
      <w:fldChar w:fldCharType="end"/>
    </w:r>
    <w:r w:rsidR="006B20F6">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8E5763" w:rsidRPr="006D12B1">
      <w:rPr>
        <w:b/>
        <w:sz w:val="18"/>
      </w:rPr>
      <w:fldChar w:fldCharType="begin"/>
    </w:r>
    <w:r w:rsidRPr="006D12B1">
      <w:rPr>
        <w:b/>
        <w:sz w:val="18"/>
      </w:rPr>
      <w:instrText xml:space="preserve"> PAGE  \* MERGEFORMAT </w:instrText>
    </w:r>
    <w:r w:rsidR="008E5763" w:rsidRPr="006D12B1">
      <w:rPr>
        <w:b/>
        <w:sz w:val="18"/>
      </w:rPr>
      <w:fldChar w:fldCharType="separate"/>
    </w:r>
    <w:r w:rsidR="00EC3CC8">
      <w:rPr>
        <w:b/>
        <w:noProof/>
        <w:sz w:val="18"/>
      </w:rPr>
      <w:t>5</w:t>
    </w:r>
    <w:r w:rsidR="008E5763"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303" w:rsidRPr="000B175B" w:rsidRDefault="00A90303" w:rsidP="000B175B">
      <w:pPr>
        <w:tabs>
          <w:tab w:val="right" w:pos="2155"/>
        </w:tabs>
        <w:spacing w:after="80"/>
        <w:ind w:left="680"/>
        <w:rPr>
          <w:u w:val="single"/>
        </w:rPr>
      </w:pPr>
      <w:r>
        <w:rPr>
          <w:u w:val="single"/>
        </w:rPr>
        <w:tab/>
      </w:r>
    </w:p>
  </w:footnote>
  <w:footnote w:type="continuationSeparator" w:id="0">
    <w:p w:rsidR="00A90303" w:rsidRPr="00FC68B7" w:rsidRDefault="00A90303" w:rsidP="00FC68B7">
      <w:pPr>
        <w:tabs>
          <w:tab w:val="left" w:pos="2155"/>
        </w:tabs>
        <w:spacing w:after="80"/>
        <w:ind w:left="680"/>
        <w:rPr>
          <w:u w:val="single"/>
        </w:rPr>
      </w:pPr>
      <w:r>
        <w:rPr>
          <w:u w:val="single"/>
        </w:rPr>
        <w:tab/>
      </w:r>
    </w:p>
  </w:footnote>
  <w:footnote w:type="continuationNotice" w:id="1">
    <w:p w:rsidR="00A90303" w:rsidRDefault="00A90303"/>
  </w:footnote>
  <w:footnote w:id="2">
    <w:p w:rsidR="00806437" w:rsidRPr="00806437" w:rsidRDefault="00806437" w:rsidP="00C1473B">
      <w:pPr>
        <w:pStyle w:val="FootnoteText"/>
        <w:tabs>
          <w:tab w:val="left" w:pos="1418"/>
        </w:tabs>
        <w:ind w:firstLine="0"/>
        <w:rPr>
          <w:lang w:val="fr-CH"/>
        </w:rPr>
      </w:pPr>
      <w:r>
        <w:rPr>
          <w:rStyle w:val="FootnoteReference"/>
        </w:rPr>
        <w:t>*</w:t>
      </w:r>
      <w:r>
        <w:tab/>
      </w:r>
      <w:r w:rsidRPr="00D30605">
        <w:rPr>
          <w:lang w:val="en-US"/>
        </w:rPr>
        <w:t xml:space="preserve">In accordance with the </w:t>
      </w:r>
      <w:proofErr w:type="spellStart"/>
      <w:r w:rsidRPr="00D30605">
        <w:rPr>
          <w:lang w:val="en-US"/>
        </w:rPr>
        <w:t>programme</w:t>
      </w:r>
      <w:proofErr w:type="spellEnd"/>
      <w:r w:rsidRPr="00D30605">
        <w:rPr>
          <w:lang w:val="en-US"/>
        </w:rPr>
        <w:t xml:space="preserve"> of work of the Sub-Committee for 2017-2018 approved by the Committee at its eighth session (see ST/SG/AC.10/C.3/100, paragraph 98 and ST/SG/AC.10/44, para. 14)</w:t>
      </w:r>
    </w:p>
  </w:footnote>
  <w:footnote w:id="3">
    <w:p w:rsidR="00806437" w:rsidRPr="00806437" w:rsidRDefault="00806437" w:rsidP="00BF5D9D">
      <w:pPr>
        <w:pStyle w:val="FootnoteText"/>
        <w:tabs>
          <w:tab w:val="left" w:pos="1418"/>
        </w:tabs>
        <w:ind w:firstLine="0"/>
        <w:rPr>
          <w:lang w:val="fr-CH"/>
        </w:rPr>
      </w:pPr>
      <w:r>
        <w:rPr>
          <w:rStyle w:val="FootnoteReference"/>
        </w:rPr>
        <w:t>1</w:t>
      </w:r>
      <w:r w:rsidR="00BF5D9D">
        <w:tab/>
      </w:r>
      <w:r w:rsidRPr="00376116">
        <w:rPr>
          <w:lang w:val="en-US"/>
        </w:rPr>
        <w:t>A 50% aqueous solution of perchloric acid is already the reference substance for allocation of PGI</w:t>
      </w:r>
    </w:p>
  </w:footnote>
  <w:footnote w:id="4">
    <w:p w:rsidR="00662E45" w:rsidRPr="00662E45" w:rsidRDefault="00662E45" w:rsidP="00C1473B">
      <w:pPr>
        <w:pStyle w:val="FootnoteText"/>
        <w:tabs>
          <w:tab w:val="left" w:pos="1560"/>
        </w:tabs>
        <w:ind w:firstLine="0"/>
        <w:rPr>
          <w:lang w:val="fr-CH"/>
        </w:rPr>
      </w:pPr>
      <w:r>
        <w:rPr>
          <w:rStyle w:val="FootnoteReference"/>
        </w:rPr>
        <w:t>2</w:t>
      </w:r>
      <w:r>
        <w:t xml:space="preserve"> </w:t>
      </w:r>
      <w:r w:rsidR="00C1473B">
        <w:tab/>
      </w:r>
      <w:r w:rsidRPr="00376116">
        <w:rPr>
          <w:lang w:val="en-US"/>
        </w:rPr>
        <w:t xml:space="preserve">Hiroshi </w:t>
      </w:r>
      <w:proofErr w:type="spellStart"/>
      <w:r w:rsidRPr="00376116">
        <w:rPr>
          <w:lang w:val="en-US"/>
        </w:rPr>
        <w:t>Koseki</w:t>
      </w:r>
      <w:proofErr w:type="spellEnd"/>
      <w:r w:rsidRPr="00376116">
        <w:rPr>
          <w:lang w:val="en-US"/>
        </w:rPr>
        <w:t xml:space="preserve"> in Journal of Loss Prevention in the Process Industries 14 (2001) 431–434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8E071B">
    <w:pPr>
      <w:pStyle w:val="Header"/>
    </w:pPr>
    <w:r>
      <w:t>ST/SG/AC.10/C.3/201</w:t>
    </w:r>
    <w:r w:rsidR="00806437">
      <w:t>8</w:t>
    </w:r>
    <w:r>
      <w:t>/</w:t>
    </w:r>
    <w:r w:rsidR="00806437">
      <w:t>35</w:t>
    </w:r>
    <w:r>
      <w:br/>
      <w:t>ST/SG/AC.10/C.4/201</w:t>
    </w:r>
    <w:r w:rsidR="00806437">
      <w:t>8</w:t>
    </w:r>
    <w:r>
      <w:t>/</w:t>
    </w:r>
    <w:r w:rsidR="0080643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1F4C6A" w:rsidP="006D12B1">
    <w:pPr>
      <w:pStyle w:val="Header"/>
      <w:jc w:val="right"/>
    </w:pPr>
    <w:r>
      <w:t>ST/SG/AC.10/C.3/201</w:t>
    </w:r>
    <w:r w:rsidR="00806437">
      <w:t>8</w:t>
    </w:r>
    <w:r>
      <w:t>/</w:t>
    </w:r>
    <w:r w:rsidR="00806437">
      <w:t>35</w:t>
    </w:r>
    <w:r>
      <w:br/>
      <w:t>ST/SG/AC.10/C.4/201</w:t>
    </w:r>
    <w:r w:rsidR="00806437">
      <w:t>8</w:t>
    </w:r>
    <w:r>
      <w:t>/</w:t>
    </w:r>
    <w:r w:rsidR="00806437">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A04973"/>
    <w:multiLevelType w:val="multilevel"/>
    <w:tmpl w:val="6DB069D2"/>
    <w:lvl w:ilvl="0">
      <w:start w:val="34"/>
      <w:numFmt w:val="decimal"/>
      <w:lvlText w:val="%1"/>
      <w:lvlJc w:val="left"/>
      <w:pPr>
        <w:ind w:left="1532" w:hanging="1419"/>
      </w:pPr>
      <w:rPr>
        <w:rFonts w:hint="default"/>
      </w:rPr>
    </w:lvl>
    <w:lvl w:ilvl="1">
      <w:start w:val="1"/>
      <w:numFmt w:val="decimal"/>
      <w:lvlText w:val="%1.%2"/>
      <w:lvlJc w:val="left"/>
      <w:pPr>
        <w:ind w:left="1532" w:hanging="1419"/>
      </w:pPr>
      <w:rPr>
        <w:rFonts w:ascii="Times New Roman" w:eastAsia="Times New Roman" w:hAnsi="Times New Roman" w:hint="default"/>
        <w:b/>
        <w:bCs/>
        <w:color w:val="231F20"/>
        <w:w w:val="99"/>
        <w:sz w:val="22"/>
        <w:szCs w:val="22"/>
      </w:rPr>
    </w:lvl>
    <w:lvl w:ilvl="2">
      <w:start w:val="1"/>
      <w:numFmt w:val="decimal"/>
      <w:lvlText w:val="%1.%2.%3"/>
      <w:lvlJc w:val="left"/>
      <w:pPr>
        <w:ind w:left="113" w:hanging="1419"/>
      </w:pPr>
      <w:rPr>
        <w:rFonts w:ascii="Times New Roman" w:eastAsia="Times New Roman" w:hAnsi="Times New Roman" w:hint="default"/>
        <w:color w:val="231F20"/>
        <w:sz w:val="22"/>
        <w:szCs w:val="22"/>
      </w:rPr>
    </w:lvl>
    <w:lvl w:ilvl="3">
      <w:start w:val="1"/>
      <w:numFmt w:val="decimal"/>
      <w:lvlText w:val="%1.%2.%3.%4"/>
      <w:lvlJc w:val="left"/>
      <w:pPr>
        <w:ind w:left="1532" w:hanging="1419"/>
      </w:pPr>
      <w:rPr>
        <w:rFonts w:ascii="Times New Roman" w:eastAsia="Times New Roman" w:hAnsi="Times New Roman" w:hint="default"/>
        <w:color w:val="231F20"/>
        <w:sz w:val="22"/>
        <w:szCs w:val="22"/>
      </w:rPr>
    </w:lvl>
    <w:lvl w:ilvl="4">
      <w:start w:val="1"/>
      <w:numFmt w:val="decimal"/>
      <w:lvlText w:val="%1.%2.%3.%4.%5"/>
      <w:lvlJc w:val="left"/>
      <w:pPr>
        <w:ind w:left="113" w:hanging="1418"/>
      </w:pPr>
      <w:rPr>
        <w:rFonts w:ascii="Times New Roman" w:eastAsia="Times New Roman" w:hAnsi="Times New Roman" w:hint="default"/>
        <w:color w:val="231F20"/>
        <w:spacing w:val="-1"/>
        <w:sz w:val="22"/>
        <w:szCs w:val="22"/>
      </w:rPr>
    </w:lvl>
    <w:lvl w:ilvl="5">
      <w:start w:val="1"/>
      <w:numFmt w:val="lowerLetter"/>
      <w:lvlText w:val="(%6)"/>
      <w:lvlJc w:val="left"/>
      <w:pPr>
        <w:ind w:left="2099" w:hanging="567"/>
      </w:pPr>
      <w:rPr>
        <w:rFonts w:ascii="Times New Roman" w:eastAsia="Times New Roman" w:hAnsi="Times New Roman" w:hint="default"/>
        <w:color w:val="231F20"/>
        <w:spacing w:val="-1"/>
        <w:sz w:val="22"/>
        <w:szCs w:val="22"/>
      </w:rPr>
    </w:lvl>
    <w:lvl w:ilvl="6">
      <w:start w:val="1"/>
      <w:numFmt w:val="bullet"/>
      <w:lvlText w:val="•"/>
      <w:lvlJc w:val="left"/>
      <w:pPr>
        <w:ind w:left="1532" w:hanging="567"/>
      </w:pPr>
      <w:rPr>
        <w:rFonts w:hint="default"/>
      </w:rPr>
    </w:lvl>
    <w:lvl w:ilvl="7">
      <w:start w:val="1"/>
      <w:numFmt w:val="bullet"/>
      <w:lvlText w:val="•"/>
      <w:lvlJc w:val="left"/>
      <w:pPr>
        <w:ind w:left="1532" w:hanging="567"/>
      </w:pPr>
      <w:rPr>
        <w:rFonts w:hint="default"/>
      </w:rPr>
    </w:lvl>
    <w:lvl w:ilvl="8">
      <w:start w:val="1"/>
      <w:numFmt w:val="bullet"/>
      <w:lvlText w:val="•"/>
      <w:lvlJc w:val="left"/>
      <w:pPr>
        <w:ind w:left="2099" w:hanging="567"/>
      </w:pPr>
      <w:rPr>
        <w:rFont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4241"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3"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1"/>
  </w:num>
  <w:num w:numId="15">
    <w:abstractNumId w:val="24"/>
  </w:num>
  <w:num w:numId="16">
    <w:abstractNumId w:val="13"/>
  </w:num>
  <w:num w:numId="17">
    <w:abstractNumId w:val="17"/>
  </w:num>
  <w:num w:numId="18">
    <w:abstractNumId w:val="16"/>
  </w:num>
  <w:num w:numId="19">
    <w:abstractNumId w:val="23"/>
  </w:num>
  <w:num w:numId="20">
    <w:abstractNumId w:val="19"/>
  </w:num>
  <w:num w:numId="21">
    <w:abstractNumId w:val="15"/>
  </w:num>
  <w:num w:numId="22">
    <w:abstractNumId w:val="10"/>
  </w:num>
  <w:num w:numId="23">
    <w:abstractNumId w:val="22"/>
  </w:num>
  <w:num w:numId="24">
    <w:abstractNumId w:val="18"/>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B1"/>
    <w:rsid w:val="00003D68"/>
    <w:rsid w:val="00023F08"/>
    <w:rsid w:val="00047D68"/>
    <w:rsid w:val="00047F82"/>
    <w:rsid w:val="000504CE"/>
    <w:rsid w:val="00050F6B"/>
    <w:rsid w:val="00053284"/>
    <w:rsid w:val="0006230A"/>
    <w:rsid w:val="00063D74"/>
    <w:rsid w:val="00072C8C"/>
    <w:rsid w:val="00083B73"/>
    <w:rsid w:val="00084369"/>
    <w:rsid w:val="00091419"/>
    <w:rsid w:val="0009150D"/>
    <w:rsid w:val="000931C0"/>
    <w:rsid w:val="000A254F"/>
    <w:rsid w:val="000A5147"/>
    <w:rsid w:val="000B175B"/>
    <w:rsid w:val="000B3A0F"/>
    <w:rsid w:val="000B6007"/>
    <w:rsid w:val="000C2086"/>
    <w:rsid w:val="000C2846"/>
    <w:rsid w:val="000D38D6"/>
    <w:rsid w:val="000D58F6"/>
    <w:rsid w:val="000E0415"/>
    <w:rsid w:val="000F7AB3"/>
    <w:rsid w:val="00115C6E"/>
    <w:rsid w:val="001174B6"/>
    <w:rsid w:val="00117787"/>
    <w:rsid w:val="001206C9"/>
    <w:rsid w:val="00131D42"/>
    <w:rsid w:val="00140635"/>
    <w:rsid w:val="001633FB"/>
    <w:rsid w:val="00167786"/>
    <w:rsid w:val="00177B67"/>
    <w:rsid w:val="00187F67"/>
    <w:rsid w:val="001A098C"/>
    <w:rsid w:val="001A537C"/>
    <w:rsid w:val="001B4B04"/>
    <w:rsid w:val="001C6663"/>
    <w:rsid w:val="001C7526"/>
    <w:rsid w:val="001C7895"/>
    <w:rsid w:val="001D26DF"/>
    <w:rsid w:val="001D2FDC"/>
    <w:rsid w:val="001D5FBA"/>
    <w:rsid w:val="001D79DB"/>
    <w:rsid w:val="001E1CD5"/>
    <w:rsid w:val="001F3FA0"/>
    <w:rsid w:val="001F4C6A"/>
    <w:rsid w:val="002016FA"/>
    <w:rsid w:val="00210B9C"/>
    <w:rsid w:val="002114DD"/>
    <w:rsid w:val="00211E0B"/>
    <w:rsid w:val="00212DFA"/>
    <w:rsid w:val="00213AFD"/>
    <w:rsid w:val="00221E51"/>
    <w:rsid w:val="002309A7"/>
    <w:rsid w:val="00237785"/>
    <w:rsid w:val="00241466"/>
    <w:rsid w:val="00241743"/>
    <w:rsid w:val="00264DB4"/>
    <w:rsid w:val="002656C7"/>
    <w:rsid w:val="002725CA"/>
    <w:rsid w:val="00274950"/>
    <w:rsid w:val="00280EB7"/>
    <w:rsid w:val="00286DC6"/>
    <w:rsid w:val="002A6586"/>
    <w:rsid w:val="002B1CDA"/>
    <w:rsid w:val="002C1AE8"/>
    <w:rsid w:val="0030379C"/>
    <w:rsid w:val="00306458"/>
    <w:rsid w:val="003107FA"/>
    <w:rsid w:val="0032058E"/>
    <w:rsid w:val="003229D8"/>
    <w:rsid w:val="00337633"/>
    <w:rsid w:val="00345B7B"/>
    <w:rsid w:val="0034759C"/>
    <w:rsid w:val="003529A8"/>
    <w:rsid w:val="0036127B"/>
    <w:rsid w:val="0037121C"/>
    <w:rsid w:val="00376116"/>
    <w:rsid w:val="0039277A"/>
    <w:rsid w:val="00397267"/>
    <w:rsid w:val="003972E0"/>
    <w:rsid w:val="003A0C75"/>
    <w:rsid w:val="003A25EB"/>
    <w:rsid w:val="003A58B0"/>
    <w:rsid w:val="003B3726"/>
    <w:rsid w:val="003C2CC4"/>
    <w:rsid w:val="003C7B41"/>
    <w:rsid w:val="003D4B23"/>
    <w:rsid w:val="003E12A4"/>
    <w:rsid w:val="003E211B"/>
    <w:rsid w:val="003E5B28"/>
    <w:rsid w:val="00417F5E"/>
    <w:rsid w:val="0042233A"/>
    <w:rsid w:val="004325CB"/>
    <w:rsid w:val="00437F3F"/>
    <w:rsid w:val="00442DF8"/>
    <w:rsid w:val="00445D25"/>
    <w:rsid w:val="00446DE4"/>
    <w:rsid w:val="00454036"/>
    <w:rsid w:val="004635D0"/>
    <w:rsid w:val="00465AFB"/>
    <w:rsid w:val="00477D30"/>
    <w:rsid w:val="00483009"/>
    <w:rsid w:val="00485492"/>
    <w:rsid w:val="004A4CF1"/>
    <w:rsid w:val="004B2C9D"/>
    <w:rsid w:val="004C6FBA"/>
    <w:rsid w:val="004E05DD"/>
    <w:rsid w:val="004E10D4"/>
    <w:rsid w:val="004E47E3"/>
    <w:rsid w:val="004F0881"/>
    <w:rsid w:val="004F3384"/>
    <w:rsid w:val="00527910"/>
    <w:rsid w:val="00534038"/>
    <w:rsid w:val="005420F2"/>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7602"/>
    <w:rsid w:val="00611FC4"/>
    <w:rsid w:val="00614E44"/>
    <w:rsid w:val="006176FB"/>
    <w:rsid w:val="00625E3D"/>
    <w:rsid w:val="00630C9C"/>
    <w:rsid w:val="00632868"/>
    <w:rsid w:val="0063419C"/>
    <w:rsid w:val="00640B26"/>
    <w:rsid w:val="0064599F"/>
    <w:rsid w:val="006500BA"/>
    <w:rsid w:val="006547FF"/>
    <w:rsid w:val="00662E45"/>
    <w:rsid w:val="00665835"/>
    <w:rsid w:val="006663B4"/>
    <w:rsid w:val="00666A12"/>
    <w:rsid w:val="00666C9B"/>
    <w:rsid w:val="00666E76"/>
    <w:rsid w:val="006949CA"/>
    <w:rsid w:val="006A7392"/>
    <w:rsid w:val="006B20F6"/>
    <w:rsid w:val="006C0D34"/>
    <w:rsid w:val="006D12B1"/>
    <w:rsid w:val="006D2C08"/>
    <w:rsid w:val="006E564B"/>
    <w:rsid w:val="006F2F51"/>
    <w:rsid w:val="00704CDB"/>
    <w:rsid w:val="00711C13"/>
    <w:rsid w:val="00717D71"/>
    <w:rsid w:val="007221B3"/>
    <w:rsid w:val="00724B47"/>
    <w:rsid w:val="0072632A"/>
    <w:rsid w:val="00744314"/>
    <w:rsid w:val="0074549D"/>
    <w:rsid w:val="00755888"/>
    <w:rsid w:val="00770D12"/>
    <w:rsid w:val="00770DE8"/>
    <w:rsid w:val="00774DC9"/>
    <w:rsid w:val="00790791"/>
    <w:rsid w:val="0079329B"/>
    <w:rsid w:val="00796AE1"/>
    <w:rsid w:val="007A022A"/>
    <w:rsid w:val="007A19A5"/>
    <w:rsid w:val="007B08A0"/>
    <w:rsid w:val="007B1A7E"/>
    <w:rsid w:val="007B6BA5"/>
    <w:rsid w:val="007C2411"/>
    <w:rsid w:val="007C3390"/>
    <w:rsid w:val="007C4F4B"/>
    <w:rsid w:val="007E79E3"/>
    <w:rsid w:val="007F6611"/>
    <w:rsid w:val="00800367"/>
    <w:rsid w:val="00806437"/>
    <w:rsid w:val="008175E9"/>
    <w:rsid w:val="00823B1A"/>
    <w:rsid w:val="008242D7"/>
    <w:rsid w:val="00824C37"/>
    <w:rsid w:val="008650F3"/>
    <w:rsid w:val="00871169"/>
    <w:rsid w:val="00871FD5"/>
    <w:rsid w:val="00876878"/>
    <w:rsid w:val="00884FD0"/>
    <w:rsid w:val="008910B9"/>
    <w:rsid w:val="00895E97"/>
    <w:rsid w:val="008979B1"/>
    <w:rsid w:val="008A3016"/>
    <w:rsid w:val="008A6B25"/>
    <w:rsid w:val="008A6C4F"/>
    <w:rsid w:val="008B24C8"/>
    <w:rsid w:val="008D53CE"/>
    <w:rsid w:val="008E071B"/>
    <w:rsid w:val="008E0E46"/>
    <w:rsid w:val="008E5763"/>
    <w:rsid w:val="008F79EE"/>
    <w:rsid w:val="00904B37"/>
    <w:rsid w:val="009255A2"/>
    <w:rsid w:val="009303E6"/>
    <w:rsid w:val="00945A5D"/>
    <w:rsid w:val="00946A04"/>
    <w:rsid w:val="0095690E"/>
    <w:rsid w:val="00957117"/>
    <w:rsid w:val="00963CBA"/>
    <w:rsid w:val="009854F2"/>
    <w:rsid w:val="0099124E"/>
    <w:rsid w:val="00991261"/>
    <w:rsid w:val="0099476F"/>
    <w:rsid w:val="009A220D"/>
    <w:rsid w:val="009B4C36"/>
    <w:rsid w:val="009B4E26"/>
    <w:rsid w:val="009C4C96"/>
    <w:rsid w:val="009D1AAE"/>
    <w:rsid w:val="009D21EA"/>
    <w:rsid w:val="009D2254"/>
    <w:rsid w:val="009E3E43"/>
    <w:rsid w:val="009E523D"/>
    <w:rsid w:val="009F0F06"/>
    <w:rsid w:val="00A1427D"/>
    <w:rsid w:val="00A3012E"/>
    <w:rsid w:val="00A310BE"/>
    <w:rsid w:val="00A357CC"/>
    <w:rsid w:val="00A50007"/>
    <w:rsid w:val="00A53850"/>
    <w:rsid w:val="00A60C34"/>
    <w:rsid w:val="00A713FC"/>
    <w:rsid w:val="00A72F22"/>
    <w:rsid w:val="00A73040"/>
    <w:rsid w:val="00A748A6"/>
    <w:rsid w:val="00A74A73"/>
    <w:rsid w:val="00A74EF3"/>
    <w:rsid w:val="00A75B6F"/>
    <w:rsid w:val="00A75EC9"/>
    <w:rsid w:val="00A8523D"/>
    <w:rsid w:val="00A879A4"/>
    <w:rsid w:val="00A90303"/>
    <w:rsid w:val="00A93914"/>
    <w:rsid w:val="00A93EFD"/>
    <w:rsid w:val="00AA58F1"/>
    <w:rsid w:val="00AC12E0"/>
    <w:rsid w:val="00AC4017"/>
    <w:rsid w:val="00AE06E2"/>
    <w:rsid w:val="00AE4E54"/>
    <w:rsid w:val="00AF17E0"/>
    <w:rsid w:val="00AF523B"/>
    <w:rsid w:val="00B2670F"/>
    <w:rsid w:val="00B30179"/>
    <w:rsid w:val="00B3094C"/>
    <w:rsid w:val="00B3317B"/>
    <w:rsid w:val="00B4226A"/>
    <w:rsid w:val="00B431FF"/>
    <w:rsid w:val="00B54409"/>
    <w:rsid w:val="00B63B75"/>
    <w:rsid w:val="00B707EC"/>
    <w:rsid w:val="00B81E12"/>
    <w:rsid w:val="00B85A05"/>
    <w:rsid w:val="00B93068"/>
    <w:rsid w:val="00B94CD7"/>
    <w:rsid w:val="00BB0133"/>
    <w:rsid w:val="00BB027F"/>
    <w:rsid w:val="00BC74E9"/>
    <w:rsid w:val="00BD36F7"/>
    <w:rsid w:val="00BE618E"/>
    <w:rsid w:val="00BF169C"/>
    <w:rsid w:val="00BF26A6"/>
    <w:rsid w:val="00BF5D9D"/>
    <w:rsid w:val="00BF7DE7"/>
    <w:rsid w:val="00C1473B"/>
    <w:rsid w:val="00C25225"/>
    <w:rsid w:val="00C32725"/>
    <w:rsid w:val="00C44E98"/>
    <w:rsid w:val="00C463DD"/>
    <w:rsid w:val="00C62F76"/>
    <w:rsid w:val="00C745C3"/>
    <w:rsid w:val="00C7487E"/>
    <w:rsid w:val="00C97788"/>
    <w:rsid w:val="00CA1CA1"/>
    <w:rsid w:val="00CA2FB6"/>
    <w:rsid w:val="00CC5473"/>
    <w:rsid w:val="00CC5FB1"/>
    <w:rsid w:val="00CD3225"/>
    <w:rsid w:val="00CD5FED"/>
    <w:rsid w:val="00CE46BA"/>
    <w:rsid w:val="00CE4A8F"/>
    <w:rsid w:val="00CE57DA"/>
    <w:rsid w:val="00CF03B5"/>
    <w:rsid w:val="00CF5E82"/>
    <w:rsid w:val="00CF7E49"/>
    <w:rsid w:val="00D2031B"/>
    <w:rsid w:val="00D24605"/>
    <w:rsid w:val="00D25FE2"/>
    <w:rsid w:val="00D30605"/>
    <w:rsid w:val="00D327F7"/>
    <w:rsid w:val="00D35BDD"/>
    <w:rsid w:val="00D43252"/>
    <w:rsid w:val="00D46231"/>
    <w:rsid w:val="00D625F6"/>
    <w:rsid w:val="00D71E33"/>
    <w:rsid w:val="00D729F2"/>
    <w:rsid w:val="00D753D8"/>
    <w:rsid w:val="00D83B2B"/>
    <w:rsid w:val="00D9684A"/>
    <w:rsid w:val="00D96CC5"/>
    <w:rsid w:val="00D978C6"/>
    <w:rsid w:val="00DA67AD"/>
    <w:rsid w:val="00DB2840"/>
    <w:rsid w:val="00DD62B9"/>
    <w:rsid w:val="00DD66D0"/>
    <w:rsid w:val="00DF18E3"/>
    <w:rsid w:val="00E130AB"/>
    <w:rsid w:val="00E1345B"/>
    <w:rsid w:val="00E1679E"/>
    <w:rsid w:val="00E1796F"/>
    <w:rsid w:val="00E207EC"/>
    <w:rsid w:val="00E42BCF"/>
    <w:rsid w:val="00E5644E"/>
    <w:rsid w:val="00E61617"/>
    <w:rsid w:val="00E7260F"/>
    <w:rsid w:val="00E81230"/>
    <w:rsid w:val="00E8535A"/>
    <w:rsid w:val="00E933C4"/>
    <w:rsid w:val="00E96386"/>
    <w:rsid w:val="00E96630"/>
    <w:rsid w:val="00E96952"/>
    <w:rsid w:val="00EA6E78"/>
    <w:rsid w:val="00EA772F"/>
    <w:rsid w:val="00EB6832"/>
    <w:rsid w:val="00EC271A"/>
    <w:rsid w:val="00EC3CC8"/>
    <w:rsid w:val="00EC4D9F"/>
    <w:rsid w:val="00ED14CB"/>
    <w:rsid w:val="00ED4A3F"/>
    <w:rsid w:val="00ED7A2A"/>
    <w:rsid w:val="00EE7FDC"/>
    <w:rsid w:val="00EF1D7F"/>
    <w:rsid w:val="00F0135D"/>
    <w:rsid w:val="00F061BF"/>
    <w:rsid w:val="00F22FBC"/>
    <w:rsid w:val="00F40E75"/>
    <w:rsid w:val="00F46C61"/>
    <w:rsid w:val="00F52545"/>
    <w:rsid w:val="00F54674"/>
    <w:rsid w:val="00F608CD"/>
    <w:rsid w:val="00F9331F"/>
    <w:rsid w:val="00F95F84"/>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B5F097"/>
  <w15:docId w15:val="{FB7B5947-51C0-4ED8-8B96-B685FB8E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7F457BD0-B14D-467D-9608-4F7FAA2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28</TotalTime>
  <Pages>5</Pages>
  <Words>2080</Words>
  <Characters>10717</Characters>
  <Application>Microsoft Office Word</Application>
  <DocSecurity>0</DocSecurity>
  <Lines>196</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12778</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Lionel AUFAUVRE</dc:creator>
  <cp:lastModifiedBy>Laurence Berthet</cp:lastModifiedBy>
  <cp:revision>10</cp:revision>
  <cp:lastPrinted>2018-04-04T06:19:00Z</cp:lastPrinted>
  <dcterms:created xsi:type="dcterms:W3CDTF">2018-03-29T15:08:00Z</dcterms:created>
  <dcterms:modified xsi:type="dcterms:W3CDTF">2018-04-04T06:20:00Z</dcterms:modified>
</cp:coreProperties>
</file>