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9920E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9920E7" w:rsidP="009920E7">
            <w:pPr>
              <w:jc w:val="right"/>
            </w:pPr>
            <w:r w:rsidRPr="009920E7">
              <w:rPr>
                <w:sz w:val="40"/>
              </w:rPr>
              <w:t>ST</w:t>
            </w:r>
            <w:r>
              <w:t>/SG/AC.10/C.3/2018/32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9920E7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9920E7" w:rsidRDefault="009920E7" w:rsidP="009920E7">
            <w:pPr>
              <w:spacing w:line="240" w:lineRule="exact"/>
            </w:pPr>
            <w:r>
              <w:t>29 mars 2018</w:t>
            </w:r>
          </w:p>
          <w:p w:rsidR="009920E7" w:rsidRDefault="009920E7" w:rsidP="009920E7">
            <w:pPr>
              <w:spacing w:line="240" w:lineRule="exact"/>
            </w:pPr>
            <w:r>
              <w:t>Français</w:t>
            </w:r>
          </w:p>
          <w:p w:rsidR="009920E7" w:rsidRPr="00DB58B5" w:rsidRDefault="009920E7" w:rsidP="009920E7">
            <w:pPr>
              <w:spacing w:line="240" w:lineRule="exact"/>
            </w:pPr>
            <w:r>
              <w:t>Original : anglais</w:t>
            </w:r>
          </w:p>
        </w:tc>
      </w:tr>
    </w:tbl>
    <w:p w:rsidR="009920E7" w:rsidRPr="00CA0680" w:rsidRDefault="009920E7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6F3BCF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6F3BCF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9920E7" w:rsidRPr="00CA0680" w:rsidRDefault="009920E7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6F3BCF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9920E7" w:rsidRDefault="009920E7" w:rsidP="000305D3">
      <w:pPr>
        <w:spacing w:before="120"/>
        <w:rPr>
          <w:b/>
        </w:rPr>
      </w:pPr>
      <w:r w:rsidRPr="005E4305">
        <w:rPr>
          <w:b/>
          <w:lang w:val="fr-FR"/>
        </w:rPr>
        <w:t>Cinquante-troisième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9920E7" w:rsidRDefault="009920E7" w:rsidP="000305D3">
      <w:r>
        <w:t xml:space="preserve">Genève, </w:t>
      </w:r>
      <w:r>
        <w:rPr>
          <w:lang w:val="fr-FR"/>
        </w:rPr>
        <w:t>25 juin-4 </w:t>
      </w:r>
      <w:r w:rsidRPr="005E4305">
        <w:rPr>
          <w:lang w:val="fr-FR"/>
        </w:rPr>
        <w:t>juillet 2018</w:t>
      </w:r>
    </w:p>
    <w:p w:rsidR="009920E7" w:rsidRDefault="009920E7" w:rsidP="000305D3">
      <w:r>
        <w:t>Point </w:t>
      </w:r>
      <w:r>
        <w:rPr>
          <w:lang w:val="fr-FR"/>
        </w:rPr>
        <w:t>6 </w:t>
      </w:r>
      <w:r w:rsidRPr="005E4305">
        <w:rPr>
          <w:lang w:val="fr-FR"/>
        </w:rPr>
        <w:t xml:space="preserve">b) </w:t>
      </w:r>
      <w:r>
        <w:t>de l</w:t>
      </w:r>
      <w:r w:rsidR="006F3BCF">
        <w:t>’</w:t>
      </w:r>
      <w:r>
        <w:t>ordre du jour provisoire</w:t>
      </w:r>
    </w:p>
    <w:p w:rsidR="009920E7" w:rsidRPr="005E4305" w:rsidRDefault="009920E7" w:rsidP="009920E7">
      <w:pPr>
        <w:rPr>
          <w:b/>
          <w:lang w:val="fr-FR"/>
        </w:rPr>
      </w:pPr>
      <w:r w:rsidRPr="005E4305">
        <w:rPr>
          <w:b/>
          <w:lang w:val="fr-FR"/>
        </w:rPr>
        <w:t>Propositions diverses d</w:t>
      </w:r>
      <w:r w:rsidR="006F3BCF">
        <w:rPr>
          <w:b/>
          <w:lang w:val="fr-FR"/>
        </w:rPr>
        <w:t>’</w:t>
      </w:r>
      <w:r w:rsidRPr="005E4305">
        <w:rPr>
          <w:b/>
          <w:lang w:val="fr-FR"/>
        </w:rPr>
        <w:t xml:space="preserve">amendements au Règlement type pour le transport </w:t>
      </w:r>
      <w:r w:rsidRPr="005E4305">
        <w:rPr>
          <w:b/>
          <w:lang w:val="fr-FR"/>
        </w:rPr>
        <w:br/>
        <w:t>des marchandises dangereuses</w:t>
      </w:r>
      <w:r>
        <w:rPr>
          <w:b/>
          <w:lang w:val="fr-FR"/>
        </w:rPr>
        <w:t> :</w:t>
      </w:r>
      <w:r w:rsidRPr="005E4305">
        <w:rPr>
          <w:b/>
          <w:lang w:val="fr-FR"/>
        </w:rPr>
        <w:t xml:space="preserve"> emballages</w:t>
      </w:r>
    </w:p>
    <w:p w:rsidR="009920E7" w:rsidRPr="005E4305" w:rsidRDefault="009920E7" w:rsidP="009920E7">
      <w:pPr>
        <w:pStyle w:val="HChG"/>
        <w:rPr>
          <w:lang w:val="fr-FR"/>
        </w:rPr>
      </w:pPr>
      <w:r w:rsidRPr="005E4305">
        <w:rPr>
          <w:lang w:val="fr-FR"/>
        </w:rPr>
        <w:tab/>
      </w:r>
      <w:r w:rsidRPr="005E4305">
        <w:rPr>
          <w:lang w:val="fr-FR"/>
        </w:rPr>
        <w:tab/>
        <w:t>Fûts en aluminium</w:t>
      </w:r>
    </w:p>
    <w:p w:rsidR="009920E7" w:rsidRPr="009920E7" w:rsidRDefault="009920E7" w:rsidP="009920E7">
      <w:pPr>
        <w:pStyle w:val="H1G"/>
        <w:rPr>
          <w:b w:val="0"/>
          <w:lang w:val="fr-FR"/>
        </w:rPr>
      </w:pPr>
      <w:r w:rsidRPr="005E4305">
        <w:rPr>
          <w:lang w:val="fr-FR"/>
        </w:rPr>
        <w:tab/>
      </w:r>
      <w:r w:rsidRPr="005E4305">
        <w:rPr>
          <w:lang w:val="fr-FR"/>
        </w:rPr>
        <w:tab/>
        <w:t>Communication de l</w:t>
      </w:r>
      <w:r w:rsidR="006F3BCF">
        <w:rPr>
          <w:lang w:val="fr-FR"/>
        </w:rPr>
        <w:t>’</w:t>
      </w:r>
      <w:r w:rsidRPr="005E4305">
        <w:rPr>
          <w:lang w:val="fr-FR"/>
        </w:rPr>
        <w:t>expert de l</w:t>
      </w:r>
      <w:r w:rsidR="006F3BCF">
        <w:rPr>
          <w:lang w:val="fr-FR"/>
        </w:rPr>
        <w:t>’</w:t>
      </w:r>
      <w:r w:rsidRPr="005E4305">
        <w:rPr>
          <w:lang w:val="fr-FR"/>
        </w:rPr>
        <w:t>Italie</w:t>
      </w:r>
      <w:r w:rsidR="00FD236E" w:rsidRPr="00FD236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920E7" w:rsidRPr="005E4305" w:rsidRDefault="00C27C82" w:rsidP="009920E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:rsidR="009920E7" w:rsidRPr="005E4305" w:rsidRDefault="009920E7" w:rsidP="009920E7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5E4305">
        <w:rPr>
          <w:lang w:val="fr-FR"/>
        </w:rPr>
        <w:t xml:space="preserve">Parmi les prescriptions relatives aux </w:t>
      </w:r>
      <w:r w:rsidRPr="00E57BF1">
        <w:rPr>
          <w:b/>
          <w:lang w:val="fr-FR"/>
        </w:rPr>
        <w:t>jerricanes en acier ou en aluminium</w:t>
      </w:r>
      <w:r w:rsidRPr="00C27C82">
        <w:rPr>
          <w:lang w:val="fr-FR"/>
        </w:rPr>
        <w:t xml:space="preserve"> </w:t>
      </w:r>
      <w:r w:rsidRPr="005E4305">
        <w:rPr>
          <w:lang w:val="fr-FR"/>
        </w:rPr>
        <w:t>(3A1 acier, à dessus non amovible</w:t>
      </w:r>
      <w:r>
        <w:rPr>
          <w:lang w:val="fr-FR"/>
        </w:rPr>
        <w:t> ;</w:t>
      </w:r>
      <w:r w:rsidRPr="005E4305">
        <w:rPr>
          <w:lang w:val="fr-FR"/>
        </w:rPr>
        <w:t xml:space="preserve"> 3A2 acier, à dessus amovible</w:t>
      </w:r>
      <w:r>
        <w:rPr>
          <w:lang w:val="fr-FR"/>
        </w:rPr>
        <w:t> ;</w:t>
      </w:r>
      <w:r w:rsidRPr="005E4305">
        <w:rPr>
          <w:lang w:val="fr-FR"/>
        </w:rPr>
        <w:t xml:space="preserve"> 3B1 al</w:t>
      </w:r>
      <w:r>
        <w:rPr>
          <w:lang w:val="fr-FR"/>
        </w:rPr>
        <w:t>uminium, à dessus non amovible ;</w:t>
      </w:r>
      <w:r w:rsidRPr="005E4305">
        <w:rPr>
          <w:lang w:val="fr-FR"/>
        </w:rPr>
        <w:t xml:space="preserve"> 3B2 aluminium, à dessus amovi</w:t>
      </w:r>
      <w:r w:rsidR="00F3075E">
        <w:rPr>
          <w:lang w:val="fr-FR"/>
        </w:rPr>
        <w:t>ble) énoncées à la sous-section </w:t>
      </w:r>
      <w:r w:rsidRPr="005E4305">
        <w:rPr>
          <w:lang w:val="fr-FR"/>
        </w:rPr>
        <w:t xml:space="preserve">6.1.4.4, est clairement </w:t>
      </w:r>
      <w:r>
        <w:rPr>
          <w:lang w:val="fr-FR"/>
        </w:rPr>
        <w:t xml:space="preserve">soulignée </w:t>
      </w:r>
      <w:r w:rsidRPr="005E4305">
        <w:rPr>
          <w:lang w:val="fr-FR"/>
        </w:rPr>
        <w:t>la compatibilité du matériau (acier ou aluminium) avec le contenu à transporter et, le cas échéant, la néces</w:t>
      </w:r>
      <w:r>
        <w:rPr>
          <w:lang w:val="fr-FR"/>
        </w:rPr>
        <w:t>sité d</w:t>
      </w:r>
      <w:r w:rsidR="006F3BCF">
        <w:rPr>
          <w:lang w:val="fr-FR"/>
        </w:rPr>
        <w:t>’</w:t>
      </w:r>
      <w:r>
        <w:rPr>
          <w:lang w:val="fr-FR"/>
        </w:rPr>
        <w:t>un revêtement protecteur :</w:t>
      </w:r>
    </w:p>
    <w:p w:rsidR="009920E7" w:rsidRPr="005E4305" w:rsidRDefault="009920E7" w:rsidP="009920E7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="00F3075E">
        <w:rPr>
          <w:i/>
          <w:lang w:val="fr-FR"/>
        </w:rPr>
        <w:t>6.1.4.4.4</w:t>
      </w:r>
      <w:r w:rsidRPr="009920E7">
        <w:rPr>
          <w:i/>
          <w:lang w:val="fr-FR"/>
        </w:rPr>
        <w:tab/>
      </w:r>
      <w:bookmarkStart w:id="1" w:name="_Hlk512871990"/>
      <w:r w:rsidRPr="009920E7">
        <w:rPr>
          <w:i/>
          <w:lang w:val="fr-FR"/>
        </w:rPr>
        <w:t>Si les matériaux utilisés pour la virole, les fonds, les fermetures et les accessoires ne sont pas eux-mêmes compatibles avec la matière à transporter, des revêtements ou traitements intérieurs appropriés de protection doivent être appliqués. Ces revêtements ou traitements doivent garder leurs propriétés protectrices dans les conditions normales de transport</w:t>
      </w:r>
      <w:bookmarkEnd w:id="1"/>
      <w:r w:rsidRPr="009920E7">
        <w:rPr>
          <w:i/>
          <w:lang w:val="fr-FR"/>
        </w:rPr>
        <w:t>.</w:t>
      </w:r>
      <w:r>
        <w:rPr>
          <w:lang w:val="fr-FR"/>
        </w:rPr>
        <w:t> »</w:t>
      </w:r>
    </w:p>
    <w:p w:rsidR="009920E7" w:rsidRPr="005E4305" w:rsidRDefault="009920E7" w:rsidP="009920E7">
      <w:pPr>
        <w:pStyle w:val="SingleTxtG"/>
        <w:rPr>
          <w:lang w:val="fr-FR"/>
        </w:rPr>
      </w:pPr>
      <w:r w:rsidRPr="005E4305">
        <w:rPr>
          <w:color w:val="000000"/>
          <w:lang w:val="fr-FR"/>
        </w:rPr>
        <w:t>2.</w:t>
      </w:r>
      <w:r w:rsidRPr="005E4305">
        <w:rPr>
          <w:color w:val="000000"/>
          <w:lang w:val="fr-FR"/>
        </w:rPr>
        <w:tab/>
        <w:t xml:space="preserve">Le même </w:t>
      </w:r>
      <w:r w:rsidRPr="009920E7">
        <w:rPr>
          <w:lang w:val="fr-FR"/>
        </w:rPr>
        <w:t>texte</w:t>
      </w:r>
      <w:r w:rsidRPr="005E4305">
        <w:rPr>
          <w:color w:val="000000"/>
          <w:lang w:val="fr-FR"/>
        </w:rPr>
        <w:t xml:space="preserve"> s</w:t>
      </w:r>
      <w:r w:rsidR="006F3BCF">
        <w:rPr>
          <w:color w:val="000000"/>
          <w:lang w:val="fr-FR"/>
        </w:rPr>
        <w:t>’</w:t>
      </w:r>
      <w:r w:rsidRPr="005E4305">
        <w:rPr>
          <w:color w:val="000000"/>
          <w:lang w:val="fr-FR"/>
        </w:rPr>
        <w:t xml:space="preserve">applique également aux </w:t>
      </w:r>
      <w:r w:rsidRPr="00E57BF1">
        <w:rPr>
          <w:b/>
          <w:color w:val="000000"/>
          <w:lang w:val="fr-FR"/>
        </w:rPr>
        <w:t>fûts en acier</w:t>
      </w:r>
      <w:r w:rsidR="00C27C82">
        <w:rPr>
          <w:color w:val="000000"/>
          <w:lang w:val="fr-FR"/>
        </w:rPr>
        <w:t>, conformément à la sous</w:t>
      </w:r>
      <w:r w:rsidR="00C27C82">
        <w:rPr>
          <w:color w:val="000000"/>
          <w:lang w:val="fr-FR"/>
        </w:rPr>
        <w:noBreakHyphen/>
      </w:r>
      <w:r w:rsidRPr="005E4305">
        <w:rPr>
          <w:color w:val="000000"/>
          <w:lang w:val="fr-FR"/>
        </w:rPr>
        <w:t>section 6.1.4.1 (voir le paragraphe 6.1.4.1.7).</w:t>
      </w:r>
    </w:p>
    <w:p w:rsidR="009920E7" w:rsidRPr="005E4305" w:rsidRDefault="009920E7" w:rsidP="009920E7">
      <w:pPr>
        <w:pStyle w:val="SingleTxtG"/>
        <w:rPr>
          <w:rFonts w:ascii="Arial" w:hAnsi="Arial" w:cs="Arial"/>
          <w:lang w:val="fr-FR"/>
        </w:rPr>
      </w:pPr>
      <w:r w:rsidRPr="005E4305">
        <w:rPr>
          <w:color w:val="000000"/>
          <w:lang w:val="fr-FR"/>
        </w:rPr>
        <w:t>3.</w:t>
      </w:r>
      <w:r w:rsidRPr="005E4305">
        <w:rPr>
          <w:color w:val="000000"/>
          <w:lang w:val="fr-FR"/>
        </w:rPr>
        <w:tab/>
        <w:t xml:space="preserve">En revanche, les prescriptions relatives aux </w:t>
      </w:r>
      <w:r w:rsidRPr="005E4305">
        <w:rPr>
          <w:b/>
          <w:color w:val="000000"/>
          <w:lang w:val="fr-FR"/>
        </w:rPr>
        <w:t xml:space="preserve">fûts en aluminium </w:t>
      </w:r>
      <w:r>
        <w:rPr>
          <w:color w:val="000000"/>
          <w:lang w:val="fr-FR"/>
        </w:rPr>
        <w:t>énoncées</w:t>
      </w:r>
      <w:r w:rsidR="00C27C82">
        <w:rPr>
          <w:color w:val="000000"/>
          <w:lang w:val="fr-FR"/>
        </w:rPr>
        <w:t xml:space="preserve"> à la sous</w:t>
      </w:r>
      <w:r w:rsidR="00C27C82">
        <w:rPr>
          <w:color w:val="000000"/>
          <w:lang w:val="fr-FR"/>
        </w:rPr>
        <w:noBreakHyphen/>
      </w:r>
      <w:r w:rsidRPr="005E4305">
        <w:rPr>
          <w:color w:val="000000"/>
          <w:lang w:val="fr-FR"/>
        </w:rPr>
        <w:t>section 6.1.4.2 semblent lacunaires à cet égard, bien que l</w:t>
      </w:r>
      <w:r w:rsidR="006F3BCF">
        <w:rPr>
          <w:color w:val="000000"/>
          <w:lang w:val="fr-FR"/>
        </w:rPr>
        <w:t>’</w:t>
      </w:r>
      <w:r w:rsidRPr="005E4305">
        <w:rPr>
          <w:color w:val="000000"/>
          <w:lang w:val="fr-FR"/>
        </w:rPr>
        <w:t xml:space="preserve">aluminium soit sensible </w:t>
      </w:r>
      <w:r>
        <w:rPr>
          <w:color w:val="000000"/>
          <w:lang w:val="fr-FR"/>
        </w:rPr>
        <w:t>à</w:t>
      </w:r>
      <w:r w:rsidRPr="005E4305">
        <w:rPr>
          <w:color w:val="000000"/>
          <w:lang w:val="fr-FR"/>
        </w:rPr>
        <w:t xml:space="preserve"> la corrosion (par exemple, solution d</w:t>
      </w:r>
      <w:r w:rsidR="006F3BCF">
        <w:rPr>
          <w:color w:val="000000"/>
          <w:lang w:val="fr-FR"/>
        </w:rPr>
        <w:t>’</w:t>
      </w:r>
      <w:r w:rsidRPr="005E4305">
        <w:rPr>
          <w:color w:val="000000"/>
          <w:lang w:val="fr-FR"/>
        </w:rPr>
        <w:t>hydroxyde de sodium ou liquides alcalins, etc.)</w:t>
      </w:r>
      <w:r w:rsidRPr="005E4305">
        <w:rPr>
          <w:lang w:val="fr-FR"/>
        </w:rPr>
        <w:t>.</w:t>
      </w:r>
    </w:p>
    <w:p w:rsidR="009920E7" w:rsidRPr="005E4305" w:rsidRDefault="009920E7" w:rsidP="009920E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Conclusion</w:t>
      </w:r>
    </w:p>
    <w:p w:rsidR="009920E7" w:rsidRDefault="009920E7" w:rsidP="009920E7">
      <w:pPr>
        <w:pStyle w:val="SingleTxtG"/>
      </w:pPr>
      <w:r w:rsidRPr="005E4305">
        <w:rPr>
          <w:lang w:val="fr-FR"/>
        </w:rPr>
        <w:t>4.</w:t>
      </w:r>
      <w:r w:rsidRPr="005E4305">
        <w:rPr>
          <w:lang w:val="fr-FR"/>
        </w:rPr>
        <w:tab/>
        <w:t xml:space="preserve">Le Sous-Comité est invité à </w:t>
      </w:r>
      <w:r w:rsidRPr="009920E7">
        <w:rPr>
          <w:color w:val="000000"/>
          <w:lang w:val="fr-FR"/>
        </w:rPr>
        <w:t>examiner</w:t>
      </w:r>
      <w:r w:rsidRPr="005E4305">
        <w:rPr>
          <w:lang w:val="fr-FR"/>
        </w:rPr>
        <w:t xml:space="preserve"> la proposition ci-après</w:t>
      </w:r>
      <w:r>
        <w:rPr>
          <w:lang w:val="fr-FR"/>
        </w:rPr>
        <w:t>, qui vise à</w:t>
      </w:r>
      <w:r w:rsidRPr="005E4305">
        <w:rPr>
          <w:lang w:val="fr-FR"/>
        </w:rPr>
        <w:t xml:space="preserve"> combler une lacune du texte et </w:t>
      </w:r>
      <w:r>
        <w:rPr>
          <w:lang w:val="fr-FR"/>
        </w:rPr>
        <w:t>à</w:t>
      </w:r>
      <w:r w:rsidRPr="005E4305">
        <w:rPr>
          <w:lang w:val="fr-FR"/>
        </w:rPr>
        <w:t xml:space="preserve"> </w:t>
      </w:r>
      <w:r>
        <w:rPr>
          <w:lang w:val="fr-FR"/>
        </w:rPr>
        <w:t xml:space="preserve">mieux </w:t>
      </w:r>
      <w:r w:rsidRPr="005E4305">
        <w:rPr>
          <w:lang w:val="fr-FR"/>
        </w:rPr>
        <w:t>harmonis</w:t>
      </w:r>
      <w:r>
        <w:rPr>
          <w:lang w:val="fr-FR"/>
        </w:rPr>
        <w:t>er l</w:t>
      </w:r>
      <w:r w:rsidRPr="005E4305">
        <w:rPr>
          <w:lang w:val="fr-FR"/>
        </w:rPr>
        <w:t>es prescriptions énoncées dans le Règlement type.</w:t>
      </w:r>
    </w:p>
    <w:p w:rsidR="009920E7" w:rsidRPr="005E4305" w:rsidRDefault="009920E7" w:rsidP="009920E7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5E4305">
        <w:rPr>
          <w:lang w:val="fr-FR"/>
        </w:rPr>
        <w:t>Propos</w:t>
      </w:r>
      <w:r>
        <w:rPr>
          <w:lang w:val="fr-FR"/>
        </w:rPr>
        <w:t>ition</w:t>
      </w:r>
    </w:p>
    <w:p w:rsidR="009920E7" w:rsidRPr="005E4305" w:rsidRDefault="009920E7" w:rsidP="009920E7">
      <w:pPr>
        <w:pStyle w:val="SingleTxtG"/>
        <w:rPr>
          <w:lang w:val="fr-FR"/>
        </w:rPr>
      </w:pPr>
      <w:r w:rsidRPr="005E4305">
        <w:rPr>
          <w:lang w:val="fr-FR"/>
        </w:rPr>
        <w:t>5.</w:t>
      </w:r>
      <w:r w:rsidRPr="005E4305">
        <w:rPr>
          <w:lang w:val="fr-FR"/>
        </w:rPr>
        <w:tab/>
        <w:t xml:space="preserve">Il est proposé </w:t>
      </w:r>
      <w:r w:rsidRPr="00C27C82">
        <w:rPr>
          <w:u w:val="single"/>
          <w:lang w:val="fr-FR"/>
        </w:rPr>
        <w:t>d</w:t>
      </w:r>
      <w:r w:rsidR="006F3BCF" w:rsidRPr="00C27C82">
        <w:rPr>
          <w:u w:val="single"/>
          <w:lang w:val="fr-FR"/>
        </w:rPr>
        <w:t>’</w:t>
      </w:r>
      <w:r w:rsidRPr="00C27C82">
        <w:rPr>
          <w:u w:val="single"/>
          <w:lang w:val="fr-FR"/>
        </w:rPr>
        <w:t>insérer le texte suivant dans la sous-section 6.1.4.2</w:t>
      </w:r>
      <w:r>
        <w:rPr>
          <w:lang w:val="fr-FR"/>
        </w:rPr>
        <w:t> :</w:t>
      </w:r>
    </w:p>
    <w:p w:rsidR="00446FE5" w:rsidRDefault="009920E7" w:rsidP="009920E7">
      <w:pPr>
        <w:pStyle w:val="SingleTxtG"/>
        <w:ind w:left="1701"/>
        <w:rPr>
          <w:lang w:val="fr-FR"/>
        </w:rPr>
      </w:pPr>
      <w:r w:rsidRPr="003C70D8">
        <w:rPr>
          <w:bCs/>
          <w:lang w:val="fr-FR"/>
        </w:rPr>
        <w:t>« </w:t>
      </w:r>
      <w:r w:rsidRPr="005E4305">
        <w:rPr>
          <w:bCs/>
          <w:i/>
          <w:lang w:val="fr-FR"/>
        </w:rPr>
        <w:t>[6.1.4.2.6]</w:t>
      </w:r>
      <w:r>
        <w:rPr>
          <w:bCs/>
          <w:i/>
          <w:lang w:val="fr-FR"/>
        </w:rPr>
        <w:tab/>
      </w:r>
      <w:r w:rsidRPr="003C70D8">
        <w:rPr>
          <w:i/>
          <w:lang w:val="fr-FR"/>
        </w:rPr>
        <w:t>Si les matériaux utilisés pour la virole, les fonds, les fermetures et les accessoires ne sont pas eux-mêmes compatibles avec la matière à transporter, des revêtements ou traitements intérieurs appropriés de protection doivent être appliqués. Ces revêtements ou traitements doivent garder leurs propriétés protectrices dans les conditions normales de transport</w:t>
      </w:r>
      <w:r w:rsidRPr="005E4305">
        <w:rPr>
          <w:i/>
          <w:lang w:val="fr-FR"/>
        </w:rPr>
        <w:t>.</w:t>
      </w:r>
      <w:r w:rsidRPr="003C70D8">
        <w:rPr>
          <w:lang w:val="fr-FR"/>
        </w:rPr>
        <w:t> ».</w:t>
      </w:r>
    </w:p>
    <w:p w:rsidR="009920E7" w:rsidRPr="009920E7" w:rsidRDefault="009920E7" w:rsidP="009920E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20E7" w:rsidRPr="009920E7" w:rsidSect="009920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BE" w:rsidRDefault="001717BE" w:rsidP="00F95C08">
      <w:pPr>
        <w:spacing w:line="240" w:lineRule="auto"/>
      </w:pPr>
    </w:p>
  </w:endnote>
  <w:endnote w:type="continuationSeparator" w:id="0">
    <w:p w:rsidR="001717BE" w:rsidRPr="00AC3823" w:rsidRDefault="001717BE" w:rsidP="00AC3823">
      <w:pPr>
        <w:pStyle w:val="Footer"/>
      </w:pPr>
    </w:p>
  </w:endnote>
  <w:endnote w:type="continuationNotice" w:id="1">
    <w:p w:rsidR="001717BE" w:rsidRDefault="001717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E7" w:rsidRPr="009920E7" w:rsidRDefault="009920E7" w:rsidP="009920E7">
    <w:pPr>
      <w:pStyle w:val="Footer"/>
      <w:tabs>
        <w:tab w:val="right" w:pos="9638"/>
      </w:tabs>
    </w:pPr>
    <w:r w:rsidRPr="009920E7">
      <w:rPr>
        <w:b/>
        <w:sz w:val="18"/>
      </w:rPr>
      <w:fldChar w:fldCharType="begin"/>
    </w:r>
    <w:r w:rsidRPr="009920E7">
      <w:rPr>
        <w:b/>
        <w:sz w:val="18"/>
      </w:rPr>
      <w:instrText xml:space="preserve"> PAGE  \* MERGEFORMAT </w:instrText>
    </w:r>
    <w:r w:rsidRPr="009920E7">
      <w:rPr>
        <w:b/>
        <w:sz w:val="18"/>
      </w:rPr>
      <w:fldChar w:fldCharType="separate"/>
    </w:r>
    <w:r w:rsidR="00E06505">
      <w:rPr>
        <w:b/>
        <w:noProof/>
        <w:sz w:val="18"/>
      </w:rPr>
      <w:t>2</w:t>
    </w:r>
    <w:r w:rsidRPr="009920E7">
      <w:rPr>
        <w:b/>
        <w:sz w:val="18"/>
      </w:rPr>
      <w:fldChar w:fldCharType="end"/>
    </w:r>
    <w:r>
      <w:rPr>
        <w:b/>
        <w:sz w:val="18"/>
      </w:rPr>
      <w:tab/>
    </w:r>
    <w:r>
      <w:t>GE.18-04983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E7" w:rsidRPr="009920E7" w:rsidRDefault="009920E7" w:rsidP="009920E7">
    <w:pPr>
      <w:pStyle w:val="Footer"/>
      <w:tabs>
        <w:tab w:val="right" w:pos="9638"/>
      </w:tabs>
      <w:rPr>
        <w:b/>
        <w:sz w:val="18"/>
      </w:rPr>
    </w:pPr>
    <w:r>
      <w:t>GE.18-04983</w:t>
    </w:r>
    <w:r>
      <w:tab/>
    </w:r>
    <w:r w:rsidRPr="009920E7">
      <w:rPr>
        <w:b/>
        <w:sz w:val="18"/>
      </w:rPr>
      <w:fldChar w:fldCharType="begin"/>
    </w:r>
    <w:r w:rsidRPr="009920E7">
      <w:rPr>
        <w:b/>
        <w:sz w:val="18"/>
      </w:rPr>
      <w:instrText xml:space="preserve"> PAGE  \* MERGEFORMAT </w:instrText>
    </w:r>
    <w:r w:rsidRPr="009920E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920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9920E7" w:rsidRDefault="009920E7" w:rsidP="009920E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04983  (</w:t>
    </w:r>
    <w:proofErr w:type="gramEnd"/>
    <w:r>
      <w:rPr>
        <w:sz w:val="20"/>
      </w:rPr>
      <w:t>F)</w:t>
    </w:r>
    <w:r w:rsidR="00F3075E">
      <w:rPr>
        <w:sz w:val="20"/>
      </w:rPr>
      <w:t xml:space="preserve">    010518    090518</w:t>
    </w:r>
    <w:r>
      <w:rPr>
        <w:sz w:val="20"/>
      </w:rPr>
      <w:br/>
    </w:r>
    <w:r w:rsidRPr="009920E7">
      <w:rPr>
        <w:rFonts w:ascii="C39T30Lfz" w:hAnsi="C39T30Lfz"/>
        <w:sz w:val="56"/>
      </w:rPr>
      <w:t></w:t>
    </w:r>
    <w:r w:rsidRPr="009920E7">
      <w:rPr>
        <w:rFonts w:ascii="C39T30Lfz" w:hAnsi="C39T30Lfz"/>
        <w:sz w:val="56"/>
      </w:rPr>
      <w:t></w:t>
    </w:r>
    <w:r w:rsidRPr="009920E7">
      <w:rPr>
        <w:rFonts w:ascii="C39T30Lfz" w:hAnsi="C39T30Lfz"/>
        <w:sz w:val="56"/>
      </w:rPr>
      <w:t></w:t>
    </w:r>
    <w:r w:rsidRPr="009920E7">
      <w:rPr>
        <w:rFonts w:ascii="C39T30Lfz" w:hAnsi="C39T30Lfz"/>
        <w:sz w:val="56"/>
      </w:rPr>
      <w:t></w:t>
    </w:r>
    <w:r w:rsidRPr="009920E7">
      <w:rPr>
        <w:rFonts w:ascii="C39T30Lfz" w:hAnsi="C39T30Lfz"/>
        <w:sz w:val="56"/>
      </w:rPr>
      <w:t></w:t>
    </w:r>
    <w:r w:rsidRPr="009920E7">
      <w:rPr>
        <w:rFonts w:ascii="C39T30Lfz" w:hAnsi="C39T30Lfz"/>
        <w:sz w:val="56"/>
      </w:rPr>
      <w:t></w:t>
    </w:r>
    <w:r w:rsidRPr="009920E7">
      <w:rPr>
        <w:rFonts w:ascii="C39T30Lfz" w:hAnsi="C39T30Lfz"/>
        <w:sz w:val="56"/>
      </w:rPr>
      <w:t></w:t>
    </w:r>
    <w:r w:rsidRPr="009920E7">
      <w:rPr>
        <w:rFonts w:ascii="C39T30Lfz" w:hAnsi="C39T30Lfz"/>
        <w:sz w:val="56"/>
      </w:rPr>
      <w:t></w:t>
    </w:r>
    <w:r w:rsidRPr="009920E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3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3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BE" w:rsidRPr="00AC3823" w:rsidRDefault="001717B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17BE" w:rsidRPr="00AC3823" w:rsidRDefault="001717B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717BE" w:rsidRPr="00AC3823" w:rsidRDefault="001717BE">
      <w:pPr>
        <w:spacing w:line="240" w:lineRule="auto"/>
        <w:rPr>
          <w:sz w:val="2"/>
          <w:szCs w:val="2"/>
        </w:rPr>
      </w:pPr>
    </w:p>
  </w:footnote>
  <w:footnote w:id="2">
    <w:p w:rsidR="00FD236E" w:rsidRPr="00FD236E" w:rsidRDefault="00FD236E">
      <w:pPr>
        <w:pStyle w:val="FootnoteText"/>
      </w:pPr>
      <w:r>
        <w:rPr>
          <w:rStyle w:val="FootnoteReference"/>
        </w:rPr>
        <w:tab/>
      </w:r>
      <w:r w:rsidRPr="00FD236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62B90">
        <w:rPr>
          <w:lang w:val="fr-FR"/>
        </w:rPr>
        <w:t xml:space="preserve">Conformément au programme de travail du Sous-Comité pour la période 2017-2018, approuvé par le Comité à sa huitième session (voir </w:t>
      </w:r>
      <w:r>
        <w:rPr>
          <w:lang w:val="fr-FR"/>
        </w:rPr>
        <w:t>ST/SG/AC.10/C.3/100, par. </w:t>
      </w:r>
      <w:r w:rsidRPr="00E62B90">
        <w:rPr>
          <w:lang w:val="fr-FR"/>
        </w:rPr>
        <w:t>98, et ST/SG/AC.10/44, par.</w:t>
      </w:r>
      <w:r>
        <w:rPr>
          <w:lang w:val="fr-FR"/>
        </w:rPr>
        <w:t> </w:t>
      </w:r>
      <w:r w:rsidRPr="00E62B90">
        <w:rPr>
          <w:lang w:val="fr-FR"/>
        </w:rPr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E7" w:rsidRPr="009920E7" w:rsidRDefault="0079291E">
    <w:pPr>
      <w:pStyle w:val="Header"/>
    </w:pPr>
    <w:fldSimple w:instr=" TITLE  \* MERGEFORMAT ">
      <w:r w:rsidR="00E06505">
        <w:t>ST/SG/AC.10/C.3/2018/32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E7" w:rsidRPr="009920E7" w:rsidRDefault="0079291E" w:rsidP="009920E7">
    <w:pPr>
      <w:pStyle w:val="Header"/>
      <w:jc w:val="right"/>
    </w:pPr>
    <w:fldSimple w:instr=" TITLE  \* MERGEFORMAT ">
      <w:r w:rsidR="00E06505">
        <w:t>ST/SG/AC.10/C.3/2018/32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BE"/>
    <w:rsid w:val="00017F94"/>
    <w:rsid w:val="00023842"/>
    <w:rsid w:val="000305D3"/>
    <w:rsid w:val="000334F9"/>
    <w:rsid w:val="00055D54"/>
    <w:rsid w:val="0007796D"/>
    <w:rsid w:val="000B7790"/>
    <w:rsid w:val="00111F2F"/>
    <w:rsid w:val="00132EA9"/>
    <w:rsid w:val="0014365E"/>
    <w:rsid w:val="001717BE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6E0687"/>
    <w:rsid w:val="006F3BCF"/>
    <w:rsid w:val="0071601D"/>
    <w:rsid w:val="0079291E"/>
    <w:rsid w:val="007A62E6"/>
    <w:rsid w:val="0080684C"/>
    <w:rsid w:val="00871C75"/>
    <w:rsid w:val="008776DC"/>
    <w:rsid w:val="008B40CD"/>
    <w:rsid w:val="009705C8"/>
    <w:rsid w:val="009920E7"/>
    <w:rsid w:val="009C1CF4"/>
    <w:rsid w:val="00A30353"/>
    <w:rsid w:val="00AC3823"/>
    <w:rsid w:val="00AE323C"/>
    <w:rsid w:val="00B00181"/>
    <w:rsid w:val="00B00B0D"/>
    <w:rsid w:val="00B5407C"/>
    <w:rsid w:val="00B765F7"/>
    <w:rsid w:val="00BA0CA9"/>
    <w:rsid w:val="00C02897"/>
    <w:rsid w:val="00C27C82"/>
    <w:rsid w:val="00D3439C"/>
    <w:rsid w:val="00DB1831"/>
    <w:rsid w:val="00DD3BFD"/>
    <w:rsid w:val="00DF6678"/>
    <w:rsid w:val="00E06505"/>
    <w:rsid w:val="00EF2E22"/>
    <w:rsid w:val="00F01738"/>
    <w:rsid w:val="00F3075E"/>
    <w:rsid w:val="00F660DF"/>
    <w:rsid w:val="00F730C8"/>
    <w:rsid w:val="00F95C08"/>
    <w:rsid w:val="00F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72848C8-6DEC-45C0-B695-C4E24C02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ST/SG/AC.10/C.3/2018/32</vt:lpstr>
      <vt:lpstr>ST/SG/AC.10/C.3/2018/32</vt:lpstr>
    </vt:vector>
  </TitlesOfParts>
  <Company>DCM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ST/SG/AC.10/C.3/2018/32</dc:title>
  <dc:subject/>
  <dc:creator>Julien OKRZESIK</dc:creator>
  <cp:keywords/>
  <cp:lastModifiedBy>Laurence Berthet</cp:lastModifiedBy>
  <cp:revision>3</cp:revision>
  <cp:lastPrinted>2018-05-11T06:47:00Z</cp:lastPrinted>
  <dcterms:created xsi:type="dcterms:W3CDTF">2018-05-11T06:47:00Z</dcterms:created>
  <dcterms:modified xsi:type="dcterms:W3CDTF">2018-05-11T06:47:00Z</dcterms:modified>
</cp:coreProperties>
</file>