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3F3C62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A259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A2590" w:rsidRPr="002A2590" w:rsidRDefault="002A2590" w:rsidP="002A2590">
            <w:pPr>
              <w:jc w:val="right"/>
              <w:rPr>
                <w:lang w:val="en-US"/>
              </w:rPr>
            </w:pPr>
            <w:r w:rsidRPr="002A2590">
              <w:rPr>
                <w:sz w:val="40"/>
                <w:lang w:val="en-US"/>
              </w:rPr>
              <w:t>ST</w:t>
            </w:r>
            <w:r w:rsidRPr="002A2590">
              <w:rPr>
                <w:lang w:val="en-US"/>
              </w:rPr>
              <w:t>/SG/AC.10/C.3/2018/116−</w:t>
            </w:r>
            <w:r w:rsidRPr="002A2590">
              <w:rPr>
                <w:sz w:val="40"/>
                <w:lang w:val="en-US"/>
              </w:rPr>
              <w:t>ST</w:t>
            </w:r>
            <w:r w:rsidRPr="002A2590">
              <w:rPr>
                <w:lang w:val="en-US"/>
              </w:rPr>
              <w:t>/SG/AC.10/C.4/2018/24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A2590" w:rsidP="00F01738">
            <w:pPr>
              <w:spacing w:before="240"/>
            </w:pPr>
            <w:r>
              <w:t>Distr. générale</w:t>
            </w:r>
          </w:p>
          <w:p w:rsidR="002A2590" w:rsidRDefault="002A2590" w:rsidP="002A2590">
            <w:pPr>
              <w:spacing w:line="240" w:lineRule="exact"/>
            </w:pPr>
            <w:r>
              <w:t>7 septembre 2018</w:t>
            </w:r>
          </w:p>
          <w:p w:rsidR="002A2590" w:rsidRDefault="002A2590" w:rsidP="002A2590">
            <w:pPr>
              <w:spacing w:line="240" w:lineRule="exact"/>
            </w:pPr>
            <w:r>
              <w:t>Français</w:t>
            </w:r>
          </w:p>
          <w:p w:rsidR="002A2590" w:rsidRPr="00DB58B5" w:rsidRDefault="002A2590" w:rsidP="002A2590">
            <w:pPr>
              <w:spacing w:line="240" w:lineRule="exact"/>
            </w:pPr>
            <w:r>
              <w:t>Original : anglais</w:t>
            </w:r>
          </w:p>
        </w:tc>
      </w:tr>
    </w:tbl>
    <w:p w:rsidR="00C2343E" w:rsidRPr="00DC403E" w:rsidRDefault="00C2343E" w:rsidP="00C2343E">
      <w:pPr>
        <w:spacing w:before="120" w:after="120"/>
        <w:rPr>
          <w:b/>
          <w:sz w:val="24"/>
          <w:szCs w:val="24"/>
          <w:lang w:val="fr-FR"/>
        </w:rPr>
      </w:pPr>
      <w:r w:rsidRPr="00DC403E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DC403E">
        <w:rPr>
          <w:b/>
          <w:sz w:val="24"/>
          <w:szCs w:val="24"/>
          <w:lang w:val="fr-FR"/>
        </w:rPr>
        <w:t xml:space="preserve">experts du transport des marchandises dangereuses </w:t>
      </w:r>
      <w:r w:rsidRPr="00DC403E">
        <w:rPr>
          <w:b/>
          <w:sz w:val="24"/>
          <w:szCs w:val="24"/>
          <w:lang w:val="fr-FR"/>
        </w:rPr>
        <w:br/>
        <w:t xml:space="preserve">et du Système général harmonisé de classification </w:t>
      </w:r>
      <w:r w:rsidRPr="00DC403E">
        <w:rPr>
          <w:b/>
          <w:sz w:val="24"/>
          <w:szCs w:val="24"/>
          <w:lang w:val="fr-FR"/>
        </w:rPr>
        <w:br/>
        <w:t>et d</w:t>
      </w:r>
      <w:r>
        <w:rPr>
          <w:b/>
          <w:sz w:val="24"/>
          <w:szCs w:val="24"/>
          <w:lang w:val="fr-FR"/>
        </w:rPr>
        <w:t>’</w:t>
      </w:r>
      <w:r w:rsidRPr="00DC403E">
        <w:rPr>
          <w:b/>
          <w:sz w:val="24"/>
          <w:szCs w:val="24"/>
          <w:lang w:val="fr-FR"/>
        </w:rPr>
        <w:t>étiquetage 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C2343E" w:rsidRPr="00DC403E" w:rsidTr="00141AC2">
        <w:tc>
          <w:tcPr>
            <w:tcW w:w="4820" w:type="dxa"/>
          </w:tcPr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DC403E">
              <w:rPr>
                <w:b/>
                <w:lang w:val="fr-FR"/>
              </w:rPr>
              <w:t xml:space="preserve">experts du transport </w:t>
            </w:r>
            <w:r w:rsidRPr="00DC403E">
              <w:rPr>
                <w:b/>
                <w:lang w:val="fr-FR"/>
              </w:rPr>
              <w:br/>
              <w:t>des marchandises dangereuses</w:t>
            </w:r>
          </w:p>
        </w:tc>
        <w:tc>
          <w:tcPr>
            <w:tcW w:w="4820" w:type="dxa"/>
          </w:tcPr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DC403E">
              <w:rPr>
                <w:b/>
                <w:lang w:val="fr-FR"/>
              </w:rPr>
              <w:t>experts du Système général harmonisé de classification et d</w:t>
            </w:r>
            <w:r>
              <w:rPr>
                <w:b/>
                <w:lang w:val="fr-FR"/>
              </w:rPr>
              <w:t>’</w:t>
            </w:r>
            <w:r w:rsidRPr="00DC403E">
              <w:rPr>
                <w:b/>
                <w:lang w:val="fr-FR"/>
              </w:rPr>
              <w:t>étiquetage des produits chimiques</w:t>
            </w:r>
          </w:p>
        </w:tc>
      </w:tr>
      <w:tr w:rsidR="00C2343E" w:rsidRPr="00DC403E" w:rsidTr="00141AC2">
        <w:tc>
          <w:tcPr>
            <w:tcW w:w="4820" w:type="dxa"/>
          </w:tcPr>
          <w:p w:rsidR="00C2343E" w:rsidRPr="00DC403E" w:rsidRDefault="00C2343E" w:rsidP="00C2343E">
            <w:pPr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Cinquante-quatrième </w:t>
            </w:r>
            <w:r w:rsidRPr="00DC403E">
              <w:rPr>
                <w:b/>
                <w:lang w:val="fr-FR"/>
              </w:rPr>
              <w:t>session</w:t>
            </w:r>
          </w:p>
        </w:tc>
        <w:tc>
          <w:tcPr>
            <w:tcW w:w="4820" w:type="dxa"/>
          </w:tcPr>
          <w:p w:rsidR="00C2343E" w:rsidRPr="00DC403E" w:rsidRDefault="00C2343E" w:rsidP="00C2343E">
            <w:pPr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Trente-sixième </w:t>
            </w:r>
            <w:r w:rsidRPr="00DC403E">
              <w:rPr>
                <w:b/>
                <w:lang w:val="fr-FR"/>
              </w:rPr>
              <w:t>session</w:t>
            </w:r>
          </w:p>
        </w:tc>
      </w:tr>
      <w:tr w:rsidR="00C2343E" w:rsidRPr="00DC403E" w:rsidTr="00141AC2">
        <w:tc>
          <w:tcPr>
            <w:tcW w:w="4820" w:type="dxa"/>
          </w:tcPr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>Genève, 26 novembre-4 décembre 2018</w:t>
            </w:r>
          </w:p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>Point 7 b) de l</w:t>
            </w:r>
            <w:r>
              <w:rPr>
                <w:lang w:val="fr-FR"/>
              </w:rPr>
              <w:t>’</w:t>
            </w:r>
            <w:r w:rsidRPr="00DC403E">
              <w:rPr>
                <w:lang w:val="fr-FR"/>
              </w:rPr>
              <w:t>ordre du jour provisoire</w:t>
            </w:r>
          </w:p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Questions relatives au Système général harmonisé </w:t>
            </w:r>
            <w:r w:rsidRPr="00DC403E">
              <w:rPr>
                <w:b/>
                <w:bCs/>
                <w:lang w:val="fr-FR"/>
              </w:rPr>
              <w:br/>
              <w:t>de classification et d</w:t>
            </w:r>
            <w:r>
              <w:rPr>
                <w:b/>
                <w:bCs/>
                <w:lang w:val="fr-FR"/>
              </w:rPr>
              <w:t>’</w:t>
            </w:r>
            <w:r w:rsidRPr="00DC403E">
              <w:rPr>
                <w:b/>
                <w:bCs/>
                <w:lang w:val="fr-FR"/>
              </w:rPr>
              <w:t xml:space="preserve">étiquetage des produits </w:t>
            </w:r>
            <w:r w:rsidRPr="00DC403E">
              <w:rPr>
                <w:b/>
                <w:bCs/>
                <w:lang w:val="fr-FR"/>
              </w:rPr>
              <w:br/>
              <w:t xml:space="preserve">chimiques : </w:t>
            </w:r>
            <w:r>
              <w:rPr>
                <w:b/>
                <w:bCs/>
                <w:lang w:val="fr-FR"/>
              </w:rPr>
              <w:t>É</w:t>
            </w:r>
            <w:r w:rsidRPr="00DC403E">
              <w:rPr>
                <w:b/>
                <w:bCs/>
                <w:lang w:val="fr-FR"/>
              </w:rPr>
              <w:t>preuves relatives aux matières comburantes</w:t>
            </w:r>
          </w:p>
        </w:tc>
        <w:tc>
          <w:tcPr>
            <w:tcW w:w="4820" w:type="dxa"/>
          </w:tcPr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 xml:space="preserve">Genève, </w:t>
            </w:r>
            <w:r w:rsidRPr="00971E6C">
              <w:rPr>
                <w:lang w:val="fr-FR"/>
              </w:rPr>
              <w:t xml:space="preserve">5-7 </w:t>
            </w:r>
            <w:r w:rsidRPr="00DC403E">
              <w:rPr>
                <w:lang w:val="fr-FR"/>
              </w:rPr>
              <w:t>décembre</w:t>
            </w:r>
            <w:r w:rsidRPr="00971E6C">
              <w:rPr>
                <w:lang w:val="fr-FR"/>
              </w:rPr>
              <w:t xml:space="preserve"> </w:t>
            </w:r>
            <w:r w:rsidRPr="00DC403E">
              <w:rPr>
                <w:lang w:val="fr-FR"/>
              </w:rPr>
              <w:t>2018</w:t>
            </w:r>
          </w:p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>Point 3 a) de l</w:t>
            </w:r>
            <w:r>
              <w:rPr>
                <w:lang w:val="fr-FR"/>
              </w:rPr>
              <w:t>’</w:t>
            </w:r>
            <w:r w:rsidRPr="00DC403E">
              <w:rPr>
                <w:lang w:val="fr-FR"/>
              </w:rPr>
              <w:t>ordre du jour provisoire</w:t>
            </w:r>
          </w:p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Critères de classification et communication des dangers y relatifs : </w:t>
            </w:r>
            <w:r>
              <w:rPr>
                <w:b/>
                <w:bCs/>
                <w:lang w:val="fr-FR"/>
              </w:rPr>
              <w:t>T</w:t>
            </w:r>
            <w:r w:rsidRPr="00DC403E">
              <w:rPr>
                <w:b/>
                <w:bCs/>
                <w:lang w:val="fr-FR"/>
              </w:rPr>
              <w:t>ravaux du Sous-Comité d</w:t>
            </w:r>
            <w:r>
              <w:rPr>
                <w:b/>
                <w:bCs/>
                <w:lang w:val="fr-FR"/>
              </w:rPr>
              <w:t>’</w:t>
            </w:r>
            <w:r w:rsidRPr="00DC403E">
              <w:rPr>
                <w:b/>
                <w:bCs/>
                <w:lang w:val="fr-FR"/>
              </w:rPr>
              <w:t xml:space="preserve">experts </w:t>
            </w:r>
            <w:r w:rsidRPr="00DC403E">
              <w:rPr>
                <w:b/>
                <w:bCs/>
                <w:lang w:val="fr-FR"/>
              </w:rPr>
              <w:br/>
              <w:t xml:space="preserve">du transport des marchandises dangereuses (TMD) </w:t>
            </w:r>
            <w:r w:rsidRPr="00DC403E">
              <w:rPr>
                <w:b/>
                <w:bCs/>
                <w:lang w:val="fr-FR"/>
              </w:rPr>
              <w:br/>
              <w:t>sur des questions intéressant le Sous-Comité SGH</w:t>
            </w:r>
          </w:p>
        </w:tc>
      </w:tr>
    </w:tbl>
    <w:p w:rsidR="00C2343E" w:rsidRPr="00DC403E" w:rsidRDefault="00C2343E" w:rsidP="00C2343E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</w:r>
      <w:r w:rsidRPr="00DC403E">
        <w:rPr>
          <w:spacing w:val="-4"/>
          <w:lang w:val="fr-FR"/>
        </w:rPr>
        <w:t>Épreuves pour les matières liquides comburantes (épreuve O.2)</w:t>
      </w:r>
      <w:r w:rsidRPr="00DC403E">
        <w:rPr>
          <w:lang w:val="fr-FR"/>
        </w:rPr>
        <w:t xml:space="preserve"> et les matières solides comburantes (épreuves O.1 et O.3) Amendements corollaires aux descriptifs des épreuves </w:t>
      </w:r>
      <w:r w:rsidRPr="00DC403E">
        <w:rPr>
          <w:lang w:val="fr-FR"/>
        </w:rPr>
        <w:br/>
        <w:t>à la suite du remplacement de la cellulose</w:t>
      </w:r>
    </w:p>
    <w:p w:rsidR="00C2343E" w:rsidRPr="00DC403E" w:rsidRDefault="00C2343E" w:rsidP="00C2343E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Communication de l</w:t>
      </w:r>
      <w:r>
        <w:rPr>
          <w:lang w:val="fr-FR"/>
        </w:rPr>
        <w:t>’</w:t>
      </w:r>
      <w:r w:rsidRPr="00DC403E">
        <w:rPr>
          <w:lang w:val="fr-FR"/>
        </w:rPr>
        <w:t>expert de la France</w:t>
      </w:r>
      <w:r w:rsidRPr="00DC403E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C2343E" w:rsidRPr="00DC403E" w:rsidRDefault="00C2343E" w:rsidP="00C2343E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Contexte</w:t>
      </w:r>
    </w:p>
    <w:p w:rsidR="00C2343E" w:rsidRPr="00DC403E" w:rsidRDefault="00C2343E" w:rsidP="00C2343E">
      <w:pPr>
        <w:pStyle w:val="SingleTxtG"/>
      </w:pPr>
      <w:r w:rsidRPr="00DC403E">
        <w:t>1.</w:t>
      </w:r>
      <w:r w:rsidRPr="00DC403E">
        <w:tab/>
        <w:t>Au cours de la période 2014-2016, d</w:t>
      </w:r>
      <w:r>
        <w:t>’</w:t>
      </w:r>
      <w:r w:rsidRPr="00DC403E">
        <w:t>importants travaux ont été entrepris en vue du remplacement de la cellulose</w:t>
      </w:r>
      <w:r w:rsidRPr="00DC403E">
        <w:rPr>
          <w:b/>
        </w:rPr>
        <w:t xml:space="preserve"> </w:t>
      </w:r>
      <w:r w:rsidRPr="00DC403E">
        <w:t>Whatman CF11 au moyen d</w:t>
      </w:r>
      <w:r>
        <w:t>’</w:t>
      </w:r>
      <w:r w:rsidRPr="00DC403E">
        <w:rPr>
          <w:lang w:val="fr-FR"/>
        </w:rPr>
        <w:t xml:space="preserve">épreuves </w:t>
      </w:r>
      <w:r w:rsidRPr="00DC403E">
        <w:t>interlaboratoires et d</w:t>
      </w:r>
      <w:r>
        <w:t>’</w:t>
      </w:r>
      <w:r w:rsidRPr="00DC403E">
        <w:t>autres études réalisées avec la participation des 14</w:t>
      </w:r>
      <w:r>
        <w:t> </w:t>
      </w:r>
      <w:r w:rsidRPr="00DC403E">
        <w:t xml:space="preserve">laboratoires suivants de huit pays différents : BASF SE (Allemagne), BAM Division 2.2 (Allemagne), BAYER Technology Services (Allemagne), </w:t>
      </w:r>
      <w:r w:rsidRPr="005713D6">
        <w:t>Laboratoire canadien de recherche sur les explosifs</w:t>
      </w:r>
      <w:r w:rsidR="003F3C62">
        <w:t xml:space="preserve"> −</w:t>
      </w:r>
      <w:r w:rsidRPr="00DC403E">
        <w:t xml:space="preserve"> </w:t>
      </w:r>
      <w:r>
        <w:t>CanmetLCRE</w:t>
      </w:r>
      <w:r w:rsidRPr="00DC403E">
        <w:t xml:space="preserve"> (Canada), CONSILAB (Allemagne)</w:t>
      </w:r>
      <w:r w:rsidR="003F3C62">
        <w:t>, Health and Safety Laboratory −</w:t>
      </w:r>
      <w:r w:rsidRPr="00DC403E">
        <w:t xml:space="preserve"> HSL (Royaume-Uni), Institut national de l</w:t>
      </w:r>
      <w:r>
        <w:t>’</w:t>
      </w:r>
      <w:r w:rsidRPr="00DC403E">
        <w:t xml:space="preserve">environnement industriel et des risques (INERIS) (France), Institute of Industrial Organic Chemistry </w:t>
      </w:r>
      <w:r>
        <w:t>−</w:t>
      </w:r>
      <w:r w:rsidRPr="00DC403E">
        <w:t xml:space="preserve"> IPO (Pologne), LONZA (États-Unis), Shanghai Research </w:t>
      </w:r>
      <w:r>
        <w:t>Institute of Chemical Industry −</w:t>
      </w:r>
      <w:r w:rsidRPr="00DC403E">
        <w:t xml:space="preserve"> SRICI (Chine), SIEMENS AG (Allemagne), SOLVAY (Allemagne), TNO (Pays-Bas) et Centre technologique YARA (Norvège).</w:t>
      </w:r>
    </w:p>
    <w:p w:rsidR="00C2343E" w:rsidRPr="00DC403E" w:rsidRDefault="00C2343E" w:rsidP="00C2343E">
      <w:pPr>
        <w:pStyle w:val="SingleTxtG"/>
        <w:rPr>
          <w:lang w:val="fr-FR"/>
        </w:rPr>
      </w:pPr>
      <w:r w:rsidRPr="00DC403E">
        <w:t>2.</w:t>
      </w:r>
      <w:r w:rsidRPr="00DC403E">
        <w:tab/>
        <w:t>Les résultats de ces travaux sont présentés dans le document</w:t>
      </w:r>
      <w:r>
        <w:t xml:space="preserve"> informel INF.47 (TMD, quarante</w:t>
      </w:r>
      <w:r>
        <w:noBreakHyphen/>
      </w:r>
      <w:r w:rsidRPr="00DC403E">
        <w:t>neuvième session). Ces travaux ont abouti</w:t>
      </w:r>
      <w:r>
        <w:t xml:space="preserve">, </w:t>
      </w:r>
      <w:r w:rsidRPr="00DC403E">
        <w:t>au cours du dernier exercice biennal (2015-2016)</w:t>
      </w:r>
      <w:r>
        <w:t>,</w:t>
      </w:r>
      <w:r w:rsidRPr="00DC403E">
        <w:t xml:space="preserve"> à l</w:t>
      </w:r>
      <w:r>
        <w:t>’</w:t>
      </w:r>
      <w:r w:rsidRPr="00DC403E">
        <w:t>adoption d</w:t>
      </w:r>
      <w:r>
        <w:t>’</w:t>
      </w:r>
      <w:r w:rsidRPr="00DC403E">
        <w:t>un matériau de substitution à la cellulose</w:t>
      </w:r>
      <w:r w:rsidRPr="00DC403E">
        <w:rPr>
          <w:b/>
        </w:rPr>
        <w:t xml:space="preserve"> </w:t>
      </w:r>
      <w:r w:rsidRPr="00DC403E">
        <w:t xml:space="preserve">comme matériau de référence pour les épreuves O.1 et O.2. Toutefois, ils ont aussi mis en évidence la nécessité </w:t>
      </w:r>
      <w:r w:rsidRPr="00DC403E">
        <w:lastRenderedPageBreak/>
        <w:t>d</w:t>
      </w:r>
      <w:r>
        <w:t>’</w:t>
      </w:r>
      <w:r w:rsidRPr="00DC403E">
        <w:t xml:space="preserve">améliorer les </w:t>
      </w:r>
      <w:r w:rsidRPr="00DC403E">
        <w:rPr>
          <w:lang w:val="fr-FR"/>
        </w:rPr>
        <w:t xml:space="preserve">descriptifs des épreuves </w:t>
      </w:r>
      <w:r w:rsidRPr="00DC403E">
        <w:t>O.1, O.2 et O.3. Ces améliorations sont présentées dans le présent document.</w:t>
      </w:r>
    </w:p>
    <w:p w:rsidR="00C2343E" w:rsidRPr="00DC403E" w:rsidRDefault="00C2343E" w:rsidP="00C234A6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Introduction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3.</w:t>
      </w:r>
      <w:r w:rsidRPr="00DC403E">
        <w:rPr>
          <w:lang w:val="fr-FR"/>
        </w:rPr>
        <w:tab/>
        <w:t>À sa huitième session, le Comité a approuvé le programme de travail de ses deux sous-comités pour la période biennale 2017-2018 (voir les documents ST/SG/AC.10/44, par. 14 ; ST/SG/AC.10/C.3/100, par. 98 ; et ST/SG/AC.10/C.4/64, annexe</w:t>
      </w:r>
      <w:r w:rsidR="00C234A6">
        <w:rPr>
          <w:lang w:val="fr-FR"/>
        </w:rPr>
        <w:t> </w:t>
      </w:r>
      <w:r w:rsidRPr="00DC403E">
        <w:rPr>
          <w:lang w:val="fr-FR"/>
        </w:rPr>
        <w:t>III). Parmi les questions concernant le SGH inscrites dans ce programme figurent les épreuves pour les matières comburantes.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szCs w:val="24"/>
          <w:lang w:val="fr-FR"/>
        </w:rPr>
        <w:t>4.</w:t>
      </w:r>
      <w:r w:rsidRPr="00DC403E">
        <w:rPr>
          <w:szCs w:val="24"/>
          <w:lang w:val="fr-FR"/>
        </w:rPr>
        <w:tab/>
        <w:t>Ce programme de travail mettait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accent sur les amendements corollaires aux épreuves O.1 à O.3 qui s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imposaient à la suite du </w:t>
      </w:r>
      <w:r w:rsidRPr="00DC403E">
        <w:rPr>
          <w:lang w:val="fr-FR"/>
        </w:rPr>
        <w:t>remplacement</w:t>
      </w:r>
      <w:r w:rsidRPr="00DC403E">
        <w:rPr>
          <w:szCs w:val="24"/>
          <w:lang w:val="fr-FR"/>
        </w:rPr>
        <w:t xml:space="preserve"> de la cellulose, comme convenu par le Comité (voir les documents ST/SG/AC.10/44, par. 11 et</w:t>
      </w:r>
      <w:r w:rsidR="003F3C62">
        <w:rPr>
          <w:szCs w:val="24"/>
          <w:lang w:val="fr-FR"/>
        </w:rPr>
        <w:t xml:space="preserve"> Add.2, sect. 34 ; ST/SG/AC.10/</w:t>
      </w:r>
      <w:r w:rsidRPr="00DC403E">
        <w:rPr>
          <w:szCs w:val="24"/>
          <w:lang w:val="fr-FR"/>
        </w:rPr>
        <w:t>C.3/100, par. 79 à 82 ; et ST/SG/AC.10/C.4/64, par. 14).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szCs w:val="24"/>
          <w:lang w:val="fr-FR"/>
        </w:rPr>
        <w:t>5.</w:t>
      </w:r>
      <w:r w:rsidRPr="00DC403E">
        <w:rPr>
          <w:szCs w:val="24"/>
          <w:lang w:val="fr-FR"/>
        </w:rPr>
        <w:tab/>
        <w:t xml:space="preserve">Le </w:t>
      </w:r>
      <w:r w:rsidRPr="00DC403E">
        <w:rPr>
          <w:lang w:val="fr-FR"/>
        </w:rPr>
        <w:t>calendrier</w:t>
      </w:r>
      <w:r w:rsidRPr="00DC403E">
        <w:rPr>
          <w:szCs w:val="24"/>
          <w:lang w:val="fr-FR"/>
        </w:rPr>
        <w:t xml:space="preserve"> pour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élaboration des amendements corollaires aux épreuves O.1 à O.3 à la suite du remplacement de la cellulose, indiqué par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expert de la France dans le document ST/SG/AC.10/C.3/2017/28, a été appliqué et les travaux ont été effectués par la plupart des laboratoires énumérés au paragraphe 1.</w:t>
      </w:r>
    </w:p>
    <w:p w:rsidR="00C2343E" w:rsidRPr="00DC403E" w:rsidRDefault="00C2343E" w:rsidP="00C234A6">
      <w:pPr>
        <w:pStyle w:val="SingleTxtG"/>
        <w:rPr>
          <w:spacing w:val="-2"/>
          <w:szCs w:val="24"/>
          <w:lang w:val="fr-FR"/>
        </w:rPr>
      </w:pPr>
      <w:r w:rsidRPr="00DC403E">
        <w:rPr>
          <w:spacing w:val="-2"/>
          <w:szCs w:val="24"/>
          <w:lang w:val="fr-FR"/>
        </w:rPr>
        <w:t>6.</w:t>
      </w:r>
      <w:r w:rsidRPr="00DC403E">
        <w:rPr>
          <w:spacing w:val="-2"/>
          <w:szCs w:val="24"/>
          <w:lang w:val="fr-FR"/>
        </w:rPr>
        <w:tab/>
        <w:t xml:space="preserve">Le </w:t>
      </w:r>
      <w:r w:rsidRPr="00DC403E">
        <w:rPr>
          <w:spacing w:val="-2"/>
          <w:lang w:val="fr-FR"/>
        </w:rPr>
        <w:t>document</w:t>
      </w:r>
      <w:r w:rsidRPr="00DC403E">
        <w:rPr>
          <w:spacing w:val="-2"/>
          <w:szCs w:val="24"/>
          <w:lang w:val="fr-FR"/>
        </w:rPr>
        <w:t xml:space="preserve"> ST/SG/AC.10/C.3/2017/45 et le docu</w:t>
      </w:r>
      <w:r w:rsidR="003F3C62">
        <w:rPr>
          <w:spacing w:val="-2"/>
          <w:szCs w:val="24"/>
          <w:lang w:val="fr-FR"/>
        </w:rPr>
        <w:t>ment informel INF.35 (cinquante</w:t>
      </w:r>
      <w:r w:rsidR="003F3C62">
        <w:rPr>
          <w:spacing w:val="-2"/>
          <w:szCs w:val="24"/>
          <w:lang w:val="fr-FR"/>
        </w:rPr>
        <w:noBreakHyphen/>
      </w:r>
      <w:r w:rsidRPr="00DC403E">
        <w:rPr>
          <w:spacing w:val="-2"/>
          <w:szCs w:val="24"/>
          <w:lang w:val="fr-FR"/>
        </w:rPr>
        <w:t>deuxième session) contiennent un aperçu de l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état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avancement des travaux. Des propositions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 xml:space="preserve">amendements au descriptif des épreuves pour les matières liquides comburantes (épreuve O.2) et les matières solides comburantes (épreuves O.1 et O.3) ont été présentées dans le document </w:t>
      </w:r>
      <w:r w:rsidRPr="00DC403E">
        <w:rPr>
          <w:spacing w:val="-2"/>
          <w:szCs w:val="24"/>
        </w:rPr>
        <w:t>ST/SG/AC.10/C.3/2018/35</w:t>
      </w:r>
      <w:r w:rsidR="00C234A6">
        <w:rPr>
          <w:spacing w:val="-2"/>
          <w:szCs w:val="24"/>
        </w:rPr>
        <w:noBreakHyphen/>
      </w:r>
      <w:r w:rsidRPr="00DC403E">
        <w:rPr>
          <w:spacing w:val="-2"/>
          <w:szCs w:val="24"/>
        </w:rPr>
        <w:t>ST/SG/AC.10/C.4/2018/8.</w:t>
      </w:r>
    </w:p>
    <w:p w:rsidR="00C2343E" w:rsidRPr="00DC403E" w:rsidRDefault="00C2343E" w:rsidP="00C234A6">
      <w:pPr>
        <w:pStyle w:val="SingleTxtG"/>
        <w:rPr>
          <w:spacing w:val="-2"/>
          <w:szCs w:val="24"/>
          <w:lang w:val="fr-FR"/>
        </w:rPr>
      </w:pPr>
      <w:r w:rsidRPr="00DC403E">
        <w:rPr>
          <w:spacing w:val="-2"/>
          <w:szCs w:val="24"/>
          <w:lang w:val="fr-FR"/>
        </w:rPr>
        <w:t>7.</w:t>
      </w:r>
      <w:r w:rsidRPr="00DC403E">
        <w:rPr>
          <w:spacing w:val="-2"/>
          <w:szCs w:val="24"/>
          <w:lang w:val="fr-FR"/>
        </w:rPr>
        <w:tab/>
        <w:t>À sa cinquante-troisième session, le Sous-Comité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experts du transport des marchandises dangereuses (Sous-Comité TMD) s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est dit favorable à l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amélioration de la proposition figurant dans le document ST/SG/AC.10/C.3/2018/35-ST/SG/AC.10/C.4/2018/8, compte tenu des observations communiquées (voir ST/SG/AC.10</w:t>
      </w:r>
      <w:r w:rsidRPr="00DC403E">
        <w:t>/C.3/106 par.</w:t>
      </w:r>
      <w:r w:rsidR="00C234A6">
        <w:t> </w:t>
      </w:r>
      <w:r w:rsidRPr="00DC403E">
        <w:t xml:space="preserve">156 à 159), et </w:t>
      </w:r>
      <w:r w:rsidRPr="00DC403E">
        <w:rPr>
          <w:spacing w:val="-2"/>
          <w:szCs w:val="24"/>
          <w:lang w:val="fr-FR"/>
        </w:rPr>
        <w:t>à sa trente-cinquième session, le Sous-Comité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experts du Système général harmonisé de classification et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étiquetage des produits chimiques (Sous-Comité SGH) a pris note des résultats des débats du Sous-Comité TMD (voir ST/SG/AC.10/C.4/70, par.</w:t>
      </w:r>
      <w:r w:rsidR="00C234A6">
        <w:rPr>
          <w:spacing w:val="-2"/>
          <w:szCs w:val="24"/>
          <w:lang w:val="fr-FR"/>
        </w:rPr>
        <w:t> </w:t>
      </w:r>
      <w:r w:rsidRPr="00DC403E">
        <w:rPr>
          <w:spacing w:val="-2"/>
          <w:szCs w:val="24"/>
          <w:lang w:val="fr-FR"/>
        </w:rPr>
        <w:t>22 et 23).</w:t>
      </w:r>
    </w:p>
    <w:p w:rsidR="00C2343E" w:rsidRPr="00DC403E" w:rsidRDefault="00C2343E" w:rsidP="00C234A6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Résultats finals de l</w:t>
      </w:r>
      <w:r>
        <w:rPr>
          <w:lang w:val="fr-FR"/>
        </w:rPr>
        <w:t>’</w:t>
      </w:r>
      <w:r w:rsidRPr="00DC403E">
        <w:rPr>
          <w:lang w:val="fr-FR"/>
        </w:rPr>
        <w:t xml:space="preserve">exécution du programme </w:t>
      </w:r>
      <w:r w:rsidR="00C234A6">
        <w:rPr>
          <w:lang w:val="fr-FR"/>
        </w:rPr>
        <w:br/>
      </w:r>
      <w:r w:rsidRPr="00DC403E">
        <w:rPr>
          <w:lang w:val="fr-FR"/>
        </w:rPr>
        <w:t>de travail actuel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8.</w:t>
      </w:r>
      <w:r w:rsidRPr="00DC403E">
        <w:rPr>
          <w:lang w:val="fr-FR"/>
        </w:rPr>
        <w:tab/>
        <w:t>Les paragraphes ci-après décrivent les résultats des travaux menés au titre des quatre points à examiner</w:t>
      </w:r>
      <w:r>
        <w:rPr>
          <w:lang w:val="fr-FR"/>
        </w:rPr>
        <w:t xml:space="preserve"> </w:t>
      </w:r>
      <w:r w:rsidRPr="00DC403E">
        <w:rPr>
          <w:lang w:val="fr-FR"/>
        </w:rPr>
        <w:t>conformément au programme de travail (voir le document informel INF.12 (cinquante et unième session)</w:t>
      </w:r>
      <w:r>
        <w:rPr>
          <w:lang w:val="fr-FR"/>
        </w:rPr>
        <w:t>)</w:t>
      </w:r>
      <w:r w:rsidRPr="00DC403E">
        <w:rPr>
          <w:lang w:val="fr-FR"/>
        </w:rPr>
        <w:t xml:space="preserve">. 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lang w:val="fr-FR"/>
        </w:rPr>
        <w:t>9.</w:t>
      </w:r>
      <w:r w:rsidRPr="00DC403E">
        <w:rPr>
          <w:lang w:val="fr-FR"/>
        </w:rPr>
        <w:tab/>
        <w:t>Afin d</w:t>
      </w:r>
      <w:r>
        <w:rPr>
          <w:lang w:val="fr-FR"/>
        </w:rPr>
        <w:t>’</w:t>
      </w:r>
      <w:r w:rsidRPr="00DC403E">
        <w:rPr>
          <w:lang w:val="fr-FR"/>
        </w:rPr>
        <w:t>améliorer l</w:t>
      </w:r>
      <w:r>
        <w:rPr>
          <w:lang w:val="fr-FR"/>
        </w:rPr>
        <w:t>’</w:t>
      </w:r>
      <w:r w:rsidRPr="00DC403E">
        <w:rPr>
          <w:lang w:val="fr-FR"/>
        </w:rPr>
        <w:t>épreuve O.2, il a été envisagé de remplacer les matières de référence correspondant au groupe d</w:t>
      </w:r>
      <w:r>
        <w:rPr>
          <w:lang w:val="fr-FR"/>
        </w:rPr>
        <w:t>’</w:t>
      </w:r>
      <w:r w:rsidRPr="00DC403E">
        <w:rPr>
          <w:lang w:val="fr-FR"/>
        </w:rPr>
        <w:t>emballage II (solution aqueuse de chlorate de sodium à 40 %) et au groupe d</w:t>
      </w:r>
      <w:r>
        <w:rPr>
          <w:lang w:val="fr-FR"/>
        </w:rPr>
        <w:t>’</w:t>
      </w:r>
      <w:r w:rsidRPr="00DC403E">
        <w:rPr>
          <w:lang w:val="fr-FR"/>
        </w:rPr>
        <w:t>emballage III (acide nitrique aqueux à 65 %) par des solutions aqueuses d</w:t>
      </w:r>
      <w:r>
        <w:rPr>
          <w:lang w:val="fr-FR"/>
        </w:rPr>
        <w:t>’</w:t>
      </w:r>
      <w:r w:rsidRPr="00DC403E">
        <w:rPr>
          <w:lang w:val="fr-FR"/>
        </w:rPr>
        <w:t>acide perchlorique à 30-40 %</w:t>
      </w:r>
      <w:r w:rsidRPr="00E817CB">
        <w:rPr>
          <w:rStyle w:val="FootnoteReference"/>
        </w:rPr>
        <w:footnoteReference w:id="3"/>
      </w:r>
      <w:r w:rsidRPr="00DC403E">
        <w:rPr>
          <w:lang w:val="fr-FR"/>
        </w:rPr>
        <w:t xml:space="preserve">. </w:t>
      </w:r>
      <w:r w:rsidRPr="00DC403E">
        <w:rPr>
          <w:szCs w:val="24"/>
          <w:lang w:val="fr-FR"/>
        </w:rPr>
        <w:t>Les résultats préliminaires, qui étaient prometteurs, ont été présentés par INERIS à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autres laboratoires en septembre. Ceux-ci ont pour la plupart dit souscrire à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idée de remplacer les trois matières de référence par une seule dans la méthode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épreuve, mais ont aussi constaté que cette démarche nécessiterait des travaux complémentaires et un délai supplémentaire avant de pouvoir être éventuellement validée par des épreuves interlaboratoires.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10.</w:t>
      </w:r>
      <w:r w:rsidRPr="00DC403E">
        <w:rPr>
          <w:lang w:val="fr-FR"/>
        </w:rPr>
        <w:tab/>
        <w:t>Il a également été envisagé de mieux libeller le descriptif de l</w:t>
      </w:r>
      <w:r>
        <w:rPr>
          <w:lang w:val="fr-FR"/>
        </w:rPr>
        <w:t>’</w:t>
      </w:r>
      <w:r w:rsidRPr="00DC403E">
        <w:rPr>
          <w:lang w:val="fr-FR"/>
        </w:rPr>
        <w:t>épreuve, en particulier le paragraphe</w:t>
      </w:r>
      <w:r w:rsidR="00C234A6">
        <w:rPr>
          <w:lang w:val="fr-FR"/>
        </w:rPr>
        <w:t> </w:t>
      </w:r>
      <w:r w:rsidRPr="00DC403E">
        <w:rPr>
          <w:lang w:val="fr-FR"/>
        </w:rPr>
        <w:t>34.4.2.3 du Manuel d</w:t>
      </w:r>
      <w:r>
        <w:rPr>
          <w:lang w:val="fr-FR"/>
        </w:rPr>
        <w:t>’</w:t>
      </w:r>
      <w:r w:rsidRPr="00DC403E">
        <w:rPr>
          <w:lang w:val="fr-FR"/>
        </w:rPr>
        <w:t>épreuves et de critères (ST/SG/AC.10/11/Rev.6). À</w:t>
      </w:r>
      <w:r w:rsidR="00C234A6">
        <w:rPr>
          <w:lang w:val="fr-FR"/>
        </w:rPr>
        <w:t> </w:t>
      </w:r>
      <w:r w:rsidRPr="00DC403E">
        <w:rPr>
          <w:lang w:val="fr-FR"/>
        </w:rPr>
        <w:t>cette fin, un questionnaire a été distribué aux neuf laboratoires ayant participé en 2015 à une épreuve interlaboratoires</w:t>
      </w:r>
      <w:r>
        <w:rPr>
          <w:lang w:val="fr-FR"/>
        </w:rPr>
        <w:t xml:space="preserve"> </w:t>
      </w:r>
      <w:r w:rsidRPr="00DC403E">
        <w:rPr>
          <w:lang w:val="fr-FR"/>
        </w:rPr>
        <w:t>concernant l</w:t>
      </w:r>
      <w:r>
        <w:rPr>
          <w:lang w:val="fr-FR"/>
        </w:rPr>
        <w:t>’</w:t>
      </w:r>
      <w:r w:rsidRPr="00DC403E">
        <w:rPr>
          <w:lang w:val="fr-FR"/>
        </w:rPr>
        <w:t>épreuve O.2</w:t>
      </w:r>
      <w:r>
        <w:rPr>
          <w:lang w:val="fr-FR"/>
        </w:rPr>
        <w:t xml:space="preserve"> </w:t>
      </w:r>
      <w:r w:rsidRPr="00DC403E">
        <w:rPr>
          <w:lang w:val="fr-FR"/>
        </w:rPr>
        <w:t>(voir document informel INF.47 (quarante-neuvième session), annexe</w:t>
      </w:r>
      <w:r w:rsidR="000E7BEC">
        <w:rPr>
          <w:lang w:val="fr-FR"/>
        </w:rPr>
        <w:t> </w:t>
      </w:r>
      <w:r w:rsidRPr="00DC403E">
        <w:rPr>
          <w:lang w:val="fr-FR"/>
        </w:rPr>
        <w:t xml:space="preserve">1), </w:t>
      </w:r>
      <w:r>
        <w:rPr>
          <w:lang w:val="fr-FR"/>
        </w:rPr>
        <w:t>afin de</w:t>
      </w:r>
      <w:r w:rsidRPr="00DC403E">
        <w:rPr>
          <w:lang w:val="fr-FR"/>
        </w:rPr>
        <w:t xml:space="preserve"> connaître leurs meilleures pratiques. </w:t>
      </w:r>
      <w:r w:rsidRPr="00DC403E">
        <w:rPr>
          <w:lang w:val="fr-FR"/>
        </w:rPr>
        <w:lastRenderedPageBreak/>
        <w:t>Les</w:t>
      </w:r>
      <w:r w:rsidR="00C234A6">
        <w:rPr>
          <w:lang w:val="fr-FR"/>
        </w:rPr>
        <w:t> </w:t>
      </w:r>
      <w:r w:rsidRPr="00DC403E">
        <w:rPr>
          <w:lang w:val="fr-FR"/>
        </w:rPr>
        <w:t>renseignements tirés de</w:t>
      </w:r>
      <w:r>
        <w:rPr>
          <w:lang w:val="fr-FR"/>
        </w:rPr>
        <w:t xml:space="preserve">s </w:t>
      </w:r>
      <w:r w:rsidRPr="00DC403E">
        <w:rPr>
          <w:lang w:val="fr-FR"/>
        </w:rPr>
        <w:t xml:space="preserve">réponses </w:t>
      </w:r>
      <w:r>
        <w:rPr>
          <w:lang w:val="fr-FR"/>
        </w:rPr>
        <w:t xml:space="preserve">au questionnaire </w:t>
      </w:r>
      <w:r w:rsidRPr="00DC403E">
        <w:rPr>
          <w:lang w:val="fr-FR"/>
        </w:rPr>
        <w:t>et les observations formulées par les</w:t>
      </w:r>
      <w:r w:rsidR="00C234A6">
        <w:rPr>
          <w:lang w:val="fr-FR"/>
        </w:rPr>
        <w:t> </w:t>
      </w:r>
      <w:r w:rsidRPr="00DC403E">
        <w:rPr>
          <w:lang w:val="fr-FR"/>
        </w:rPr>
        <w:t>Pays-Bas</w:t>
      </w:r>
      <w:r>
        <w:rPr>
          <w:lang w:val="fr-FR"/>
        </w:rPr>
        <w:t>,</w:t>
      </w:r>
      <w:r w:rsidRPr="00DC403E">
        <w:rPr>
          <w:lang w:val="fr-FR"/>
        </w:rPr>
        <w:t xml:space="preserve"> à la cinquante-troisième session du Sous-Comité</w:t>
      </w:r>
      <w:r>
        <w:rPr>
          <w:lang w:val="fr-FR"/>
        </w:rPr>
        <w:t>,</w:t>
      </w:r>
      <w:r w:rsidRPr="00DC403E">
        <w:rPr>
          <w:lang w:val="fr-FR"/>
        </w:rPr>
        <w:t xml:space="preserve"> visant à exclure plus clairement l</w:t>
      </w:r>
      <w:r>
        <w:rPr>
          <w:lang w:val="fr-FR"/>
        </w:rPr>
        <w:t>’</w:t>
      </w:r>
      <w:r w:rsidRPr="00DC403E">
        <w:rPr>
          <w:lang w:val="fr-FR"/>
        </w:rPr>
        <w:t>utilisation éventuelle d</w:t>
      </w:r>
      <w:r>
        <w:rPr>
          <w:lang w:val="fr-FR"/>
        </w:rPr>
        <w:t>’</w:t>
      </w:r>
      <w:r w:rsidRPr="00DC403E">
        <w:rPr>
          <w:lang w:val="fr-FR"/>
        </w:rPr>
        <w:t xml:space="preserve">un </w:t>
      </w:r>
      <w:r w:rsidRPr="00DC403E">
        <w:t xml:space="preserve">agitateur </w:t>
      </w:r>
      <w:r w:rsidRPr="00DC403E">
        <w:rPr>
          <w:lang w:val="fr-FR"/>
        </w:rPr>
        <w:t>métallique</w:t>
      </w:r>
      <w:r>
        <w:t>,</w:t>
      </w:r>
      <w:r w:rsidRPr="00DC403E">
        <w:rPr>
          <w:lang w:val="fr-FR"/>
        </w:rPr>
        <w:t xml:space="preserve"> </w:t>
      </w:r>
      <w:r>
        <w:rPr>
          <w:lang w:val="fr-FR"/>
        </w:rPr>
        <w:t>ont permis</w:t>
      </w:r>
      <w:r w:rsidRPr="00DC403E">
        <w:t xml:space="preserve"> </w:t>
      </w:r>
      <w:r w:rsidRPr="00DC403E">
        <w:rPr>
          <w:lang w:val="fr-FR"/>
        </w:rPr>
        <w:t>de formuler une proposition (voir le paragraphe 16 du présent document).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11.</w:t>
      </w:r>
      <w:r w:rsidRPr="00DC403E">
        <w:rPr>
          <w:lang w:val="fr-FR"/>
        </w:rPr>
        <w:tab/>
        <w:t>Le comburant de référence pour l</w:t>
      </w:r>
      <w:r>
        <w:rPr>
          <w:lang w:val="fr-FR"/>
        </w:rPr>
        <w:t>’</w:t>
      </w:r>
      <w:r w:rsidRPr="00DC403E">
        <w:rPr>
          <w:lang w:val="fr-FR"/>
        </w:rPr>
        <w:t>épreuve O.3 (peroxyde de calcium à 75 %) pouvant provenir de différentes sources et étant exposé au vieillissement, la question de la nécessité de déterminer la concentration en peroxyde de calcium avant d</w:t>
      </w:r>
      <w:r>
        <w:rPr>
          <w:lang w:val="fr-FR"/>
        </w:rPr>
        <w:t>’</w:t>
      </w:r>
      <w:r w:rsidRPr="00DC403E">
        <w:rPr>
          <w:lang w:val="fr-FR"/>
        </w:rPr>
        <w:t>utiliser le comburant de référence a été examinée. Il a été considéré que toute obligation d</w:t>
      </w:r>
      <w:r>
        <w:rPr>
          <w:lang w:val="fr-FR"/>
        </w:rPr>
        <w:t>’</w:t>
      </w:r>
      <w:r w:rsidRPr="00DC403E">
        <w:rPr>
          <w:lang w:val="fr-FR"/>
        </w:rPr>
        <w:t>effectuer cette détermination avant chaque épreuve aurait pour effet d</w:t>
      </w:r>
      <w:r>
        <w:rPr>
          <w:lang w:val="fr-FR"/>
        </w:rPr>
        <w:t>’</w:t>
      </w:r>
      <w:r w:rsidRPr="00DC403E">
        <w:rPr>
          <w:lang w:val="fr-FR"/>
        </w:rPr>
        <w:t>accroître la complexité de la méthode pour l</w:t>
      </w:r>
      <w:r>
        <w:rPr>
          <w:lang w:val="fr-FR"/>
        </w:rPr>
        <w:t>’</w:t>
      </w:r>
      <w:r w:rsidRPr="00DC403E">
        <w:rPr>
          <w:lang w:val="fr-FR"/>
        </w:rPr>
        <w:t>épreuve O.3, d</w:t>
      </w:r>
      <w:r>
        <w:rPr>
          <w:lang w:val="fr-FR"/>
        </w:rPr>
        <w:t>’</w:t>
      </w:r>
      <w:r w:rsidRPr="00DC403E">
        <w:rPr>
          <w:lang w:val="fr-FR"/>
        </w:rPr>
        <w:t>imposer des travaux interlaboratoires supplémentaires et d</w:t>
      </w:r>
      <w:r>
        <w:rPr>
          <w:lang w:val="fr-FR"/>
        </w:rPr>
        <w:t>’</w:t>
      </w:r>
      <w:r w:rsidRPr="00DC403E">
        <w:rPr>
          <w:lang w:val="fr-FR"/>
        </w:rPr>
        <w:t>alourdir inutilement le processus. Il a également été considéré que la qualité du peroxyde de calcium devait être établie sur la base du certificat d</w:t>
      </w:r>
      <w:r>
        <w:rPr>
          <w:lang w:val="fr-FR"/>
        </w:rPr>
        <w:t>’</w:t>
      </w:r>
      <w:r w:rsidRPr="00DC403E">
        <w:rPr>
          <w:lang w:val="fr-FR"/>
        </w:rPr>
        <w:t>analyse émanant du fournisseur et de sa date d</w:t>
      </w:r>
      <w:r>
        <w:rPr>
          <w:lang w:val="fr-FR"/>
        </w:rPr>
        <w:t>’</w:t>
      </w:r>
      <w:r w:rsidRPr="00DC403E">
        <w:rPr>
          <w:lang w:val="fr-FR"/>
        </w:rPr>
        <w:t>expiration. En outre, il a été constaté que la tolérance pour la concentration de peroxyde de calcium pourrait être modifiée sans que cela ait d</w:t>
      </w:r>
      <w:r>
        <w:rPr>
          <w:lang w:val="fr-FR"/>
        </w:rPr>
        <w:t>’</w:t>
      </w:r>
      <w:r w:rsidRPr="00DC403E">
        <w:rPr>
          <w:lang w:val="fr-FR"/>
        </w:rPr>
        <w:t>incidence sur les résultats de l</w:t>
      </w:r>
      <w:r>
        <w:rPr>
          <w:lang w:val="fr-FR"/>
        </w:rPr>
        <w:t>’</w:t>
      </w:r>
      <w:r w:rsidRPr="00DC403E">
        <w:rPr>
          <w:lang w:val="fr-FR"/>
        </w:rPr>
        <w:t>épreuve, et que cette démarche permettrait d</w:t>
      </w:r>
      <w:r>
        <w:rPr>
          <w:lang w:val="fr-FR"/>
        </w:rPr>
        <w:t>’</w:t>
      </w:r>
      <w:r w:rsidRPr="00DC403E">
        <w:rPr>
          <w:lang w:val="fr-FR"/>
        </w:rPr>
        <w:t>étendre la durée d</w:t>
      </w:r>
      <w:r>
        <w:rPr>
          <w:lang w:val="fr-FR"/>
        </w:rPr>
        <w:t>’</w:t>
      </w:r>
      <w:r w:rsidRPr="00DC403E">
        <w:rPr>
          <w:lang w:val="fr-FR"/>
        </w:rPr>
        <w:t>utilisation de la matière spécifiée par le fournisseur (voir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 xml:space="preserve">17 du présent document). 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12.</w:t>
      </w:r>
      <w:r w:rsidRPr="00DC403E">
        <w:rPr>
          <w:lang w:val="fr-FR"/>
        </w:rPr>
        <w:tab/>
        <w:t>Conformément au descriptif de l</w:t>
      </w:r>
      <w:r>
        <w:rPr>
          <w:lang w:val="fr-FR"/>
        </w:rPr>
        <w:t>’</w:t>
      </w:r>
      <w:r w:rsidRPr="00DC403E">
        <w:rPr>
          <w:lang w:val="fr-FR"/>
        </w:rPr>
        <w:t>épreuve O.3 (voir le paragraphe</w:t>
      </w:r>
      <w:r w:rsidR="00C234A6">
        <w:rPr>
          <w:lang w:val="fr-FR"/>
        </w:rPr>
        <w:t> </w:t>
      </w:r>
      <w:r w:rsidRPr="00DC403E">
        <w:rPr>
          <w:lang w:val="fr-FR"/>
        </w:rPr>
        <w:t>34.4.3.5.3 du Manuel d</w:t>
      </w:r>
      <w:r>
        <w:rPr>
          <w:lang w:val="fr-FR"/>
        </w:rPr>
        <w:t>’</w:t>
      </w:r>
      <w:r w:rsidRPr="00DC403E">
        <w:rPr>
          <w:lang w:val="fr-FR"/>
        </w:rPr>
        <w:t>épreuves et de critères (ST/SG/AC.10/11/Rev.6)), le coefficient de corrélation (R</w:t>
      </w:r>
      <w:r w:rsidRPr="00DC403E">
        <w:rPr>
          <w:vertAlign w:val="superscript"/>
          <w:lang w:val="fr-FR"/>
        </w:rPr>
        <w:t>2</w:t>
      </w:r>
      <w:r w:rsidRPr="00DC403E">
        <w:rPr>
          <w:lang w:val="fr-FR"/>
        </w:rPr>
        <w:t>) doit être d</w:t>
      </w:r>
      <w:r>
        <w:rPr>
          <w:lang w:val="fr-FR"/>
        </w:rPr>
        <w:t>’</w:t>
      </w:r>
      <w:r w:rsidRPr="00DC403E">
        <w:rPr>
          <w:lang w:val="fr-FR"/>
        </w:rPr>
        <w:t>au moins 0,95 et l</w:t>
      </w:r>
      <w:r>
        <w:rPr>
          <w:lang w:val="fr-FR"/>
        </w:rPr>
        <w:t>’</w:t>
      </w:r>
      <w:r w:rsidRPr="00DC403E">
        <w:rPr>
          <w:lang w:val="fr-FR"/>
        </w:rPr>
        <w:t>écart type ne doit pas dépasser 10 %. Dans la pratique, ces critères sont tellement stricts que l</w:t>
      </w:r>
      <w:r>
        <w:rPr>
          <w:lang w:val="fr-FR"/>
        </w:rPr>
        <w:t>’</w:t>
      </w:r>
      <w:r w:rsidRPr="00DC403E">
        <w:rPr>
          <w:lang w:val="fr-FR"/>
        </w:rPr>
        <w:t>épreuve de combustion doit être répétée à de très nombreuses reprises avant qu</w:t>
      </w:r>
      <w:r>
        <w:rPr>
          <w:lang w:val="fr-FR"/>
        </w:rPr>
        <w:t>’</w:t>
      </w:r>
      <w:r w:rsidRPr="00DC403E">
        <w:rPr>
          <w:lang w:val="fr-FR"/>
        </w:rPr>
        <w:t>ils ne soient remplis.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13.</w:t>
      </w:r>
      <w:r w:rsidRPr="00DC403E">
        <w:rPr>
          <w:lang w:val="fr-FR"/>
        </w:rPr>
        <w:tab/>
        <w:t>De fait, à l</w:t>
      </w:r>
      <w:r>
        <w:rPr>
          <w:lang w:val="fr-FR"/>
        </w:rPr>
        <w:t>’</w:t>
      </w:r>
      <w:r w:rsidRPr="00DC403E">
        <w:rPr>
          <w:lang w:val="fr-FR"/>
        </w:rPr>
        <w:t>issue d</w:t>
      </w:r>
      <w:r>
        <w:rPr>
          <w:lang w:val="fr-FR"/>
        </w:rPr>
        <w:t>’</w:t>
      </w:r>
      <w:r w:rsidRPr="00DC403E">
        <w:rPr>
          <w:lang w:val="fr-FR"/>
        </w:rPr>
        <w:t>une épreuve interlaboratoires réalisée concernant l</w:t>
      </w:r>
      <w:r>
        <w:rPr>
          <w:lang w:val="fr-FR"/>
        </w:rPr>
        <w:t>’</w:t>
      </w:r>
      <w:r w:rsidRPr="00DC403E">
        <w:rPr>
          <w:lang w:val="fr-FR"/>
        </w:rPr>
        <w:t>épreuve O.3 (voir le document informel INF.47 (quarante-neuvième session), annexe 2) et de l</w:t>
      </w:r>
      <w:r>
        <w:rPr>
          <w:lang w:val="fr-FR"/>
        </w:rPr>
        <w:t>’</w:t>
      </w:r>
      <w:r w:rsidRPr="00DC403E">
        <w:rPr>
          <w:lang w:val="fr-FR"/>
        </w:rPr>
        <w:t>analyse de ses résultats, les critères susmentionnés ont été jugés excessivement restrictifs par la majorité des 13 laboratoires participants. L</w:t>
      </w:r>
      <w:r>
        <w:rPr>
          <w:lang w:val="fr-FR"/>
        </w:rPr>
        <w:t>’</w:t>
      </w:r>
      <w:r w:rsidRPr="00DC403E">
        <w:rPr>
          <w:lang w:val="fr-FR"/>
        </w:rPr>
        <w:t>impact et les conséquences d</w:t>
      </w:r>
      <w:r>
        <w:rPr>
          <w:lang w:val="fr-FR"/>
        </w:rPr>
        <w:t>’</w:t>
      </w:r>
      <w:r w:rsidRPr="00DC403E">
        <w:rPr>
          <w:lang w:val="fr-FR"/>
        </w:rPr>
        <w:t>un assouplissement éventuel de ces critères ont été examinés au regard des résultats de l</w:t>
      </w:r>
      <w:r>
        <w:rPr>
          <w:lang w:val="fr-FR"/>
        </w:rPr>
        <w:t>’</w:t>
      </w:r>
      <w:r w:rsidRPr="00DC403E">
        <w:rPr>
          <w:lang w:val="fr-FR"/>
        </w:rPr>
        <w:t>épreuve interlaboratoires. Cet examen a montré que les résultats globaux obtenus (classification des matières éprouvées) demeuraient sensiblement les mêmes lorsque le coefficient de corrélation (R</w:t>
      </w:r>
      <w:r w:rsidRPr="00DC403E">
        <w:rPr>
          <w:vertAlign w:val="superscript"/>
          <w:lang w:val="fr-FR"/>
        </w:rPr>
        <w:t>2</w:t>
      </w:r>
      <w:r w:rsidRPr="00DC403E">
        <w:rPr>
          <w:lang w:val="fr-FR"/>
        </w:rPr>
        <w:t>) ne devait plus être d</w:t>
      </w:r>
      <w:r>
        <w:rPr>
          <w:lang w:val="fr-FR"/>
        </w:rPr>
        <w:t>’</w:t>
      </w:r>
      <w:r w:rsidRPr="00DC403E">
        <w:rPr>
          <w:lang w:val="fr-FR"/>
        </w:rPr>
        <w:t>au moins 0,95 mais d</w:t>
      </w:r>
      <w:r>
        <w:rPr>
          <w:lang w:val="fr-FR"/>
        </w:rPr>
        <w:t>’</w:t>
      </w:r>
      <w:r w:rsidRPr="00DC403E">
        <w:rPr>
          <w:lang w:val="fr-FR"/>
        </w:rPr>
        <w:t>au moins 0,90, et que l</w:t>
      </w:r>
      <w:r>
        <w:rPr>
          <w:lang w:val="fr-FR"/>
        </w:rPr>
        <w:t>’</w:t>
      </w:r>
      <w:r w:rsidRPr="00DC403E">
        <w:rPr>
          <w:lang w:val="fr-FR"/>
        </w:rPr>
        <w:t>écart type ne devait pas dépasser 20 % au lieu de 10 % (voir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 xml:space="preserve">18 du présent document). 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14.</w:t>
      </w:r>
      <w:r w:rsidRPr="00DC403E">
        <w:rPr>
          <w:lang w:val="fr-FR"/>
        </w:rPr>
        <w:tab/>
        <w:t>Pour ce qui est de l</w:t>
      </w:r>
      <w:r>
        <w:rPr>
          <w:lang w:val="fr-FR"/>
        </w:rPr>
        <w:t>’</w:t>
      </w:r>
      <w:r w:rsidRPr="00DC403E">
        <w:rPr>
          <w:lang w:val="fr-FR"/>
        </w:rPr>
        <w:t>épreuve O.3, il arrive que le fil se rompe pendant les essais (voir le document informel INF.47 (quarante-neuvième session) (rapport d</w:t>
      </w:r>
      <w:r>
        <w:rPr>
          <w:lang w:val="fr-FR"/>
        </w:rPr>
        <w:t>’</w:t>
      </w:r>
      <w:r w:rsidRPr="00DC403E">
        <w:rPr>
          <w:lang w:val="fr-FR"/>
        </w:rPr>
        <w:t>épreuve interlaboratoires, annexe 2, par. 2.5.1.1)). La France a procédé à un examen plus approfondi des raisons qui pourraient expliquer cette rupture. Selon la littérature</w:t>
      </w:r>
      <w:r w:rsidRPr="00E817CB">
        <w:rPr>
          <w:rStyle w:val="FootnoteReference"/>
        </w:rPr>
        <w:footnoteReference w:id="4"/>
      </w:r>
      <w:r w:rsidRPr="00DC403E">
        <w:rPr>
          <w:lang w:val="fr-FR"/>
        </w:rPr>
        <w:t>, ce problème est plus fréquent avec les nitrates et les matières à point de fusion peu élevé. Dans le cas de ces dernières, la fraction de l</w:t>
      </w:r>
      <w:r>
        <w:rPr>
          <w:lang w:val="fr-FR"/>
        </w:rPr>
        <w:t>’</w:t>
      </w:r>
      <w:r w:rsidRPr="00DC403E">
        <w:rPr>
          <w:lang w:val="fr-FR"/>
        </w:rPr>
        <w:t>échantillon qui est en fusion peut s</w:t>
      </w:r>
      <w:r>
        <w:rPr>
          <w:lang w:val="fr-FR"/>
        </w:rPr>
        <w:t>’</w:t>
      </w:r>
      <w:r w:rsidRPr="00DC403E">
        <w:rPr>
          <w:lang w:val="fr-FR"/>
        </w:rPr>
        <w:t>amalgamer avec le fil d</w:t>
      </w:r>
      <w:r>
        <w:rPr>
          <w:lang w:val="fr-FR"/>
        </w:rPr>
        <w:t>’</w:t>
      </w:r>
      <w:r w:rsidRPr="00DC403E">
        <w:rPr>
          <w:lang w:val="fr-FR"/>
        </w:rPr>
        <w:t>allumage et atteindre une température supérieure au point de fusion de ce fil. Les</w:t>
      </w:r>
      <w:r w:rsidR="00C234A6">
        <w:rPr>
          <w:lang w:val="fr-FR"/>
        </w:rPr>
        <w:t> </w:t>
      </w:r>
      <w:r w:rsidRPr="00DC403E">
        <w:rPr>
          <w:lang w:val="fr-FR"/>
        </w:rPr>
        <w:t>laboratoires utilisent déjà différents types de fils d</w:t>
      </w:r>
      <w:r>
        <w:rPr>
          <w:lang w:val="fr-FR"/>
        </w:rPr>
        <w:t>’</w:t>
      </w:r>
      <w:r w:rsidRPr="00DC403E">
        <w:rPr>
          <w:lang w:val="fr-FR"/>
        </w:rPr>
        <w:t>allumage. Des informations sur la performance de ces fils figurent dans un rapport d</w:t>
      </w:r>
      <w:r>
        <w:rPr>
          <w:lang w:val="fr-FR"/>
        </w:rPr>
        <w:t>’</w:t>
      </w:r>
      <w:r w:rsidRPr="00DC403E">
        <w:rPr>
          <w:lang w:val="fr-FR"/>
        </w:rPr>
        <w:t>épreuve interlaboratoires rendu public (voir le document informel INF.47 (quarante-neuvième session)) et peuvent servir de guide pour le choix d</w:t>
      </w:r>
      <w:r>
        <w:rPr>
          <w:lang w:val="fr-FR"/>
        </w:rPr>
        <w:t>’</w:t>
      </w:r>
      <w:r w:rsidRPr="00DC403E">
        <w:rPr>
          <w:lang w:val="fr-FR"/>
        </w:rPr>
        <w:t>un fil au cas par cas en fonction de l</w:t>
      </w:r>
      <w:r>
        <w:rPr>
          <w:lang w:val="fr-FR"/>
        </w:rPr>
        <w:t>’</w:t>
      </w:r>
      <w:r w:rsidRPr="00DC403E">
        <w:rPr>
          <w:lang w:val="fr-FR"/>
        </w:rPr>
        <w:t>expérience qui est celle du laboratoire. Compte tenu de ce qui précède, il n</w:t>
      </w:r>
      <w:r>
        <w:rPr>
          <w:lang w:val="fr-FR"/>
        </w:rPr>
        <w:t>’</w:t>
      </w:r>
      <w:r w:rsidRPr="00DC403E">
        <w:rPr>
          <w:lang w:val="fr-FR"/>
        </w:rPr>
        <w:t>est pas jugé nécessaire de modifier les prescriptions du paragraphe 34.4.3.3.2. Toutefois, prenant note d</w:t>
      </w:r>
      <w:r>
        <w:rPr>
          <w:lang w:val="fr-FR"/>
        </w:rPr>
        <w:t>’</w:t>
      </w:r>
      <w:r w:rsidRPr="00DC403E">
        <w:rPr>
          <w:lang w:val="fr-FR"/>
        </w:rPr>
        <w:t xml:space="preserve">une observation formulée par les Pays-Bas à la cinquante-troisième session du Sous-Comité au sujet de la </w:t>
      </w:r>
      <w:r w:rsidRPr="00DC403E">
        <w:t xml:space="preserve">référence à </w:t>
      </w:r>
      <w:r w:rsidRPr="00DC403E">
        <w:rPr>
          <w:lang w:val="fr-FR"/>
        </w:rPr>
        <w:t>un fil résistif</w:t>
      </w:r>
      <w:r w:rsidRPr="00DC403E">
        <w:rPr>
          <w:b/>
          <w:lang w:val="fr-FR"/>
        </w:rPr>
        <w:t xml:space="preserve"> </w:t>
      </w:r>
      <w:r w:rsidRPr="00DC403E">
        <w:rPr>
          <w:lang w:val="fr-FR"/>
        </w:rPr>
        <w:t>d</w:t>
      </w:r>
      <w:r>
        <w:rPr>
          <w:lang w:val="fr-FR"/>
        </w:rPr>
        <w:t>’</w:t>
      </w:r>
      <w:r w:rsidRPr="00DC403E">
        <w:rPr>
          <w:lang w:val="fr-FR"/>
        </w:rPr>
        <w:t>un diamètre inférieur</w:t>
      </w:r>
      <w:r w:rsidRPr="00DC403E">
        <w:t xml:space="preserve"> à 1 mm et non de 1,00</w:t>
      </w:r>
      <w:r w:rsidR="00C234A6">
        <w:t> </w:t>
      </w:r>
      <w:r w:rsidRPr="00DC403E">
        <w:t>mm (le type le plus courant)</w:t>
      </w:r>
      <w:r w:rsidRPr="00DC403E">
        <w:rPr>
          <w:lang w:val="fr-FR"/>
        </w:rPr>
        <w:t xml:space="preserve">, </w:t>
      </w:r>
      <w:r>
        <w:rPr>
          <w:lang w:val="fr-FR"/>
        </w:rPr>
        <w:t>il est proposé</w:t>
      </w:r>
      <w:r w:rsidRPr="00DC403E">
        <w:rPr>
          <w:lang w:val="fr-FR"/>
        </w:rPr>
        <w:t xml:space="preserve"> de mettre à jour le texte de manière à autoriser l</w:t>
      </w:r>
      <w:r>
        <w:rPr>
          <w:lang w:val="fr-FR"/>
        </w:rPr>
        <w:t>’</w:t>
      </w:r>
      <w:r w:rsidRPr="00DC403E">
        <w:rPr>
          <w:lang w:val="fr-FR"/>
        </w:rPr>
        <w:t>utilisation d</w:t>
      </w:r>
      <w:r>
        <w:rPr>
          <w:lang w:val="fr-FR"/>
        </w:rPr>
        <w:t>’</w:t>
      </w:r>
      <w:r w:rsidRPr="00DC403E">
        <w:rPr>
          <w:lang w:val="fr-FR"/>
        </w:rPr>
        <w:t>un fil de 1 mm de diamètre</w:t>
      </w:r>
      <w:r>
        <w:rPr>
          <w:lang w:val="fr-FR"/>
        </w:rPr>
        <w:t xml:space="preserve"> (v</w:t>
      </w:r>
      <w:r w:rsidRPr="00DC403E">
        <w:rPr>
          <w:lang w:val="fr-FR"/>
        </w:rPr>
        <w:t>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>19 du présent document</w:t>
      </w:r>
      <w:r>
        <w:rPr>
          <w:lang w:val="fr-FR"/>
        </w:rPr>
        <w:t>)</w:t>
      </w:r>
      <w:r w:rsidRPr="00DC403E">
        <w:rPr>
          <w:lang w:val="fr-FR"/>
        </w:rPr>
        <w:t>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15.</w:t>
      </w:r>
      <w:r w:rsidRPr="00DC403E">
        <w:rPr>
          <w:lang w:val="fr-FR"/>
        </w:rPr>
        <w:tab/>
        <w:t>Concernant l</w:t>
      </w:r>
      <w:r>
        <w:rPr>
          <w:lang w:val="fr-FR"/>
        </w:rPr>
        <w:t>’</w:t>
      </w:r>
      <w:r w:rsidRPr="00DC403E">
        <w:rPr>
          <w:lang w:val="fr-FR"/>
        </w:rPr>
        <w:t>épreuve O.1, qui est semblable en principe à l</w:t>
      </w:r>
      <w:r>
        <w:rPr>
          <w:lang w:val="fr-FR"/>
        </w:rPr>
        <w:t>’</w:t>
      </w:r>
      <w:r w:rsidRPr="00DC403E">
        <w:rPr>
          <w:lang w:val="fr-FR"/>
        </w:rPr>
        <w:t>épreuve O.3, le descriptif du fil résistif figurant au paragraphe 34.4.1.2.3 pourrait être aligné sur le texte du paragraphe</w:t>
      </w:r>
      <w:r w:rsidR="00C234A6">
        <w:rPr>
          <w:lang w:val="fr-FR"/>
        </w:rPr>
        <w:t> </w:t>
      </w:r>
      <w:r w:rsidRPr="00DC403E">
        <w:rPr>
          <w:lang w:val="fr-FR"/>
        </w:rPr>
        <w:t>34.4.3.3.2, ce qui permettrait de mettre à profit le travail accompli pour élaborer l</w:t>
      </w:r>
      <w:r>
        <w:rPr>
          <w:lang w:val="fr-FR"/>
        </w:rPr>
        <w:t>’</w:t>
      </w:r>
      <w:r w:rsidRPr="00DC403E">
        <w:rPr>
          <w:lang w:val="fr-FR"/>
        </w:rPr>
        <w:t>épreuve O.3 (voir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 xml:space="preserve">20 du présent document). </w:t>
      </w:r>
    </w:p>
    <w:p w:rsidR="00C2343E" w:rsidRPr="00DC403E" w:rsidRDefault="00C2343E" w:rsidP="00C234A6">
      <w:pPr>
        <w:pStyle w:val="H1G"/>
        <w:rPr>
          <w:lang w:val="fr-FR"/>
        </w:rPr>
      </w:pPr>
      <w:r w:rsidRPr="00DC403E">
        <w:rPr>
          <w:lang w:val="fr-FR"/>
        </w:rPr>
        <w:lastRenderedPageBreak/>
        <w:tab/>
      </w:r>
      <w:r w:rsidRPr="00DC403E">
        <w:rPr>
          <w:lang w:val="fr-FR"/>
        </w:rPr>
        <w:tab/>
        <w:t>Propositions d</w:t>
      </w:r>
      <w:r>
        <w:rPr>
          <w:lang w:val="fr-FR"/>
        </w:rPr>
        <w:t>’</w:t>
      </w:r>
      <w:r w:rsidRPr="00DC403E">
        <w:rPr>
          <w:lang w:val="fr-FR"/>
        </w:rPr>
        <w:t xml:space="preserve">amendements 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szCs w:val="24"/>
          <w:lang w:val="fr-FR"/>
        </w:rPr>
        <w:t>16.</w:t>
      </w:r>
      <w:r w:rsidRPr="00DC403E">
        <w:rPr>
          <w:szCs w:val="24"/>
          <w:lang w:val="fr-FR"/>
        </w:rPr>
        <w:tab/>
      </w:r>
      <w:r w:rsidRPr="00DC403E">
        <w:rPr>
          <w:lang w:val="fr-FR"/>
        </w:rPr>
        <w:t>Dans</w:t>
      </w:r>
      <w:r w:rsidRPr="00DC403E">
        <w:rPr>
          <w:szCs w:val="24"/>
          <w:lang w:val="fr-FR"/>
        </w:rPr>
        <w:t xml:space="preserve"> les propositions qui suivent, les ajouts figurent en </w:t>
      </w:r>
      <w:r w:rsidRPr="00DC403E">
        <w:rPr>
          <w:szCs w:val="24"/>
          <w:u w:val="single"/>
          <w:lang w:val="fr-FR"/>
        </w:rPr>
        <w:t>caractères soulignés</w:t>
      </w:r>
      <w:r w:rsidRPr="00DC403E">
        <w:rPr>
          <w:szCs w:val="24"/>
          <w:lang w:val="fr-FR"/>
        </w:rPr>
        <w:t xml:space="preserve"> et les suppressions en </w:t>
      </w:r>
      <w:r w:rsidRPr="00DC403E">
        <w:rPr>
          <w:strike/>
          <w:szCs w:val="24"/>
          <w:lang w:val="fr-FR"/>
        </w:rPr>
        <w:t>caractères biffés</w:t>
      </w:r>
      <w:r w:rsidRPr="00DC403E">
        <w:rPr>
          <w:szCs w:val="24"/>
          <w:lang w:val="fr-FR"/>
        </w:rPr>
        <w:t>.</w:t>
      </w:r>
    </w:p>
    <w:p w:rsidR="00C2343E" w:rsidRPr="00DC403E" w:rsidRDefault="00C2343E" w:rsidP="00C234A6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le descriptif de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O.2 : </w:t>
      </w:r>
      <w:r w:rsidR="00C234A6">
        <w:rPr>
          <w:lang w:val="fr-FR"/>
        </w:rPr>
        <w:br/>
      </w:r>
      <w:r w:rsidRPr="00DC403E">
        <w:rPr>
          <w:lang w:val="fr-FR"/>
        </w:rPr>
        <w:t>Amélioration du texte</w:t>
      </w:r>
    </w:p>
    <w:p w:rsidR="00C2343E" w:rsidRPr="00DC403E" w:rsidRDefault="00C2343E" w:rsidP="00C234A6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17.</w:t>
      </w:r>
      <w:r w:rsidRPr="00DC403E">
        <w:rPr>
          <w:szCs w:val="24"/>
          <w:lang w:val="fr-FR"/>
        </w:rPr>
        <w:tab/>
        <w:t>Modifier le 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O.2 (par. 34.4.2.3.1 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épreuves et de critères (ST/SG/AC.10/11/Rev.6)) comme suit :</w:t>
      </w:r>
    </w:p>
    <w:p w:rsidR="00C2343E" w:rsidRPr="00DC403E" w:rsidRDefault="00C2343E" w:rsidP="009C3CBA">
      <w:pPr>
        <w:pStyle w:val="SingleTxtG"/>
        <w:ind w:left="1701"/>
        <w:rPr>
          <w:lang w:val="fr-FR"/>
        </w:rPr>
      </w:pPr>
      <w:r w:rsidRPr="00DC403E">
        <w:rPr>
          <w:lang w:val="fr-FR"/>
        </w:rPr>
        <w:t>« 34.4.2.3.1</w:t>
      </w:r>
      <w:r w:rsidRPr="00DC403E">
        <w:rPr>
          <w:lang w:val="fr-FR"/>
        </w:rPr>
        <w:tab/>
        <w:t>La bombe montée, avec son capteur de pression, mais non fermée par son disque de rupture, est posée bouchon d</w:t>
      </w:r>
      <w:r>
        <w:rPr>
          <w:lang w:val="fr-FR"/>
        </w:rPr>
        <w:t>’</w:t>
      </w:r>
      <w:r w:rsidRPr="00DC403E">
        <w:rPr>
          <w:lang w:val="fr-FR"/>
        </w:rPr>
        <w:t xml:space="preserve">allumage vers le bas dans son support. </w:t>
      </w:r>
      <w:r w:rsidRPr="00DC403E">
        <w:rPr>
          <w:u w:val="single"/>
          <w:lang w:val="fr-FR"/>
        </w:rPr>
        <w:t>Un essai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étanchéité doit préalablement être réalisé sur une bombe non chargée.</w:t>
      </w:r>
      <w:r w:rsidRPr="00DC403E">
        <w:rPr>
          <w:lang w:val="fr-FR"/>
        </w:rPr>
        <w:t xml:space="preserve"> On</w:t>
      </w:r>
      <w:r w:rsidR="009C3CBA">
        <w:rPr>
          <w:lang w:val="fr-FR"/>
        </w:rPr>
        <w:t> </w:t>
      </w:r>
      <w:r w:rsidRPr="00DC403E">
        <w:rPr>
          <w:lang w:val="fr-FR"/>
        </w:rPr>
        <w:t>mélange 2,50</w:t>
      </w:r>
      <w:r w:rsidR="009C3CBA">
        <w:rPr>
          <w:lang w:val="fr-FR"/>
        </w:rPr>
        <w:t> </w:t>
      </w:r>
      <w:r w:rsidRPr="00DC403E">
        <w:rPr>
          <w:lang w:val="fr-FR"/>
        </w:rPr>
        <w:t>g</w:t>
      </w:r>
      <w:r w:rsidRPr="00DC403E">
        <w:rPr>
          <w:u w:val="single"/>
          <w:lang w:val="fr-FR"/>
        </w:rPr>
        <w:sym w:font="Symbol" w:char="F0B1"/>
      </w:r>
      <w:r w:rsidRPr="00DC403E">
        <w:rPr>
          <w:u w:val="single"/>
          <w:lang w:val="fr-FR"/>
        </w:rPr>
        <w:t>0,01</w:t>
      </w:r>
      <w:r w:rsidR="009C3CBA">
        <w:rPr>
          <w:u w:val="single"/>
          <w:lang w:val="fr-FR"/>
        </w:rPr>
        <w:t> </w:t>
      </w:r>
      <w:r w:rsidRPr="00DC403E">
        <w:rPr>
          <w:u w:val="single"/>
          <w:lang w:val="fr-FR"/>
        </w:rPr>
        <w:t>g</w:t>
      </w:r>
      <w:r w:rsidRPr="00DC403E">
        <w:rPr>
          <w:lang w:val="fr-FR"/>
        </w:rPr>
        <w:t xml:space="preserve"> du liquide à éprouver avec 2,50</w:t>
      </w:r>
      <w:r w:rsidR="009C3CBA">
        <w:rPr>
          <w:lang w:val="fr-FR"/>
        </w:rPr>
        <w:t> g</w:t>
      </w:r>
      <w:r w:rsidRPr="00DC403E">
        <w:rPr>
          <w:u w:val="single"/>
          <w:lang w:val="fr-FR"/>
        </w:rPr>
        <w:sym w:font="Symbol" w:char="F0B1"/>
      </w:r>
      <w:r w:rsidRPr="00DC403E">
        <w:rPr>
          <w:u w:val="single"/>
          <w:lang w:val="fr-FR"/>
        </w:rPr>
        <w:t>0,01</w:t>
      </w:r>
      <w:r w:rsidR="009C3CBA">
        <w:rPr>
          <w:u w:val="single"/>
          <w:lang w:val="fr-FR"/>
        </w:rPr>
        <w:t> </w:t>
      </w:r>
      <w:r w:rsidRPr="00DC403E">
        <w:rPr>
          <w:u w:val="single"/>
          <w:lang w:val="fr-FR"/>
        </w:rPr>
        <w:t>g</w:t>
      </w:r>
      <w:r w:rsidRPr="00DC403E">
        <w:rPr>
          <w:lang w:val="fr-FR"/>
        </w:rPr>
        <w:t xml:space="preserve"> de cellulose séchée dans un bécher en verre avec un agitateur en verre </w:t>
      </w:r>
      <w:r w:rsidRPr="00DC403E">
        <w:rPr>
          <w:u w:val="single"/>
          <w:lang w:val="fr-FR"/>
        </w:rPr>
        <w:t>ou tout autre outil adéquat non métallique de ce type (par exemple, en porcelaine, en agate…) pendant au moins deux minutes</w:t>
      </w:r>
      <w:r w:rsidRPr="00DC403E">
        <w:rPr>
          <w:lang w:val="fr-FR"/>
        </w:rPr>
        <w:t xml:space="preserve">. </w:t>
      </w:r>
      <w:r w:rsidRPr="00DC403E">
        <w:rPr>
          <w:u w:val="single"/>
          <w:lang w:val="fr-FR"/>
        </w:rPr>
        <w:t>La durée de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opération est mesurée avec un chronomètre et doit être la même pour tous les mélanges.</w:t>
      </w:r>
      <w:r w:rsidRPr="00DC403E">
        <w:rPr>
          <w:lang w:val="fr-FR"/>
        </w:rPr>
        <w:t xml:space="preserve"> </w:t>
      </w:r>
      <w:r w:rsidRPr="00DC403E">
        <w:rPr>
          <w:b/>
          <w:bCs/>
          <w:lang w:val="fr-FR"/>
        </w:rPr>
        <w:t>Pour des raisons de sécurité, lors de cette opération, le manipulateur devrait s</w:t>
      </w:r>
      <w:r>
        <w:rPr>
          <w:b/>
          <w:bCs/>
          <w:lang w:val="fr-FR"/>
        </w:rPr>
        <w:t>’</w:t>
      </w:r>
      <w:r w:rsidRPr="00DC403E">
        <w:rPr>
          <w:b/>
          <w:bCs/>
          <w:lang w:val="fr-FR"/>
        </w:rPr>
        <w:t>abriter derrière un écran de protection.</w:t>
      </w:r>
      <w:r w:rsidRPr="00DC403E">
        <w:rPr>
          <w:lang w:val="fr-FR"/>
        </w:rPr>
        <w:t xml:space="preserve"> (Si le mélange s</w:t>
      </w:r>
      <w:r>
        <w:rPr>
          <w:lang w:val="fr-FR"/>
        </w:rPr>
        <w:t>’</w:t>
      </w:r>
      <w:r w:rsidRPr="00DC403E">
        <w:rPr>
          <w:lang w:val="fr-FR"/>
        </w:rPr>
        <w:t>enflamme spontanément au cours du brassage ou du remplissage, il n</w:t>
      </w:r>
      <w:r>
        <w:rPr>
          <w:lang w:val="fr-FR"/>
        </w:rPr>
        <w:t>’</w:t>
      </w:r>
      <w:r w:rsidRPr="00DC403E">
        <w:rPr>
          <w:lang w:val="fr-FR"/>
        </w:rPr>
        <w:t>est pas nécessaire de poursuivre l</w:t>
      </w:r>
      <w:r>
        <w:rPr>
          <w:lang w:val="fr-FR"/>
        </w:rPr>
        <w:t>’</w:t>
      </w:r>
      <w:r w:rsidRPr="00DC403E">
        <w:rPr>
          <w:lang w:val="fr-FR"/>
        </w:rPr>
        <w:t>essai.) On remplit la bombe en plusieurs fois en tassant par petits chocs contre un objet dur ; on s</w:t>
      </w:r>
      <w:r>
        <w:rPr>
          <w:lang w:val="fr-FR"/>
        </w:rPr>
        <w:t>’</w:t>
      </w:r>
      <w:r w:rsidRPr="00DC403E">
        <w:rPr>
          <w:lang w:val="fr-FR"/>
        </w:rPr>
        <w:t>assure qu</w:t>
      </w:r>
      <w:r>
        <w:rPr>
          <w:lang w:val="fr-FR"/>
        </w:rPr>
        <w:t>’</w:t>
      </w:r>
      <w:r w:rsidRPr="00DC403E">
        <w:rPr>
          <w:lang w:val="fr-FR"/>
        </w:rPr>
        <w:t>il n</w:t>
      </w:r>
      <w:r>
        <w:rPr>
          <w:lang w:val="fr-FR"/>
        </w:rPr>
        <w:t>’</w:t>
      </w:r>
      <w:r w:rsidRPr="00DC403E">
        <w:rPr>
          <w:lang w:val="fr-FR"/>
        </w:rPr>
        <w:t>y a pas de vide autour de l</w:t>
      </w:r>
      <w:r>
        <w:rPr>
          <w:lang w:val="fr-FR"/>
        </w:rPr>
        <w:t>’</w:t>
      </w:r>
      <w:r w:rsidRPr="00DC403E">
        <w:rPr>
          <w:lang w:val="fr-FR"/>
        </w:rPr>
        <w:t>enroulement de chauffage et que le mélange est directement en contact avec celui-ci. On doit cependant veiller à ne pas déformer l</w:t>
      </w:r>
      <w:r>
        <w:rPr>
          <w:lang w:val="fr-FR"/>
        </w:rPr>
        <w:t>’</w:t>
      </w:r>
      <w:r w:rsidRPr="00DC403E">
        <w:rPr>
          <w:lang w:val="fr-FR"/>
        </w:rPr>
        <w:t xml:space="preserve">enroulement en tassant le mélange ; </w:t>
      </w:r>
      <w:r w:rsidRPr="00DC403E">
        <w:rPr>
          <w:u w:val="single"/>
          <w:lang w:val="fr-FR"/>
        </w:rPr>
        <w:t>celui-ci doit recouvrir entièrement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enroulement à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issue du remplissage.</w:t>
      </w:r>
      <w:r w:rsidRPr="00DC403E">
        <w:rPr>
          <w:lang w:val="fr-FR"/>
        </w:rPr>
        <w:t xml:space="preserve"> On met en place le disque de rupture et on visse le bouchon à évent en le bloquant. La bombe chargée est alors posée sur le porte-bombe, disque de rupture vers le haut, l</w:t>
      </w:r>
      <w:r>
        <w:rPr>
          <w:lang w:val="fr-FR"/>
        </w:rPr>
        <w:t>’</w:t>
      </w:r>
      <w:r w:rsidRPr="00DC403E">
        <w:rPr>
          <w:lang w:val="fr-FR"/>
        </w:rPr>
        <w:t>ensemble est placé dans une hotte blindée ou dans une chambre de tir. On raccorde les bornes extérieures du bouchon de mise à feu à une source électrique et on applique au dispositif de chauffage un courant de 10</w:t>
      </w:r>
      <w:r w:rsidR="009C3CBA">
        <w:rPr>
          <w:lang w:val="fr-FR"/>
        </w:rPr>
        <w:t> A</w:t>
      </w:r>
      <w:r w:rsidRPr="00DC403E">
        <w:rPr>
          <w:u w:val="single"/>
          <w:lang w:val="fr-FR"/>
        </w:rPr>
        <w:sym w:font="Symbol" w:char="F0B1"/>
      </w:r>
      <w:r w:rsidRPr="00DC403E">
        <w:rPr>
          <w:u w:val="single"/>
          <w:lang w:val="fr-FR"/>
        </w:rPr>
        <w:t>0,5</w:t>
      </w:r>
      <w:r w:rsidR="009C3CBA">
        <w:rPr>
          <w:u w:val="single"/>
          <w:lang w:val="fr-FR"/>
        </w:rPr>
        <w:t> </w:t>
      </w:r>
      <w:r w:rsidRPr="00DC403E">
        <w:rPr>
          <w:u w:val="single"/>
          <w:lang w:val="fr-FR"/>
        </w:rPr>
        <w:t>A</w:t>
      </w:r>
      <w:r w:rsidRPr="00DC403E">
        <w:rPr>
          <w:lang w:val="fr-FR"/>
        </w:rPr>
        <w:t xml:space="preserve">. </w:t>
      </w:r>
      <w:r w:rsidRPr="00DC403E">
        <w:rPr>
          <w:u w:val="single"/>
          <w:lang w:val="fr-FR"/>
        </w:rPr>
        <w:t>La mise sous tension s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effectue avant le remplissage de la bombe et doit être maintenue telle que spécifiée pour chaque séquence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épreuve ou jusqu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à rupture éventuelle du fil.</w:t>
      </w:r>
      <w:r w:rsidRPr="00DC403E">
        <w:rPr>
          <w:lang w:val="fr-FR"/>
        </w:rPr>
        <w:t xml:space="preserve"> </w:t>
      </w:r>
      <w:r w:rsidRPr="00DC403E">
        <w:rPr>
          <w:strike/>
          <w:lang w:val="fr-FR"/>
        </w:rPr>
        <w:t>Il ne devrait pas s</w:t>
      </w:r>
      <w:r>
        <w:rPr>
          <w:strike/>
          <w:lang w:val="fr-FR"/>
        </w:rPr>
        <w:t>’</w:t>
      </w:r>
      <w:r w:rsidRPr="00DC403E">
        <w:rPr>
          <w:strike/>
          <w:lang w:val="fr-FR"/>
        </w:rPr>
        <w:t>écouler plus de 10 min</w:t>
      </w:r>
      <w:r w:rsidRPr="00DC403E">
        <w:rPr>
          <w:lang w:val="fr-FR"/>
        </w:rPr>
        <w:t xml:space="preserve"> </w:t>
      </w:r>
      <w:r w:rsidRPr="00DC403E">
        <w:rPr>
          <w:u w:val="single"/>
          <w:lang w:val="fr-FR"/>
        </w:rPr>
        <w:t xml:space="preserve">Le délai </w:t>
      </w:r>
      <w:r w:rsidRPr="00DC403E">
        <w:rPr>
          <w:lang w:val="fr-FR"/>
        </w:rPr>
        <w:t xml:space="preserve">entre le début de la préparation du mélange et le moment de la mise sous tension </w:t>
      </w:r>
      <w:r w:rsidRPr="00DC403E">
        <w:rPr>
          <w:u w:val="single"/>
          <w:lang w:val="fr-FR"/>
        </w:rPr>
        <w:t>doit être aussi court que possible et être maintenu identique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une série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épreuves à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autre</w:t>
      </w:r>
      <w:r w:rsidRPr="00DC403E">
        <w:rPr>
          <w:lang w:val="fr-FR"/>
        </w:rPr>
        <w:t>. ».</w:t>
      </w:r>
    </w:p>
    <w:p w:rsidR="00C2343E" w:rsidRPr="00DC403E" w:rsidRDefault="00C2343E" w:rsidP="009C3CBA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>épreuve O.3 : Comburant de référence</w:t>
      </w:r>
    </w:p>
    <w:p w:rsidR="00C2343E" w:rsidRPr="00DC403E" w:rsidRDefault="00C2343E" w:rsidP="009C3CBA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18.</w:t>
      </w:r>
      <w:r w:rsidRPr="00DC403E">
        <w:rPr>
          <w:szCs w:val="24"/>
          <w:lang w:val="fr-FR"/>
        </w:rPr>
        <w:tab/>
        <w:t>Modifier le 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O.3 (par. 34.4.3.2.1 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épreuves et de critères (ST/SG/AC.10/11/Rev.6)) comme suit :</w:t>
      </w:r>
    </w:p>
    <w:p w:rsidR="00C2343E" w:rsidRPr="00DC403E" w:rsidRDefault="00C2343E" w:rsidP="009C3CBA">
      <w:pPr>
        <w:pStyle w:val="SingleTxtG"/>
        <w:ind w:left="1701"/>
        <w:rPr>
          <w:szCs w:val="24"/>
          <w:lang w:val="fr-FR"/>
        </w:rPr>
      </w:pPr>
      <w:r w:rsidRPr="00DC403E">
        <w:rPr>
          <w:szCs w:val="24"/>
          <w:lang w:val="fr-FR"/>
        </w:rPr>
        <w:t>« 34.4.3.2.1</w:t>
      </w:r>
      <w:r w:rsidRPr="00DC403E">
        <w:rPr>
          <w:szCs w:val="24"/>
          <w:lang w:val="fr-FR"/>
        </w:rPr>
        <w:tab/>
        <w:t>Il faut utiliser du peroxyde de calcium de qualité technique pure en poudre fine en concentration de 75 %</w:t>
      </w:r>
      <w:r w:rsidRPr="00DC403E">
        <w:rPr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0,5 %</w:t>
      </w:r>
      <w:r w:rsidRPr="00DC403E">
        <w:rPr>
          <w:szCs w:val="24"/>
          <w:u w:val="single"/>
          <w:lang w:val="fr-FR"/>
        </w:rPr>
        <w:t>1 %</w:t>
      </w:r>
      <w:r w:rsidRPr="00DC403E">
        <w:rPr>
          <w:szCs w:val="24"/>
          <w:lang w:val="fr-FR"/>
        </w:rPr>
        <w:t xml:space="preserve"> comme comburant de référence. La concentration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impuretés telles que chlorures ou composés produisant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eau au cours de la combustion doit être faible, car elles sont susceptibles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influencer le processus de combustion des </w:t>
      </w:r>
      <w:r w:rsidRPr="00DC403E">
        <w:rPr>
          <w:strike/>
          <w:szCs w:val="24"/>
          <w:lang w:val="fr-FR"/>
        </w:rPr>
        <w:t xml:space="preserve">tas </w:t>
      </w:r>
      <w:r w:rsidRPr="00DC403E">
        <w:rPr>
          <w:szCs w:val="24"/>
          <w:u w:val="single"/>
          <w:lang w:val="fr-FR"/>
        </w:rPr>
        <w:t xml:space="preserve">mélanges </w:t>
      </w:r>
      <w:r w:rsidRPr="00DC403E">
        <w:rPr>
          <w:szCs w:val="24"/>
          <w:lang w:val="fr-FR"/>
        </w:rPr>
        <w:t>de référence. Du peroxyde de calcium satisfaisant aux exigences ci-dessous peut être utilisé sans autre prétraitement</w:t>
      </w:r>
      <w:r w:rsidRPr="009C3CBA">
        <w:rPr>
          <w:sz w:val="18"/>
          <w:szCs w:val="18"/>
          <w:vertAlign w:val="superscript"/>
          <w:lang w:val="fr-FR"/>
        </w:rPr>
        <w:t>4</w:t>
      </w:r>
      <w:r w:rsidRPr="00DC403E">
        <w:rPr>
          <w:szCs w:val="24"/>
          <w:lang w:val="fr-FR"/>
        </w:rPr>
        <w:t>.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lang w:val="fr-FR"/>
        </w:rPr>
      </w:pPr>
      <w:r w:rsidRPr="00DC403E">
        <w:rPr>
          <w:lang w:val="fr-FR"/>
        </w:rPr>
        <w:t>CaO</w:t>
      </w:r>
      <w:r w:rsidRPr="00DC403E">
        <w:rPr>
          <w:vertAlign w:val="subscript"/>
          <w:lang w:val="fr-FR"/>
        </w:rPr>
        <w:t>2</w:t>
      </w:r>
      <w:r w:rsidRPr="00DC403E">
        <w:rPr>
          <w:lang w:val="fr-FR"/>
        </w:rPr>
        <w:t> :</w:t>
      </w:r>
      <w:r w:rsidR="009C3CBA">
        <w:rPr>
          <w:lang w:val="fr-FR"/>
        </w:rPr>
        <w:tab/>
      </w:r>
      <w:r w:rsidRPr="00DC403E">
        <w:rPr>
          <w:lang w:val="fr-FR"/>
        </w:rPr>
        <w:t>75 </w:t>
      </w:r>
      <w:r w:rsidR="009C3CBA">
        <w:rPr>
          <w:lang w:val="fr-FR"/>
        </w:rPr>
        <w:t>%</w:t>
      </w:r>
      <w:r w:rsidRPr="00DC403E">
        <w:rPr>
          <w:lang w:val="fr-FR"/>
        </w:rPr>
        <w:sym w:font="Symbol" w:char="F0B1"/>
      </w:r>
      <w:r w:rsidRPr="00DC403E">
        <w:rPr>
          <w:strike/>
          <w:lang w:val="fr-FR"/>
        </w:rPr>
        <w:t>0,5 %</w:t>
      </w:r>
      <w:r w:rsidRPr="00DC403E">
        <w:rPr>
          <w:lang w:val="fr-FR"/>
        </w:rPr>
        <w:t xml:space="preserve"> </w:t>
      </w:r>
      <w:r w:rsidRPr="00DC403E">
        <w:rPr>
          <w:u w:val="single"/>
          <w:lang w:val="fr-FR"/>
        </w:rPr>
        <w:t>1,0 %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szCs w:val="24"/>
          <w:lang w:val="fr-FR"/>
        </w:rPr>
        <w:t>Ca(OH)</w:t>
      </w:r>
      <w:r w:rsidRPr="00DC403E">
        <w:rPr>
          <w:szCs w:val="24"/>
          <w:vertAlign w:val="subscript"/>
          <w:lang w:val="fr-FR"/>
        </w:rPr>
        <w:t>2 :</w:t>
      </w:r>
      <w:r w:rsidR="009C3CBA">
        <w:rPr>
          <w:szCs w:val="24"/>
          <w:lang w:val="fr-FR"/>
        </w:rPr>
        <w:tab/>
      </w:r>
      <w:r w:rsidRPr="00DC403E">
        <w:rPr>
          <w:szCs w:val="24"/>
          <w:lang w:val="fr-FR"/>
        </w:rPr>
        <w:t>20 % à 25 %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szCs w:val="24"/>
          <w:lang w:val="fr-FR"/>
        </w:rPr>
        <w:t>CaCO</w:t>
      </w:r>
      <w:r w:rsidRPr="00DC403E">
        <w:rPr>
          <w:szCs w:val="24"/>
          <w:vertAlign w:val="subscript"/>
          <w:lang w:val="fr-FR"/>
        </w:rPr>
        <w:t>3 :</w:t>
      </w:r>
      <w:r w:rsidR="009C3CBA">
        <w:rPr>
          <w:szCs w:val="24"/>
          <w:lang w:val="fr-FR"/>
        </w:rPr>
        <w:tab/>
      </w:r>
      <w:r w:rsidRPr="00DC403E">
        <w:rPr>
          <w:szCs w:val="24"/>
          <w:lang w:val="fr-FR"/>
        </w:rPr>
        <w:t>0 % à 5 %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szCs w:val="24"/>
          <w:lang w:val="fr-FR"/>
        </w:rPr>
        <w:t>Chlorure :</w:t>
      </w:r>
      <w:r w:rsidR="009C3CBA">
        <w:rPr>
          <w:szCs w:val="24"/>
          <w:lang w:val="fr-FR"/>
        </w:rPr>
        <w:tab/>
      </w:r>
      <w:r w:rsidRPr="00DC403E">
        <w:rPr>
          <w:szCs w:val="24"/>
          <w:lang w:val="fr-FR"/>
        </w:rPr>
        <w:t>max 500 ppm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lang w:val="fr-FR"/>
        </w:rPr>
        <w:t>Taille</w:t>
      </w:r>
      <w:r w:rsidRPr="00DC403E">
        <w:rPr>
          <w:szCs w:val="24"/>
          <w:lang w:val="fr-FR"/>
        </w:rPr>
        <w:t xml:space="preserve"> des particules :</w:t>
      </w:r>
      <w:r w:rsidRPr="00DC403E">
        <w:rPr>
          <w:szCs w:val="24"/>
          <w:lang w:val="fr-FR"/>
        </w:rPr>
        <w:tab/>
        <w:t>min 99 % &lt; 75 µm, dont min 50 % &lt; 20 µm ».</w:t>
      </w:r>
    </w:p>
    <w:p w:rsidR="00C2343E" w:rsidRPr="00DC403E" w:rsidRDefault="00C2343E" w:rsidP="009C3CBA">
      <w:pPr>
        <w:pStyle w:val="H1G"/>
        <w:rPr>
          <w:lang w:val="fr-FR"/>
        </w:rPr>
      </w:pPr>
      <w:r w:rsidRPr="00DC403E">
        <w:rPr>
          <w:lang w:val="fr-FR"/>
        </w:rPr>
        <w:lastRenderedPageBreak/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O.3 : Coefficient de corrélation, </w:t>
      </w:r>
      <w:r w:rsidR="009C3CBA">
        <w:rPr>
          <w:lang w:val="fr-FR"/>
        </w:rPr>
        <w:br/>
      </w:r>
      <w:r w:rsidRPr="00DC403E">
        <w:rPr>
          <w:lang w:val="fr-FR"/>
        </w:rPr>
        <w:t>écart type des résultats d</w:t>
      </w:r>
      <w:r>
        <w:rPr>
          <w:lang w:val="fr-FR"/>
        </w:rPr>
        <w:t>’</w:t>
      </w:r>
      <w:r w:rsidRPr="00DC403E">
        <w:rPr>
          <w:lang w:val="fr-FR"/>
        </w:rPr>
        <w:t>épreuves et amélioration du texte</w:t>
      </w:r>
    </w:p>
    <w:p w:rsidR="00C2343E" w:rsidRPr="00DC403E" w:rsidRDefault="00C2343E" w:rsidP="009C3CBA">
      <w:pPr>
        <w:pStyle w:val="SingleTxtG"/>
        <w:keepNext/>
        <w:rPr>
          <w:lang w:val="fr-FR"/>
        </w:rPr>
      </w:pPr>
      <w:r w:rsidRPr="00DC403E">
        <w:rPr>
          <w:lang w:val="fr-FR"/>
        </w:rPr>
        <w:t>19.</w:t>
      </w:r>
      <w:r w:rsidRPr="00DC403E">
        <w:rPr>
          <w:lang w:val="fr-FR"/>
        </w:rPr>
        <w:tab/>
        <w:t>Modifier le descriptif de l</w:t>
      </w:r>
      <w:r>
        <w:rPr>
          <w:lang w:val="fr-FR"/>
        </w:rPr>
        <w:t>’</w:t>
      </w:r>
      <w:r w:rsidRPr="00DC403E">
        <w:rPr>
          <w:lang w:val="fr-FR"/>
        </w:rPr>
        <w:t>épreuve O.3 (par. 34.4.3.5.3 du Manuel d</w:t>
      </w:r>
      <w:r>
        <w:rPr>
          <w:lang w:val="fr-FR"/>
        </w:rPr>
        <w:t>’</w:t>
      </w:r>
      <w:r w:rsidRPr="00DC403E">
        <w:rPr>
          <w:lang w:val="fr-FR"/>
        </w:rPr>
        <w:t xml:space="preserve">épreuves et de critères (ST/SG/AC.10/11/Rev.6)) comme suit : </w:t>
      </w:r>
    </w:p>
    <w:p w:rsidR="00C2343E" w:rsidRPr="00DC403E" w:rsidRDefault="00C2343E" w:rsidP="009C3CBA">
      <w:pPr>
        <w:pStyle w:val="SingleTxtG"/>
        <w:ind w:left="1701"/>
        <w:rPr>
          <w:szCs w:val="24"/>
          <w:lang w:val="fr-FR"/>
        </w:rPr>
      </w:pPr>
      <w:r w:rsidRPr="00DC403E">
        <w:rPr>
          <w:szCs w:val="24"/>
          <w:lang w:val="fr-FR"/>
        </w:rPr>
        <w:t>« 34.4.3.5.3</w:t>
      </w:r>
      <w:r w:rsidRPr="00DC403E">
        <w:rPr>
          <w:szCs w:val="24"/>
          <w:lang w:val="fr-FR"/>
        </w:rPr>
        <w:tab/>
        <w:t>La vitesse de combustion (BR) dépend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intensité de la combustion et de la quantité de cellulose dans le mélange. </w:t>
      </w:r>
      <w:r w:rsidRPr="00DC403E">
        <w:rPr>
          <w:szCs w:val="24"/>
          <w:u w:val="single"/>
          <w:lang w:val="fr-FR"/>
        </w:rPr>
        <w:t>Aux fins de l</w:t>
      </w:r>
      <w:r>
        <w:rPr>
          <w:szCs w:val="24"/>
          <w:u w:val="single"/>
          <w:lang w:val="fr-FR"/>
        </w:rPr>
        <w:t>’</w:t>
      </w:r>
      <w:r w:rsidRPr="00DC403E">
        <w:rPr>
          <w:szCs w:val="24"/>
          <w:u w:val="single"/>
          <w:lang w:val="fr-FR"/>
        </w:rPr>
        <w:t>épreuve,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e</w:t>
      </w:r>
      <w:r w:rsidRPr="00DC403E">
        <w:rPr>
          <w:strike/>
          <w:szCs w:val="24"/>
          <w:lang w:val="fr-FR"/>
        </w:rPr>
        <w:t>E</w:t>
      </w:r>
      <w:r w:rsidRPr="00DC403E">
        <w:rPr>
          <w:szCs w:val="24"/>
          <w:lang w:val="fr-FR"/>
        </w:rPr>
        <w:t xml:space="preserve">lle est </w:t>
      </w:r>
      <w:r w:rsidRPr="00DC403E">
        <w:rPr>
          <w:strike/>
          <w:szCs w:val="24"/>
          <w:lang w:val="fr-FR"/>
        </w:rPr>
        <w:t xml:space="preserve">ainsi </w:t>
      </w:r>
      <w:r w:rsidRPr="00DC403E">
        <w:rPr>
          <w:szCs w:val="24"/>
          <w:lang w:val="fr-FR"/>
        </w:rPr>
        <w:t>définie par le quotient entre 60 % de la quantité totale de cellulose (</w:t>
      </w:r>
      <w:r w:rsidRPr="00DC403E">
        <w:rPr>
          <w:szCs w:val="24"/>
          <w:u w:val="single"/>
          <w:lang w:val="fr-FR"/>
        </w:rPr>
        <w:t>m</w:t>
      </w:r>
      <w:r w:rsidRPr="00DC403E">
        <w:rPr>
          <w:szCs w:val="24"/>
          <w:u w:val="single"/>
          <w:vertAlign w:val="subscript"/>
          <w:lang w:val="fr-FR"/>
        </w:rPr>
        <w:t>cellulose</w:t>
      </w:r>
      <w:r w:rsidRPr="00DC403E">
        <w:rPr>
          <w:szCs w:val="24"/>
          <w:lang w:val="fr-FR"/>
        </w:rPr>
        <w:t>) dans le tas conique et la durée de la combustion principale t</w:t>
      </w:r>
      <w:r w:rsidRPr="00DC403E">
        <w:rPr>
          <w:szCs w:val="24"/>
          <w:vertAlign w:val="subscript"/>
          <w:lang w:val="fr-FR"/>
        </w:rPr>
        <w:t>20-80</w:t>
      </w:r>
      <w:r w:rsidRPr="00DC403E">
        <w:rPr>
          <w:szCs w:val="24"/>
          <w:lang w:val="fr-FR"/>
        </w:rPr>
        <w:t>. La valeur t</w:t>
      </w:r>
      <w:r w:rsidRPr="00DC403E">
        <w:rPr>
          <w:szCs w:val="24"/>
          <w:vertAlign w:val="subscript"/>
          <w:lang w:val="fr-FR"/>
        </w:rPr>
        <w:t>20-80</w:t>
      </w:r>
      <w:r w:rsidRPr="00DC403E">
        <w:rPr>
          <w:szCs w:val="24"/>
          <w:lang w:val="fr-FR"/>
        </w:rPr>
        <w:t xml:space="preserve"> représente le temps nécessaire pour que la perte de masse passe de 20 % à 80 % de la perte de masse totale. La perte de masse totale est la différence entre la masse avant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inflammation et la masse à la fin de la </w:t>
      </w:r>
      <w:r w:rsidRPr="00DC403E">
        <w:rPr>
          <w:strike/>
          <w:szCs w:val="24"/>
          <w:lang w:val="fr-FR"/>
        </w:rPr>
        <w:t>réaction principale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combustion</w:t>
      </w:r>
      <w:r w:rsidRPr="00DC403E">
        <w:rPr>
          <w:szCs w:val="24"/>
          <w:lang w:val="fr-FR"/>
        </w:rPr>
        <w:t xml:space="preserve">, lorsque la vitesse de perte de masse est inférieure à 1 g par minute. </w:t>
      </w:r>
    </w:p>
    <w:p w:rsidR="00C2343E" w:rsidRPr="00DC403E" w:rsidRDefault="00C2343E" w:rsidP="009C3CBA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La vitesse de combustion est donc calculée à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aide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équation suivante : </w:t>
      </w:r>
    </w:p>
    <w:p w:rsidR="00C2343E" w:rsidRPr="00DC403E" w:rsidRDefault="002B56C5" w:rsidP="00C2343E">
      <w:pPr>
        <w:rPr>
          <w:rFonts w:eastAsiaTheme="minorEastAsia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BR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20-80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0,6 x 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cellulose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20-80</m:t>
                  </m:r>
                </m:sub>
              </m:sSub>
            </m:den>
          </m:f>
        </m:oMath>
      </m:oMathPara>
    </w:p>
    <w:p w:rsidR="00C2343E" w:rsidRPr="00DC403E" w:rsidRDefault="00C2343E" w:rsidP="009C3CBA">
      <w:pPr>
        <w:pStyle w:val="SingleTxtG"/>
        <w:rPr>
          <w:lang w:val="fr-FR"/>
        </w:rPr>
      </w:pPr>
      <w:r w:rsidRPr="00DC403E">
        <w:rPr>
          <w:lang w:val="fr-FR"/>
        </w:rPr>
        <w:t>où :</w:t>
      </w:r>
    </w:p>
    <w:p w:rsidR="00C2343E" w:rsidRPr="00DC403E" w:rsidRDefault="00C2343E" w:rsidP="000A4C6D">
      <w:pPr>
        <w:pStyle w:val="SingleTxtG"/>
        <w:tabs>
          <w:tab w:val="left" w:pos="2198"/>
        </w:tabs>
        <w:ind w:left="1918" w:hanging="784"/>
        <w:rPr>
          <w:szCs w:val="24"/>
          <w:lang w:val="fr-FR"/>
        </w:rPr>
      </w:pPr>
      <w:r w:rsidRPr="00DC403E">
        <w:rPr>
          <w:szCs w:val="24"/>
          <w:lang w:val="fr-FR"/>
        </w:rPr>
        <w:t>BR</w:t>
      </w:r>
      <w:r w:rsidRPr="00DC403E">
        <w:rPr>
          <w:szCs w:val="24"/>
          <w:vertAlign w:val="subscript"/>
          <w:lang w:val="fr-FR"/>
        </w:rPr>
        <w:t>20-80</w:t>
      </w:r>
      <w:r w:rsidRPr="00DC403E">
        <w:rPr>
          <w:szCs w:val="24"/>
          <w:lang w:val="fr-FR"/>
        </w:rPr>
        <w:tab/>
        <w:t>=</w:t>
      </w:r>
      <w:r w:rsidRPr="00DC403E">
        <w:rPr>
          <w:szCs w:val="24"/>
          <w:lang w:val="fr-FR"/>
        </w:rPr>
        <w:tab/>
        <w:t>vitesse de combustion entre 20 % et 80 % en g/s</w:t>
      </w:r>
      <w:r w:rsidR="00290AE5">
        <w:rPr>
          <w:szCs w:val="24"/>
          <w:lang w:val="fr-FR"/>
        </w:rPr>
        <w:t> ;</w:t>
      </w:r>
    </w:p>
    <w:p w:rsidR="00C2343E" w:rsidRPr="00DC403E" w:rsidRDefault="00C2343E" w:rsidP="000A4C6D">
      <w:pPr>
        <w:pStyle w:val="SingleTxtG"/>
        <w:tabs>
          <w:tab w:val="left" w:pos="2198"/>
        </w:tabs>
        <w:ind w:left="1918" w:hanging="784"/>
        <w:rPr>
          <w:szCs w:val="24"/>
          <w:lang w:val="fr-FR"/>
        </w:rPr>
      </w:pPr>
      <w:r w:rsidRPr="00DC403E">
        <w:rPr>
          <w:szCs w:val="24"/>
          <w:lang w:val="fr-FR"/>
        </w:rPr>
        <w:t>m</w:t>
      </w:r>
      <w:r w:rsidRPr="00DC403E">
        <w:rPr>
          <w:szCs w:val="24"/>
          <w:vertAlign w:val="subscript"/>
          <w:lang w:val="fr-FR"/>
        </w:rPr>
        <w:t>cellulose</w:t>
      </w:r>
      <w:r w:rsidRPr="00DC403E">
        <w:rPr>
          <w:szCs w:val="24"/>
          <w:lang w:val="fr-FR"/>
        </w:rPr>
        <w:tab/>
        <w:t>=</w:t>
      </w:r>
      <w:r w:rsidRPr="00DC403E">
        <w:rPr>
          <w:szCs w:val="24"/>
          <w:lang w:val="fr-FR"/>
        </w:rPr>
        <w:tab/>
        <w:t>masse de cellulose dans le mélange, en grammes</w:t>
      </w:r>
      <w:r w:rsidR="00290AE5">
        <w:rPr>
          <w:szCs w:val="24"/>
          <w:lang w:val="fr-FR"/>
        </w:rPr>
        <w:t> ;</w:t>
      </w:r>
    </w:p>
    <w:p w:rsidR="00C2343E" w:rsidRPr="00DC403E" w:rsidRDefault="00C2343E" w:rsidP="000A4C6D">
      <w:pPr>
        <w:pStyle w:val="SingleTxtG"/>
        <w:tabs>
          <w:tab w:val="left" w:pos="2198"/>
        </w:tabs>
        <w:ind w:left="1918" w:hanging="784"/>
        <w:rPr>
          <w:color w:val="231F20"/>
          <w:szCs w:val="24"/>
          <w:lang w:val="fr-FR"/>
        </w:rPr>
      </w:pPr>
      <w:r w:rsidRPr="00DC403E">
        <w:rPr>
          <w:szCs w:val="24"/>
          <w:lang w:val="fr-FR"/>
        </w:rPr>
        <w:t>t</w:t>
      </w:r>
      <w:r w:rsidRPr="00DC403E">
        <w:rPr>
          <w:szCs w:val="24"/>
          <w:vertAlign w:val="subscript"/>
          <w:lang w:val="fr-FR"/>
        </w:rPr>
        <w:t>20-80</w:t>
      </w:r>
      <w:r w:rsidR="000A4C6D">
        <w:rPr>
          <w:szCs w:val="24"/>
          <w:vertAlign w:val="subscript"/>
          <w:lang w:val="fr-FR"/>
        </w:rPr>
        <w:tab/>
      </w:r>
      <w:r w:rsidRPr="00DC403E">
        <w:rPr>
          <w:szCs w:val="24"/>
          <w:lang w:val="fr-FR"/>
        </w:rPr>
        <w:t>=</w:t>
      </w:r>
      <w:r w:rsidRPr="00DC403E">
        <w:rPr>
          <w:szCs w:val="24"/>
          <w:lang w:val="fr-FR"/>
        </w:rPr>
        <w:tab/>
      </w:r>
      <w:r w:rsidRPr="000A4C6D">
        <w:rPr>
          <w:spacing w:val="-3"/>
          <w:szCs w:val="24"/>
          <w:lang w:val="fr-FR"/>
        </w:rPr>
        <w:t>durée de combustion entre 20 % et 80 % du total de la masse perdue en secondes</w:t>
      </w:r>
      <w:r w:rsidR="00290AE5">
        <w:rPr>
          <w:spacing w:val="-3"/>
          <w:szCs w:val="24"/>
          <w:lang w:val="fr-FR"/>
        </w:rPr>
        <w:t>.</w:t>
      </w:r>
    </w:p>
    <w:p w:rsidR="00C2343E" w:rsidRPr="00DC403E" w:rsidRDefault="00C2343E" w:rsidP="00290AE5">
      <w:pPr>
        <w:pStyle w:val="SingleTxtG"/>
        <w:rPr>
          <w:szCs w:val="24"/>
          <w:lang w:val="fr-FR"/>
        </w:rPr>
      </w:pPr>
      <w:r w:rsidRPr="00DC403E">
        <w:rPr>
          <w:szCs w:val="24"/>
          <w:u w:val="single"/>
          <w:lang w:val="fr-FR"/>
        </w:rPr>
        <w:t>Cinq épreuves valables doivent être effectuées avec chacun des mélanges de référence et des mélanges de matières à éprouver.</w:t>
      </w:r>
      <w:r w:rsidRPr="00DC403E">
        <w:rPr>
          <w:szCs w:val="24"/>
          <w:lang w:val="fr-FR"/>
        </w:rPr>
        <w:t xml:space="preserve"> La courbe de chaque épreuve de combustion doit être examinée en représentant graphiquement la perte de masse en fonction du temps. Le</w:t>
      </w:r>
      <w:r w:rsidR="00290AE5">
        <w:rPr>
          <w:szCs w:val="24"/>
          <w:lang w:val="fr-FR"/>
        </w:rPr>
        <w:t> </w:t>
      </w:r>
      <w:r w:rsidRPr="00DC403E">
        <w:rPr>
          <w:szCs w:val="24"/>
          <w:lang w:val="fr-FR"/>
        </w:rPr>
        <w:t>graphique peut aussi servir à la prise de décisions et il faut y recourir en cas de doute. Le</w:t>
      </w:r>
      <w:r w:rsidR="00290AE5">
        <w:rPr>
          <w:szCs w:val="24"/>
          <w:lang w:val="fr-FR"/>
        </w:rPr>
        <w:t> </w:t>
      </w:r>
      <w:r w:rsidRPr="00DC403E">
        <w:rPr>
          <w:szCs w:val="24"/>
          <w:lang w:val="fr-FR"/>
        </w:rPr>
        <w:t>coefficient de corrélation (R²) de la courbe de masse de chaque épreuve de combustion doit être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au moins </w:t>
      </w:r>
      <w:r w:rsidRPr="00DC403E">
        <w:rPr>
          <w:strike/>
          <w:szCs w:val="24"/>
          <w:lang w:val="fr-FR"/>
        </w:rPr>
        <w:t>0,95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0,90</w:t>
      </w:r>
      <w:r w:rsidRPr="00DC403E">
        <w:rPr>
          <w:szCs w:val="24"/>
          <w:lang w:val="fr-FR"/>
        </w:rPr>
        <w:t xml:space="preserve"> entre 20 % et 80 % de perte de masse, faute de quoi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épreuve doit être répétée. </w:t>
      </w:r>
      <w:r w:rsidRPr="00DC403E">
        <w:rPr>
          <w:strike/>
          <w:szCs w:val="24"/>
          <w:lang w:val="fr-FR"/>
        </w:rPr>
        <w:t>Cinq épreuves valables doivent être effectuées avec chacun des mélanges de référence et des mélanges de matières à éprouver.</w:t>
      </w:r>
      <w:r w:rsidRPr="00DC403E">
        <w:rPr>
          <w:szCs w:val="24"/>
          <w:lang w:val="fr-FR"/>
        </w:rPr>
        <w:t xml:space="preserve">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écart type des vitesses de combustion par rapport à ces cinq épreuves ne doit pas dépasser </w:t>
      </w:r>
      <w:r w:rsidRPr="00DC403E">
        <w:rPr>
          <w:strike/>
          <w:szCs w:val="24"/>
          <w:lang w:val="fr-FR"/>
        </w:rPr>
        <w:t>10 %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20 %</w:t>
      </w:r>
      <w:r w:rsidRPr="00DC403E">
        <w:rPr>
          <w:szCs w:val="24"/>
          <w:lang w:val="fr-FR"/>
        </w:rPr>
        <w:t xml:space="preserve"> au total.</w:t>
      </w:r>
      <w:r w:rsidR="00FA44E6">
        <w:rPr>
          <w:szCs w:val="24"/>
          <w:lang w:val="fr-FR"/>
        </w:rPr>
        <w:t> ».</w:t>
      </w:r>
    </w:p>
    <w:p w:rsidR="00C2343E" w:rsidRPr="00DC403E" w:rsidRDefault="00C2343E" w:rsidP="00290AE5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O.3 : </w:t>
      </w:r>
      <w:r w:rsidRPr="00DC403E">
        <w:rPr>
          <w:lang w:val="fr-FR"/>
        </w:rPr>
        <w:br/>
        <w:t>Descriptif de la boucle métallique</w:t>
      </w:r>
    </w:p>
    <w:p w:rsidR="00C2343E" w:rsidRDefault="00C2343E" w:rsidP="00290AE5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20.</w:t>
      </w:r>
      <w:r w:rsidRPr="00DC403E">
        <w:rPr>
          <w:szCs w:val="24"/>
          <w:lang w:val="fr-FR"/>
        </w:rPr>
        <w:tab/>
        <w:t xml:space="preserve">Modifier </w:t>
      </w:r>
      <w:r w:rsidRPr="00DC403E">
        <w:rPr>
          <w:szCs w:val="24"/>
        </w:rPr>
        <w:t xml:space="preserve">le </w:t>
      </w:r>
      <w:r w:rsidRPr="00DC403E">
        <w:rPr>
          <w:szCs w:val="24"/>
          <w:lang w:val="fr-FR"/>
        </w:rPr>
        <w:t>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O.3 (</w:t>
      </w:r>
      <w:r w:rsidRPr="00DC403E">
        <w:rPr>
          <w:szCs w:val="24"/>
        </w:rPr>
        <w:t>al</w:t>
      </w:r>
      <w:r w:rsidR="00FA44E6">
        <w:rPr>
          <w:szCs w:val="24"/>
        </w:rPr>
        <w:t>. </w:t>
      </w:r>
      <w:r w:rsidRPr="00DC403E">
        <w:rPr>
          <w:szCs w:val="24"/>
        </w:rPr>
        <w:t xml:space="preserve">b du 34.4.3.3.2 </w:t>
      </w:r>
      <w:r w:rsidRPr="00DC403E">
        <w:rPr>
          <w:szCs w:val="24"/>
          <w:lang w:val="fr-FR"/>
        </w:rPr>
        <w:t>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épreuves et de critères (ST/SG/AC.10/11/Rev.6)) comme suit :</w:t>
      </w:r>
    </w:p>
    <w:p w:rsidR="00C2343E" w:rsidRPr="00971E6C" w:rsidRDefault="00C2343E" w:rsidP="00290AE5">
      <w:pPr>
        <w:pStyle w:val="SingleTxtG"/>
        <w:ind w:left="1701"/>
        <w:rPr>
          <w:lang w:val="fr-FR"/>
        </w:rPr>
      </w:pPr>
      <w:r w:rsidRPr="00971E6C">
        <w:rPr>
          <w:lang w:val="fr-FR"/>
        </w:rPr>
        <w:t>b)</w:t>
      </w:r>
      <w:r w:rsidRPr="00971E6C">
        <w:rPr>
          <w:lang w:val="fr-FR"/>
        </w:rPr>
        <w:tab/>
        <w:t>Diamètre</w:t>
      </w:r>
      <w:r w:rsidR="00290AE5">
        <w:rPr>
          <w:lang w:val="fr-FR"/>
        </w:rPr>
        <w:tab/>
      </w:r>
      <w:r w:rsidR="00290AE5">
        <w:rPr>
          <w:lang w:val="fr-FR"/>
        </w:rPr>
        <w:tab/>
      </w:r>
      <w:r w:rsidRPr="00141AC2">
        <w:rPr>
          <w:strike/>
          <w:lang w:val="fr-FR"/>
        </w:rPr>
        <w:t>moins de</w:t>
      </w:r>
      <w:r>
        <w:rPr>
          <w:u w:val="single"/>
          <w:lang w:val="fr-FR"/>
        </w:rPr>
        <w:t xml:space="preserve"> </w:t>
      </w:r>
      <w:r w:rsidRPr="00141AC2">
        <w:rPr>
          <w:u w:val="single"/>
          <w:lang w:val="fr-FR"/>
        </w:rPr>
        <w:t xml:space="preserve">inférieur </w:t>
      </w:r>
      <w:r w:rsidRPr="0073413F">
        <w:rPr>
          <w:u w:val="single"/>
          <w:lang w:val="fr-FR"/>
        </w:rPr>
        <w:t>ou</w:t>
      </w:r>
      <w:r w:rsidRPr="00971E6C">
        <w:rPr>
          <w:u w:val="single"/>
          <w:lang w:val="fr-FR"/>
        </w:rPr>
        <w:t xml:space="preserve"> égal à</w:t>
      </w:r>
      <w:r w:rsidRPr="00971E6C">
        <w:rPr>
          <w:lang w:val="fr-FR"/>
        </w:rPr>
        <w:t xml:space="preserve"> 1 mm</w:t>
      </w:r>
      <w:r>
        <w:rPr>
          <w:lang w:val="fr-FR"/>
        </w:rPr>
        <w:t> </w:t>
      </w:r>
      <w:r w:rsidRPr="00971E6C">
        <w:rPr>
          <w:lang w:val="fr-FR"/>
        </w:rPr>
        <w:t>;</w:t>
      </w:r>
    </w:p>
    <w:p w:rsidR="00C2343E" w:rsidRPr="00DC403E" w:rsidRDefault="00C2343E" w:rsidP="00290AE5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O.1 : </w:t>
      </w:r>
      <w:r w:rsidRPr="00DC403E">
        <w:rPr>
          <w:lang w:val="fr-FR"/>
        </w:rPr>
        <w:br/>
        <w:t>Descriptif de la boucle métallique</w:t>
      </w:r>
    </w:p>
    <w:p w:rsidR="00C2343E" w:rsidRPr="00DC403E" w:rsidRDefault="00C2343E" w:rsidP="00290AE5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21.</w:t>
      </w:r>
      <w:r w:rsidRPr="00DC403E">
        <w:rPr>
          <w:szCs w:val="24"/>
          <w:lang w:val="fr-FR"/>
        </w:rPr>
        <w:tab/>
        <w:t>Modifier le 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O.1 (par. 34.4.1.2.3 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épreuves et de critères (ST/SG/AC.10/11/Rev.6)) comme suit : </w:t>
      </w:r>
    </w:p>
    <w:p w:rsidR="00C2343E" w:rsidRPr="00DC403E" w:rsidRDefault="00C2343E" w:rsidP="00290AE5">
      <w:pPr>
        <w:pStyle w:val="SingleTxtG"/>
        <w:keepNext/>
        <w:ind w:left="1701"/>
        <w:rPr>
          <w:szCs w:val="24"/>
          <w:lang w:val="fr-FR"/>
        </w:rPr>
      </w:pPr>
      <w:r w:rsidRPr="00DC403E">
        <w:rPr>
          <w:szCs w:val="24"/>
          <w:lang w:val="fr-FR"/>
        </w:rPr>
        <w:t>« 34.4.1.2.3</w:t>
      </w:r>
      <w:r w:rsidRPr="00DC403E">
        <w:rPr>
          <w:szCs w:val="24"/>
          <w:lang w:val="fr-FR"/>
        </w:rPr>
        <w:tab/>
        <w:t>On doit disposer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une source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inflammation constituée par une boucle de fil conducteur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un métal inerte </w:t>
      </w:r>
      <w:r w:rsidRPr="00DC403E">
        <w:rPr>
          <w:strike/>
          <w:szCs w:val="24"/>
          <w:lang w:val="fr-FR"/>
        </w:rPr>
        <w:t>(nickel/chrome, par exemple)</w:t>
      </w:r>
      <w:r w:rsidRPr="00DC403E">
        <w:rPr>
          <w:szCs w:val="24"/>
          <w:lang w:val="fr-FR"/>
        </w:rPr>
        <w:t xml:space="preserve">, raccordée à une source électrique </w:t>
      </w:r>
      <w:r w:rsidRPr="00DC403E">
        <w:rPr>
          <w:strike/>
          <w:szCs w:val="24"/>
          <w:lang w:val="fr-FR"/>
        </w:rPr>
        <w:t>et répondant aux caractéristiques ci-après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capable de dissiper la puissance spécifiée ci-dessous. La résistance électrique dépend du métal dont est faite la boucle</w:t>
      </w:r>
      <w:r w:rsidRPr="00DC403E">
        <w:rPr>
          <w:szCs w:val="24"/>
          <w:lang w:val="fr-FR"/>
        </w:rPr>
        <w:t xml:space="preserve">. </w:t>
      </w:r>
      <w:r w:rsidRPr="00DC403E">
        <w:rPr>
          <w:szCs w:val="24"/>
          <w:u w:val="single"/>
          <w:lang w:val="fr-FR"/>
        </w:rPr>
        <w:t>Il est recommandé d</w:t>
      </w:r>
      <w:r>
        <w:rPr>
          <w:szCs w:val="24"/>
          <w:u w:val="single"/>
          <w:lang w:val="fr-FR"/>
        </w:rPr>
        <w:t>’</w:t>
      </w:r>
      <w:r w:rsidRPr="00DC403E">
        <w:rPr>
          <w:szCs w:val="24"/>
          <w:u w:val="single"/>
          <w:lang w:val="fr-FR"/>
        </w:rPr>
        <w:t>utiliser un fil en nickel/chrome ou en aluchrome ayant les caractéristiques ci-après :</w:t>
      </w:r>
    </w:p>
    <w:p w:rsidR="00C2343E" w:rsidRPr="00DC403E" w:rsidRDefault="00C2343E" w:rsidP="00290AE5">
      <w:pPr>
        <w:pStyle w:val="SingleTxtG"/>
        <w:spacing w:after="0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a)</w:t>
      </w:r>
      <w:r w:rsidRPr="00DC403E">
        <w:rPr>
          <w:strike/>
          <w:szCs w:val="24"/>
          <w:lang w:val="fr-FR"/>
        </w:rPr>
        <w:tab/>
        <w:t>Longueur</w:t>
      </w:r>
      <w:r w:rsidRPr="00DC403E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BC4A80">
        <w:rPr>
          <w:strike/>
          <w:szCs w:val="24"/>
          <w:lang w:val="fr-FR"/>
        </w:rPr>
        <w:t>=</w:t>
      </w:r>
      <w:r w:rsidR="00BC4A80">
        <w:rPr>
          <w:strike/>
          <w:szCs w:val="24"/>
          <w:lang w:val="fr-FR"/>
        </w:rPr>
        <w:tab/>
        <w:t>30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1 cm ;</w:t>
      </w:r>
    </w:p>
    <w:p w:rsidR="00C2343E" w:rsidRPr="00DC403E" w:rsidRDefault="00C2343E" w:rsidP="00290AE5">
      <w:pPr>
        <w:pStyle w:val="SingleTxtG"/>
        <w:spacing w:after="0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b)</w:t>
      </w:r>
      <w:r w:rsidRPr="00DC403E">
        <w:rPr>
          <w:strike/>
          <w:szCs w:val="24"/>
          <w:lang w:val="fr-FR"/>
        </w:rPr>
        <w:tab/>
        <w:t>Diamètre</w:t>
      </w:r>
      <w:r w:rsidRPr="00DC403E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BC4A80">
        <w:rPr>
          <w:strike/>
          <w:szCs w:val="24"/>
          <w:lang w:val="fr-FR"/>
        </w:rPr>
        <w:t>=</w:t>
      </w:r>
      <w:r w:rsidR="00BC4A80">
        <w:rPr>
          <w:strike/>
          <w:szCs w:val="24"/>
          <w:lang w:val="fr-FR"/>
        </w:rPr>
        <w:tab/>
        <w:t>0,6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0,05 mm ;</w:t>
      </w:r>
    </w:p>
    <w:p w:rsidR="00C2343E" w:rsidRPr="00DC403E" w:rsidRDefault="00C2343E" w:rsidP="00290AE5">
      <w:pPr>
        <w:pStyle w:val="SingleTxtG"/>
        <w:spacing w:after="0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c)</w:t>
      </w:r>
      <w:r w:rsidRPr="00DC403E">
        <w:rPr>
          <w:strike/>
          <w:szCs w:val="24"/>
          <w:lang w:val="fr-FR"/>
        </w:rPr>
        <w:tab/>
        <w:t>Résistance électrique</w:t>
      </w:r>
      <w:r w:rsidRPr="00DC403E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BC4A80">
        <w:rPr>
          <w:strike/>
          <w:szCs w:val="24"/>
          <w:lang w:val="fr-FR"/>
        </w:rPr>
        <w:t>=</w:t>
      </w:r>
      <w:r w:rsidR="00BC4A80">
        <w:rPr>
          <w:strike/>
          <w:szCs w:val="24"/>
          <w:lang w:val="fr-FR"/>
        </w:rPr>
        <w:tab/>
        <w:t>6,0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0,5 Ω/m ;</w:t>
      </w:r>
    </w:p>
    <w:p w:rsidR="00C2343E" w:rsidRDefault="00C2343E" w:rsidP="00290AE5">
      <w:pPr>
        <w:pStyle w:val="SingleTxtG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d)</w:t>
      </w:r>
      <w:r w:rsidRPr="00DC403E">
        <w:rPr>
          <w:strike/>
          <w:szCs w:val="24"/>
          <w:lang w:val="fr-FR"/>
        </w:rPr>
        <w:tab/>
        <w:t>Puissance électr</w:t>
      </w:r>
      <w:r w:rsidR="00BC4A80">
        <w:rPr>
          <w:strike/>
          <w:szCs w:val="24"/>
          <w:lang w:val="fr-FR"/>
        </w:rPr>
        <w:t>ique dissipée dans le fil</w:t>
      </w:r>
      <w:r w:rsidR="00BC4A80">
        <w:rPr>
          <w:strike/>
          <w:szCs w:val="24"/>
          <w:lang w:val="fr-FR"/>
        </w:rPr>
        <w:tab/>
        <w:t>=</w:t>
      </w:r>
      <w:r w:rsidR="00BC4A80">
        <w:rPr>
          <w:strike/>
          <w:szCs w:val="24"/>
          <w:lang w:val="fr-FR"/>
        </w:rPr>
        <w:tab/>
        <w:t>150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7 W.</w:t>
      </w:r>
    </w:p>
    <w:p w:rsidR="00C2343E" w:rsidRPr="00DC403E" w:rsidRDefault="00C2343E" w:rsidP="00290AE5">
      <w:pPr>
        <w:pStyle w:val="SingleTxtG"/>
        <w:tabs>
          <w:tab w:val="left" w:pos="2835"/>
          <w:tab w:val="left" w:pos="6237"/>
          <w:tab w:val="left" w:pos="6551"/>
        </w:tabs>
        <w:spacing w:after="0"/>
        <w:ind w:left="2268"/>
        <w:rPr>
          <w:szCs w:val="24"/>
          <w:u w:val="single"/>
          <w:lang w:val="fr-FR"/>
        </w:rPr>
      </w:pPr>
      <w:r w:rsidRPr="00DC403E">
        <w:rPr>
          <w:szCs w:val="24"/>
          <w:u w:val="single"/>
          <w:lang w:val="fr-FR"/>
        </w:rPr>
        <w:lastRenderedPageBreak/>
        <w:t>a)</w:t>
      </w:r>
      <w:r w:rsidRPr="00DC403E">
        <w:rPr>
          <w:szCs w:val="24"/>
          <w:u w:val="single"/>
          <w:lang w:val="fr-FR"/>
        </w:rPr>
        <w:tab/>
        <w:t>Longueur</w:t>
      </w:r>
      <w:r w:rsidRPr="00DC403E">
        <w:rPr>
          <w:szCs w:val="24"/>
          <w:u w:val="single"/>
          <w:lang w:val="fr-FR"/>
        </w:rPr>
        <w:tab/>
        <w:t>=</w:t>
      </w:r>
      <w:r w:rsidR="00290AE5">
        <w:rPr>
          <w:szCs w:val="24"/>
          <w:u w:val="single"/>
          <w:lang w:val="fr-FR"/>
        </w:rPr>
        <w:tab/>
        <w:t>30 cm</w:t>
      </w:r>
      <w:r w:rsidRPr="00DC403E">
        <w:rPr>
          <w:szCs w:val="24"/>
          <w:u w:val="single"/>
          <w:lang w:val="fr-FR"/>
        </w:rPr>
        <w:sym w:font="Symbol" w:char="F0B1"/>
      </w:r>
      <w:r w:rsidRPr="00DC403E">
        <w:rPr>
          <w:szCs w:val="24"/>
          <w:u w:val="single"/>
          <w:lang w:val="fr-FR"/>
        </w:rPr>
        <w:t>1 cm ;</w:t>
      </w:r>
    </w:p>
    <w:p w:rsidR="00C2343E" w:rsidRPr="00DC403E" w:rsidRDefault="00C2343E" w:rsidP="00290AE5">
      <w:pPr>
        <w:pStyle w:val="SingleTxtG"/>
        <w:tabs>
          <w:tab w:val="left" w:pos="2835"/>
          <w:tab w:val="left" w:pos="6237"/>
          <w:tab w:val="left" w:pos="6551"/>
        </w:tabs>
        <w:spacing w:after="0"/>
        <w:ind w:left="2268"/>
        <w:rPr>
          <w:szCs w:val="24"/>
          <w:u w:val="single"/>
          <w:lang w:val="fr-FR"/>
        </w:rPr>
      </w:pPr>
      <w:r w:rsidRPr="00DC403E">
        <w:rPr>
          <w:szCs w:val="24"/>
          <w:u w:val="single"/>
          <w:lang w:val="fr-FR"/>
        </w:rPr>
        <w:t>b)</w:t>
      </w:r>
      <w:r w:rsidRPr="00DC403E">
        <w:rPr>
          <w:szCs w:val="24"/>
          <w:u w:val="single"/>
          <w:lang w:val="fr-FR"/>
        </w:rPr>
        <w:tab/>
      </w:r>
      <w:r w:rsidR="00290AE5">
        <w:rPr>
          <w:spacing w:val="-4"/>
          <w:szCs w:val="24"/>
          <w:u w:val="single"/>
          <w:lang w:val="fr-FR"/>
        </w:rPr>
        <w:t>Diamètre</w:t>
      </w:r>
      <w:r w:rsidR="00290AE5">
        <w:rPr>
          <w:spacing w:val="-4"/>
          <w:szCs w:val="24"/>
          <w:u w:val="single"/>
          <w:lang w:val="fr-FR"/>
        </w:rPr>
        <w:tab/>
      </w:r>
      <w:r w:rsidRPr="00290AE5">
        <w:rPr>
          <w:spacing w:val="-2"/>
          <w:szCs w:val="24"/>
          <w:u w:val="single"/>
          <w:lang w:val="fr-FR"/>
        </w:rPr>
        <w:t>inférieur ou égal à 1</w:t>
      </w:r>
      <w:r w:rsidRPr="00290AE5">
        <w:rPr>
          <w:spacing w:val="-4"/>
          <w:szCs w:val="24"/>
          <w:u w:val="single"/>
          <w:lang w:val="fr-FR"/>
        </w:rPr>
        <w:t xml:space="preserve"> mm ;</w:t>
      </w:r>
    </w:p>
    <w:p w:rsidR="00C2343E" w:rsidRPr="00DC403E" w:rsidRDefault="00290AE5" w:rsidP="00290AE5">
      <w:pPr>
        <w:pStyle w:val="SingleTxtG"/>
        <w:tabs>
          <w:tab w:val="left" w:pos="2835"/>
          <w:tab w:val="left" w:pos="6237"/>
          <w:tab w:val="left" w:pos="6551"/>
        </w:tabs>
        <w:ind w:left="2268"/>
        <w:rPr>
          <w:szCs w:val="24"/>
          <w:u w:val="single"/>
          <w:lang w:val="fr-FR"/>
        </w:rPr>
      </w:pPr>
      <w:r>
        <w:rPr>
          <w:szCs w:val="24"/>
          <w:u w:val="single"/>
          <w:lang w:val="fr-FR"/>
        </w:rPr>
        <w:t>c)</w:t>
      </w:r>
      <w:r>
        <w:rPr>
          <w:szCs w:val="24"/>
          <w:u w:val="single"/>
          <w:lang w:val="fr-FR"/>
        </w:rPr>
        <w:tab/>
      </w:r>
      <w:r w:rsidR="00C2343E" w:rsidRPr="00DC403E">
        <w:rPr>
          <w:szCs w:val="24"/>
          <w:u w:val="single"/>
          <w:lang w:val="fr-FR"/>
        </w:rPr>
        <w:t>Puissance électrique dissipée dans le fil</w:t>
      </w:r>
      <w:r w:rsidR="00C2343E" w:rsidRPr="00DC403E">
        <w:rPr>
          <w:szCs w:val="24"/>
          <w:u w:val="single"/>
          <w:lang w:val="fr-FR"/>
        </w:rPr>
        <w:tab/>
        <w:t>=</w:t>
      </w:r>
      <w:r>
        <w:rPr>
          <w:szCs w:val="24"/>
          <w:u w:val="single"/>
          <w:lang w:val="fr-FR"/>
        </w:rPr>
        <w:tab/>
        <w:t>150 W</w:t>
      </w:r>
      <w:r w:rsidR="00C2343E" w:rsidRPr="00DC403E">
        <w:rPr>
          <w:szCs w:val="24"/>
          <w:u w:val="single"/>
          <w:lang w:val="fr-FR"/>
        </w:rPr>
        <w:sym w:font="Symbol" w:char="F0B1"/>
      </w:r>
      <w:r w:rsidR="00C2343E" w:rsidRPr="00DC403E">
        <w:rPr>
          <w:szCs w:val="24"/>
          <w:u w:val="single"/>
          <w:lang w:val="fr-FR"/>
        </w:rPr>
        <w:t>7 W.</w:t>
      </w:r>
    </w:p>
    <w:p w:rsidR="00C2343E" w:rsidRPr="00DC403E" w:rsidRDefault="00C2343E" w:rsidP="00290AE5">
      <w:pPr>
        <w:pStyle w:val="SingleTxtG"/>
        <w:ind w:left="1701"/>
        <w:rPr>
          <w:lang w:val="fr-FR"/>
        </w:rPr>
      </w:pPr>
      <w:r w:rsidRPr="00DC403E">
        <w:rPr>
          <w:lang w:val="fr-FR"/>
        </w:rPr>
        <w:t>La boucle doit avoir la configuration de la figure 34.4.1.1. ».</w:t>
      </w:r>
    </w:p>
    <w:p w:rsidR="00C2343E" w:rsidRPr="00DC403E" w:rsidRDefault="00290AE5" w:rsidP="00290AE5">
      <w:pPr>
        <w:pStyle w:val="HChG"/>
      </w:pPr>
      <w:r>
        <w:tab/>
      </w:r>
      <w:r>
        <w:tab/>
      </w:r>
      <w:r w:rsidR="00C2343E" w:rsidRPr="00DC403E">
        <w:t xml:space="preserve">Autres travaux à entreprendre concernant les épreuves relatives aux matières comburantes </w:t>
      </w:r>
    </w:p>
    <w:p w:rsidR="00C2343E" w:rsidRDefault="00290AE5" w:rsidP="00290AE5">
      <w:pPr>
        <w:pStyle w:val="SingleTxtG"/>
      </w:pPr>
      <w:r>
        <w:t>22.</w:t>
      </w:r>
      <w:r>
        <w:tab/>
      </w:r>
      <w:r w:rsidR="00C2343E" w:rsidRPr="00DC403E">
        <w:t>Outre les points couverts par les propositions formulées dans le présent document, un certain nombre d</w:t>
      </w:r>
      <w:r w:rsidR="00C2343E">
        <w:t>’</w:t>
      </w:r>
      <w:r w:rsidR="00C2343E" w:rsidRPr="00DC403E">
        <w:t>autres questions recensées dans le document informel INF.56 (TM</w:t>
      </w:r>
      <w:r w:rsidR="00EC4AEE">
        <w:t>D, cinquante-troisième session)</w:t>
      </w:r>
      <w:r w:rsidR="000B4A48">
        <w:t xml:space="preserve"> </w:t>
      </w:r>
      <w:r w:rsidR="00163997">
        <w:t>−</w:t>
      </w:r>
      <w:r w:rsidR="000B4A48">
        <w:t xml:space="preserve"> </w:t>
      </w:r>
      <w:r w:rsidR="00C2343E" w:rsidRPr="00DC403E">
        <w:t>INF.19 (SGH, trente-cinquième session) doivent être examinées. L</w:t>
      </w:r>
      <w:r w:rsidR="00C2343E">
        <w:t>’</w:t>
      </w:r>
      <w:r w:rsidR="00C2343E" w:rsidRPr="00DC403E">
        <w:t>expert de la France propose d</w:t>
      </w:r>
      <w:r w:rsidR="00C2343E">
        <w:t>’</w:t>
      </w:r>
      <w:r w:rsidR="00C2343E" w:rsidRPr="00DC403E">
        <w:t>inclure les travaux correspondants dans le programme de travail des sous-comités pour 2019-2020. S</w:t>
      </w:r>
      <w:r w:rsidR="00C2343E">
        <w:t>’</w:t>
      </w:r>
      <w:r w:rsidR="00C2343E" w:rsidRPr="00DC403E">
        <w:t>il en est décidé ainsi, il suggère de conduire les travaux en tant que suite à donner à cette question.</w:t>
      </w:r>
    </w:p>
    <w:p w:rsidR="00290AE5" w:rsidRPr="00290AE5" w:rsidRDefault="00290AE5" w:rsidP="00290AE5">
      <w:pPr>
        <w:pStyle w:val="SingleTxtG"/>
        <w:spacing w:before="240" w:after="0"/>
        <w:jc w:val="center"/>
        <w:rPr>
          <w:u w:val="single"/>
        </w:rPr>
      </w:pPr>
      <w:r w:rsidRPr="00290AE5">
        <w:rPr>
          <w:u w:val="single"/>
        </w:rPr>
        <w:tab/>
      </w:r>
      <w:r w:rsidRPr="00290AE5">
        <w:rPr>
          <w:u w:val="single"/>
        </w:rPr>
        <w:tab/>
      </w:r>
      <w:r w:rsidRPr="00290AE5">
        <w:rPr>
          <w:u w:val="single"/>
        </w:rPr>
        <w:tab/>
      </w:r>
    </w:p>
    <w:sectPr w:rsidR="00290AE5" w:rsidRPr="00290AE5" w:rsidSect="002A25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B5" w:rsidRDefault="00204EB5" w:rsidP="00F95C08">
      <w:pPr>
        <w:spacing w:line="240" w:lineRule="auto"/>
      </w:pPr>
    </w:p>
  </w:endnote>
  <w:endnote w:type="continuationSeparator" w:id="0">
    <w:p w:rsidR="00204EB5" w:rsidRPr="00AC3823" w:rsidRDefault="00204EB5" w:rsidP="00AC3823">
      <w:pPr>
        <w:pStyle w:val="Footer"/>
      </w:pPr>
    </w:p>
  </w:endnote>
  <w:endnote w:type="continuationNotice" w:id="1">
    <w:p w:rsidR="00204EB5" w:rsidRDefault="00204E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 w:rsidP="002A2590">
    <w:pPr>
      <w:pStyle w:val="Footer"/>
      <w:tabs>
        <w:tab w:val="right" w:pos="9638"/>
      </w:tabs>
    </w:pPr>
    <w:r w:rsidRPr="002A2590">
      <w:rPr>
        <w:b/>
        <w:sz w:val="18"/>
      </w:rPr>
      <w:fldChar w:fldCharType="begin"/>
    </w:r>
    <w:r w:rsidRPr="002A2590">
      <w:rPr>
        <w:b/>
        <w:sz w:val="18"/>
      </w:rPr>
      <w:instrText xml:space="preserve"> PAGE  \* MERGEFORMAT </w:instrText>
    </w:r>
    <w:r w:rsidRPr="002A2590">
      <w:rPr>
        <w:b/>
        <w:sz w:val="18"/>
      </w:rPr>
      <w:fldChar w:fldCharType="separate"/>
    </w:r>
    <w:r w:rsidR="00872740">
      <w:rPr>
        <w:b/>
        <w:noProof/>
        <w:sz w:val="18"/>
      </w:rPr>
      <w:t>6</w:t>
    </w:r>
    <w:r w:rsidRPr="002A2590">
      <w:rPr>
        <w:b/>
        <w:sz w:val="18"/>
      </w:rPr>
      <w:fldChar w:fldCharType="end"/>
    </w:r>
    <w:r>
      <w:rPr>
        <w:b/>
        <w:sz w:val="18"/>
      </w:rPr>
      <w:tab/>
    </w:r>
    <w:r>
      <w:t>GE.18-14831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 w:rsidP="002A2590">
    <w:pPr>
      <w:pStyle w:val="Footer"/>
      <w:tabs>
        <w:tab w:val="right" w:pos="9638"/>
      </w:tabs>
      <w:rPr>
        <w:b/>
        <w:sz w:val="18"/>
      </w:rPr>
    </w:pPr>
    <w:r>
      <w:t>GE.18-14831</w:t>
    </w:r>
    <w:r>
      <w:tab/>
    </w:r>
    <w:r w:rsidRPr="002A2590">
      <w:rPr>
        <w:b/>
        <w:sz w:val="18"/>
      </w:rPr>
      <w:fldChar w:fldCharType="begin"/>
    </w:r>
    <w:r w:rsidRPr="002A2590">
      <w:rPr>
        <w:b/>
        <w:sz w:val="18"/>
      </w:rPr>
      <w:instrText xml:space="preserve"> PAGE  \* MERGEFORMAT </w:instrText>
    </w:r>
    <w:r w:rsidRPr="002A2590">
      <w:rPr>
        <w:b/>
        <w:sz w:val="18"/>
      </w:rPr>
      <w:fldChar w:fldCharType="separate"/>
    </w:r>
    <w:r w:rsidR="00872740">
      <w:rPr>
        <w:b/>
        <w:noProof/>
        <w:sz w:val="18"/>
      </w:rPr>
      <w:t>5</w:t>
    </w:r>
    <w:r w:rsidRPr="002A25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2A2590" w:rsidRDefault="002A2590" w:rsidP="002A259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18-14831  (F)    041018    091018</w:t>
    </w:r>
    <w:r>
      <w:rPr>
        <w:sz w:val="20"/>
      </w:rPr>
      <w:br/>
    </w:r>
    <w:r w:rsidRPr="002A2590">
      <w:rPr>
        <w:rFonts w:ascii="C39T30Lfz" w:hAnsi="C39T30Lfz"/>
        <w:sz w:val="56"/>
      </w:rPr>
      <w:t></w:t>
    </w:r>
    <w:r w:rsidRPr="002A2590">
      <w:rPr>
        <w:rFonts w:ascii="C39T30Lfz" w:hAnsi="C39T30Lfz"/>
        <w:sz w:val="56"/>
      </w:rPr>
      <w:t></w:t>
    </w:r>
    <w:r w:rsidRPr="002A2590">
      <w:rPr>
        <w:rFonts w:ascii="C39T30Lfz" w:hAnsi="C39T30Lfz"/>
        <w:sz w:val="56"/>
      </w:rPr>
      <w:t></w:t>
    </w:r>
    <w:r w:rsidRPr="002A2590">
      <w:rPr>
        <w:rFonts w:ascii="C39T30Lfz" w:hAnsi="C39T30Lfz"/>
        <w:sz w:val="56"/>
      </w:rPr>
      <w:t></w:t>
    </w:r>
    <w:r w:rsidRPr="002A2590">
      <w:rPr>
        <w:rFonts w:ascii="C39T30Lfz" w:hAnsi="C39T30Lfz"/>
        <w:sz w:val="56"/>
      </w:rPr>
      <w:t></w:t>
    </w:r>
    <w:r w:rsidRPr="002A2590">
      <w:rPr>
        <w:rFonts w:ascii="C39T30Lfz" w:hAnsi="C39T30Lfz"/>
        <w:sz w:val="56"/>
      </w:rPr>
      <w:t></w:t>
    </w:r>
    <w:r w:rsidRPr="002A2590">
      <w:rPr>
        <w:rFonts w:ascii="C39T30Lfz" w:hAnsi="C39T30Lfz"/>
        <w:sz w:val="56"/>
      </w:rPr>
      <w:t></w:t>
    </w:r>
    <w:r w:rsidRPr="002A2590">
      <w:rPr>
        <w:rFonts w:ascii="C39T30Lfz" w:hAnsi="C39T30Lfz"/>
        <w:sz w:val="56"/>
      </w:rPr>
      <w:t></w:t>
    </w:r>
    <w:r w:rsidRPr="002A259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B5" w:rsidRPr="00AC3823" w:rsidRDefault="00204E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4EB5" w:rsidRPr="00AC3823" w:rsidRDefault="00204E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4EB5" w:rsidRPr="00AC3823" w:rsidRDefault="00204EB5">
      <w:pPr>
        <w:spacing w:line="240" w:lineRule="auto"/>
        <w:rPr>
          <w:sz w:val="2"/>
          <w:szCs w:val="2"/>
        </w:rPr>
      </w:pPr>
    </w:p>
  </w:footnote>
  <w:footnote w:id="2">
    <w:p w:rsidR="00C2343E" w:rsidRPr="00FD79DC" w:rsidRDefault="00C2343E" w:rsidP="00C2343E">
      <w:pPr>
        <w:pStyle w:val="FootnoteText"/>
      </w:pPr>
      <w:r>
        <w:rPr>
          <w:rStyle w:val="FootnoteReference"/>
        </w:rPr>
        <w:tab/>
      </w:r>
      <w:r w:rsidRPr="00796B9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D79DC">
        <w:rPr>
          <w:lang w:val="fr-FR"/>
        </w:rPr>
        <w:t>Conformément au programme de travail du Sous-Comité pour la période 2017-2018, approuvé par le</w:t>
      </w:r>
      <w:r>
        <w:rPr>
          <w:lang w:val="fr-FR"/>
        </w:rPr>
        <w:t> </w:t>
      </w:r>
      <w:r w:rsidRPr="00FD79DC">
        <w:rPr>
          <w:lang w:val="fr-FR"/>
        </w:rPr>
        <w:t>Comité à sa huitième session (voir ST/SG/AC.10/C.3/100, par. 98, et ST/SG/AC.10/44, par. 14).</w:t>
      </w:r>
    </w:p>
  </w:footnote>
  <w:footnote w:id="3">
    <w:p w:rsidR="00C2343E" w:rsidRDefault="00C2343E" w:rsidP="00C2343E">
      <w:pPr>
        <w:pStyle w:val="FootnoteText"/>
      </w:pPr>
      <w:r>
        <w:tab/>
      </w:r>
      <w:r w:rsidRPr="00E817CB">
        <w:rPr>
          <w:rStyle w:val="FootnoteReference"/>
        </w:rPr>
        <w:footnoteRef/>
      </w:r>
      <w:r>
        <w:tab/>
      </w:r>
      <w:r w:rsidRPr="00D130B8">
        <w:rPr>
          <w:lang w:val="fr-FR"/>
        </w:rPr>
        <w:t>La matière de référence correspondant au groupe d</w:t>
      </w:r>
      <w:r>
        <w:rPr>
          <w:lang w:val="fr-FR"/>
        </w:rPr>
        <w:t>’</w:t>
      </w:r>
      <w:r w:rsidRPr="00D130B8">
        <w:rPr>
          <w:lang w:val="fr-FR"/>
        </w:rPr>
        <w:t>emballage I est déjà une solution aqueuse d</w:t>
      </w:r>
      <w:r>
        <w:rPr>
          <w:lang w:val="fr-FR"/>
        </w:rPr>
        <w:t>’</w:t>
      </w:r>
      <w:r w:rsidRPr="00D130B8">
        <w:rPr>
          <w:lang w:val="fr-FR"/>
        </w:rPr>
        <w:t>acide perchlorique à 50 %</w:t>
      </w:r>
      <w:r>
        <w:rPr>
          <w:lang w:val="fr-FR"/>
        </w:rPr>
        <w:t>.</w:t>
      </w:r>
    </w:p>
  </w:footnote>
  <w:footnote w:id="4">
    <w:p w:rsidR="00C2343E" w:rsidRPr="00BD182F" w:rsidRDefault="00C2343E" w:rsidP="00C2343E">
      <w:pPr>
        <w:pStyle w:val="FootnoteText"/>
        <w:rPr>
          <w:lang w:val="en-US"/>
        </w:rPr>
      </w:pPr>
      <w:r>
        <w:tab/>
      </w:r>
      <w:r w:rsidRPr="00E817CB">
        <w:rPr>
          <w:rStyle w:val="FootnoteReference"/>
        </w:rPr>
        <w:footnoteRef/>
      </w:r>
      <w:r w:rsidRPr="00BD182F">
        <w:rPr>
          <w:lang w:val="en-US"/>
        </w:rPr>
        <w:tab/>
      </w:r>
      <w:r w:rsidRPr="00F365A1">
        <w:rPr>
          <w:lang w:val="en-US"/>
        </w:rPr>
        <w:t xml:space="preserve">Hiroshi Koseki </w:t>
      </w:r>
      <w:r w:rsidRPr="00AD4499">
        <w:rPr>
          <w:lang w:val="en-US"/>
        </w:rPr>
        <w:t>in</w:t>
      </w:r>
      <w:r w:rsidRPr="00F365A1">
        <w:rPr>
          <w:lang w:val="en-US"/>
        </w:rPr>
        <w:t xml:space="preserve"> Journal of Loss Prevention in the Process Industries 14 (2001), p.</w:t>
      </w:r>
      <w:r>
        <w:rPr>
          <w:lang w:val="en-US"/>
        </w:rPr>
        <w:t> </w:t>
      </w:r>
      <w:r w:rsidRPr="00F365A1">
        <w:rPr>
          <w:lang w:val="en-US"/>
        </w:rPr>
        <w:t>431 à 434.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>
    <w:pPr>
      <w:pStyle w:val="Header"/>
      <w:rPr>
        <w:lang w:val="en-US"/>
      </w:rPr>
    </w:pPr>
    <w:r>
      <w:fldChar w:fldCharType="begin"/>
    </w:r>
    <w:r w:rsidRPr="002A2590">
      <w:rPr>
        <w:lang w:val="en-US"/>
      </w:rPr>
      <w:instrText xml:space="preserve"> TITLE  \* MERGEFORMAT </w:instrText>
    </w:r>
    <w:r>
      <w:fldChar w:fldCharType="separate"/>
    </w:r>
    <w:r w:rsidR="002B56C5">
      <w:rPr>
        <w:lang w:val="en-US"/>
      </w:rPr>
      <w:t>ST/SG/AC.10/C.3/2018/116</w:t>
    </w:r>
    <w:r>
      <w:fldChar w:fldCharType="end"/>
    </w:r>
    <w:r w:rsidRPr="002A2590">
      <w:rPr>
        <w:lang w:val="en-US"/>
      </w:rPr>
      <w:br/>
    </w:r>
    <w:r>
      <w:fldChar w:fldCharType="begin"/>
    </w:r>
    <w:r w:rsidRPr="002A2590">
      <w:rPr>
        <w:lang w:val="en-US"/>
      </w:rPr>
      <w:instrText xml:space="preserve"> KEYWORDS  \* MERGEFORMAT </w:instrText>
    </w:r>
    <w:r>
      <w:fldChar w:fldCharType="separate"/>
    </w:r>
    <w:r w:rsidR="002B56C5">
      <w:rPr>
        <w:lang w:val="en-US"/>
      </w:rPr>
      <w:t>ST/SG/AC.10/C.4/2018/24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 w:rsidP="002A2590">
    <w:pPr>
      <w:pStyle w:val="Header"/>
      <w:jc w:val="right"/>
      <w:rPr>
        <w:lang w:val="en-US"/>
      </w:rPr>
    </w:pPr>
    <w:r>
      <w:fldChar w:fldCharType="begin"/>
    </w:r>
    <w:r w:rsidRPr="002A2590">
      <w:rPr>
        <w:lang w:val="en-US"/>
      </w:rPr>
      <w:instrText xml:space="preserve"> TITLE  \* MERGEFORMAT </w:instrText>
    </w:r>
    <w:r>
      <w:fldChar w:fldCharType="separate"/>
    </w:r>
    <w:r w:rsidR="002B56C5">
      <w:rPr>
        <w:lang w:val="en-US"/>
      </w:rPr>
      <w:t>ST/SG/AC.10/C.3/2018/116</w:t>
    </w:r>
    <w:r>
      <w:fldChar w:fldCharType="end"/>
    </w:r>
    <w:r w:rsidRPr="002A2590">
      <w:rPr>
        <w:lang w:val="en-US"/>
      </w:rPr>
      <w:br/>
    </w:r>
    <w:r>
      <w:fldChar w:fldCharType="begin"/>
    </w:r>
    <w:r w:rsidRPr="002A2590">
      <w:rPr>
        <w:lang w:val="en-US"/>
      </w:rPr>
      <w:instrText xml:space="preserve"> KEYWORDS  \* MERGEFORMAT </w:instrText>
    </w:r>
    <w:r>
      <w:fldChar w:fldCharType="separate"/>
    </w:r>
    <w:r w:rsidR="002B56C5">
      <w:rPr>
        <w:lang w:val="en-US"/>
      </w:rPr>
      <w:t>ST/SG/AC.10/C.4/2018/24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B5"/>
    <w:rsid w:val="00017F94"/>
    <w:rsid w:val="00023842"/>
    <w:rsid w:val="000305D3"/>
    <w:rsid w:val="000334F9"/>
    <w:rsid w:val="0007796D"/>
    <w:rsid w:val="00087CFC"/>
    <w:rsid w:val="000A4C6D"/>
    <w:rsid w:val="000B4A48"/>
    <w:rsid w:val="000B7790"/>
    <w:rsid w:val="000E7BEC"/>
    <w:rsid w:val="00111F2F"/>
    <w:rsid w:val="00114990"/>
    <w:rsid w:val="00132EA9"/>
    <w:rsid w:val="0014365E"/>
    <w:rsid w:val="00163997"/>
    <w:rsid w:val="00176178"/>
    <w:rsid w:val="001F525A"/>
    <w:rsid w:val="00204EB5"/>
    <w:rsid w:val="00223272"/>
    <w:rsid w:val="0024779E"/>
    <w:rsid w:val="00283190"/>
    <w:rsid w:val="002832AC"/>
    <w:rsid w:val="00290AE5"/>
    <w:rsid w:val="002A2590"/>
    <w:rsid w:val="002B56C5"/>
    <w:rsid w:val="002D7C93"/>
    <w:rsid w:val="003C2078"/>
    <w:rsid w:val="003C54DF"/>
    <w:rsid w:val="003F3C62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2740"/>
    <w:rsid w:val="008776DC"/>
    <w:rsid w:val="008B40CD"/>
    <w:rsid w:val="009705C8"/>
    <w:rsid w:val="009C1CF4"/>
    <w:rsid w:val="009C3CBA"/>
    <w:rsid w:val="00A30353"/>
    <w:rsid w:val="00AC3823"/>
    <w:rsid w:val="00AE323C"/>
    <w:rsid w:val="00B00181"/>
    <w:rsid w:val="00B00B0D"/>
    <w:rsid w:val="00B765F7"/>
    <w:rsid w:val="00BA0CA9"/>
    <w:rsid w:val="00BC4A80"/>
    <w:rsid w:val="00C02897"/>
    <w:rsid w:val="00C2343E"/>
    <w:rsid w:val="00C234A6"/>
    <w:rsid w:val="00CD2BBE"/>
    <w:rsid w:val="00D10CE7"/>
    <w:rsid w:val="00D3439C"/>
    <w:rsid w:val="00D51D31"/>
    <w:rsid w:val="00D90E75"/>
    <w:rsid w:val="00DB1831"/>
    <w:rsid w:val="00DD3BFD"/>
    <w:rsid w:val="00DF6678"/>
    <w:rsid w:val="00E43CD7"/>
    <w:rsid w:val="00EC4AEE"/>
    <w:rsid w:val="00EF2E22"/>
    <w:rsid w:val="00F01738"/>
    <w:rsid w:val="00F660DF"/>
    <w:rsid w:val="00F730C8"/>
    <w:rsid w:val="00F95C08"/>
    <w:rsid w:val="00FA44E6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551A81-6FFC-40B2-B65A-DB0BFC0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2656</Words>
  <Characters>15143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ST/SG/AC.10/C.3/2018/116</vt:lpstr>
      <vt:lpstr>ST/SG/AC.10/C.3/2018/116</vt:lpstr>
    </vt:vector>
  </TitlesOfParts>
  <Company>DCM</Company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ST/SG/AC.10/C.3/2018/116</dc:title>
  <dc:creator>Christine  CHAUTAGNAT</dc:creator>
  <cp:keywords>ST/SG/AC.10/C.4/2018/24</cp:keywords>
  <cp:lastModifiedBy>Laurence Berthet</cp:lastModifiedBy>
  <cp:revision>2</cp:revision>
  <cp:lastPrinted>2018-10-09T15:18:00Z</cp:lastPrinted>
  <dcterms:created xsi:type="dcterms:W3CDTF">2018-10-09T15:18:00Z</dcterms:created>
  <dcterms:modified xsi:type="dcterms:W3CDTF">2018-10-09T15:18:00Z</dcterms:modified>
</cp:coreProperties>
</file>