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51736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51736F" w:rsidP="0051736F">
            <w:pPr>
              <w:jc w:val="right"/>
            </w:pPr>
            <w:r w:rsidRPr="0051736F">
              <w:rPr>
                <w:sz w:val="40"/>
              </w:rPr>
              <w:t>ST</w:t>
            </w:r>
            <w:r>
              <w:t>/SG/AC.10/C.3/2018/113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51736F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51736F" w:rsidRDefault="0051736F" w:rsidP="0051736F">
            <w:pPr>
              <w:spacing w:line="240" w:lineRule="exact"/>
            </w:pPr>
            <w:r>
              <w:t>5 septembre 2018</w:t>
            </w:r>
          </w:p>
          <w:p w:rsidR="0051736F" w:rsidRDefault="0051736F" w:rsidP="0051736F">
            <w:pPr>
              <w:spacing w:line="240" w:lineRule="exact"/>
            </w:pPr>
            <w:r>
              <w:t>Français</w:t>
            </w:r>
          </w:p>
          <w:p w:rsidR="0051736F" w:rsidRPr="00DB58B5" w:rsidRDefault="0051736F" w:rsidP="0051736F">
            <w:pPr>
              <w:spacing w:line="240" w:lineRule="exact"/>
            </w:pPr>
            <w:r>
              <w:t>Original : anglais</w:t>
            </w:r>
          </w:p>
        </w:tc>
      </w:tr>
    </w:tbl>
    <w:p w:rsidR="0051736F" w:rsidRPr="00CA0680" w:rsidRDefault="0051736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51736F" w:rsidRPr="00CA0680" w:rsidRDefault="0051736F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51736F" w:rsidRDefault="0051736F" w:rsidP="000305D3">
      <w:pPr>
        <w:spacing w:before="120"/>
        <w:rPr>
          <w:b/>
        </w:rPr>
      </w:pPr>
      <w:r w:rsidRPr="00CB1A9B">
        <w:rPr>
          <w:b/>
          <w:bCs/>
          <w:lang w:val="fr-FR"/>
        </w:rPr>
        <w:t xml:space="preserve">Cinquante-quatrième </w:t>
      </w:r>
      <w:r w:rsidRPr="00CA0680">
        <w:rPr>
          <w:b/>
        </w:rPr>
        <w:t>session</w:t>
      </w:r>
      <w:r w:rsidR="00850AA4">
        <w:rPr>
          <w:b/>
        </w:rPr>
        <w:t>3</w:t>
      </w:r>
    </w:p>
    <w:p w:rsidR="0051736F" w:rsidRPr="00CB1A9B" w:rsidRDefault="0051736F" w:rsidP="0051736F">
      <w:r>
        <w:t xml:space="preserve">Genève, </w:t>
      </w:r>
      <w:r>
        <w:rPr>
          <w:lang w:val="fr-FR"/>
        </w:rPr>
        <w:t>26 </w:t>
      </w:r>
      <w:r w:rsidRPr="00CB1A9B">
        <w:rPr>
          <w:lang w:val="fr-FR"/>
        </w:rPr>
        <w:t>novembre-4</w:t>
      </w:r>
      <w:r>
        <w:rPr>
          <w:lang w:val="fr-FR"/>
        </w:rPr>
        <w:t> </w:t>
      </w:r>
      <w:r w:rsidRPr="00CB1A9B">
        <w:rPr>
          <w:lang w:val="fr-FR"/>
        </w:rPr>
        <w:t>décembre 2018</w:t>
      </w:r>
    </w:p>
    <w:p w:rsidR="0051736F" w:rsidRDefault="0051736F" w:rsidP="0051736F">
      <w:pPr>
        <w:rPr>
          <w:lang w:val="fr-FR"/>
        </w:rPr>
      </w:pPr>
      <w:r w:rsidRPr="00CB1A9B">
        <w:rPr>
          <w:lang w:val="fr-FR"/>
        </w:rPr>
        <w:t>Point 2 b) de l</w:t>
      </w:r>
      <w:r>
        <w:rPr>
          <w:lang w:val="fr-FR"/>
        </w:rPr>
        <w:t>’</w:t>
      </w:r>
      <w:r w:rsidRPr="00CB1A9B">
        <w:rPr>
          <w:lang w:val="fr-FR"/>
        </w:rPr>
        <w:t xml:space="preserve">ordre du jour provisoire </w:t>
      </w:r>
    </w:p>
    <w:p w:rsidR="0051736F" w:rsidRPr="0051736F" w:rsidRDefault="0051736F" w:rsidP="0051736F">
      <w:pPr>
        <w:rPr>
          <w:b/>
          <w:bCs/>
          <w:spacing w:val="-2"/>
        </w:rPr>
      </w:pPr>
      <w:r w:rsidRPr="0051736F">
        <w:rPr>
          <w:b/>
          <w:bCs/>
          <w:spacing w:val="2"/>
          <w:lang w:val="fr-FR"/>
        </w:rPr>
        <w:t xml:space="preserve">Recommandations du Sous-Comité formulées à ses cinquante et unième, </w:t>
      </w:r>
      <w:r w:rsidRPr="0051736F">
        <w:rPr>
          <w:b/>
          <w:bCs/>
          <w:spacing w:val="2"/>
          <w:lang w:val="fr-FR"/>
        </w:rPr>
        <w:br/>
      </w:r>
      <w:r w:rsidRPr="0051736F">
        <w:rPr>
          <w:b/>
          <w:bCs/>
          <w:spacing w:val="-2"/>
          <w:lang w:val="fr-FR"/>
        </w:rPr>
        <w:t>cinquante-deuxième et cinquante-troisième sessions et questions en suspens</w:t>
      </w:r>
    </w:p>
    <w:p w:rsidR="0051736F" w:rsidRPr="00CB1A9B" w:rsidRDefault="0051736F" w:rsidP="0051736F">
      <w:pPr>
        <w:rPr>
          <w:b/>
          <w:bCs/>
        </w:rPr>
      </w:pPr>
      <w:r w:rsidRPr="00CB1A9B">
        <w:rPr>
          <w:b/>
          <w:bCs/>
          <w:lang w:val="fr-FR"/>
        </w:rPr>
        <w:t>Explosifs et questions connexes</w:t>
      </w:r>
    </w:p>
    <w:p w:rsidR="0051736F" w:rsidRPr="00827962" w:rsidRDefault="0051736F" w:rsidP="0051736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Amendements à la liste d’objets relevant de l’instruction d’emballage LP101</w:t>
      </w:r>
    </w:p>
    <w:p w:rsidR="0051736F" w:rsidRDefault="0051736F" w:rsidP="0051736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l’expert du Royaume-Uni</w:t>
      </w:r>
      <w:r w:rsidRPr="0051736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1736F" w:rsidRPr="00827962" w:rsidRDefault="0051736F" w:rsidP="0051736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51736F" w:rsidRPr="00CB1A9B" w:rsidRDefault="0051736F" w:rsidP="0051736F">
      <w:pPr>
        <w:pStyle w:val="SingleTxtG"/>
      </w:pPr>
      <w:r w:rsidRPr="00CB1A9B">
        <w:t>1.</w:t>
      </w:r>
      <w:r w:rsidRPr="00CB1A9B">
        <w:tab/>
      </w:r>
      <w:r w:rsidRPr="00CB1A9B">
        <w:rPr>
          <w:lang w:val="fr-FR"/>
        </w:rPr>
        <w:t>L</w:t>
      </w:r>
      <w:r>
        <w:rPr>
          <w:lang w:val="fr-FR"/>
        </w:rPr>
        <w:t>’</w:t>
      </w:r>
      <w:r w:rsidRPr="00CB1A9B">
        <w:rPr>
          <w:lang w:val="fr-FR"/>
        </w:rPr>
        <w:t>expert du Royaume-Uni a soulevé cette question pour la première fois à la cinquante-deuxième session du Sous-Comité dans le document ST/SG/AC.10/C3/2017/48, qui avait été transmis au Groupe de travail des explosifs. Au cours des débats du Groupe de travail, l</w:t>
      </w:r>
      <w:r>
        <w:rPr>
          <w:lang w:val="fr-FR"/>
        </w:rPr>
        <w:t>’</w:t>
      </w:r>
      <w:r w:rsidRPr="00CB1A9B">
        <w:rPr>
          <w:lang w:val="fr-FR"/>
        </w:rPr>
        <w:t xml:space="preserve">expert </w:t>
      </w:r>
      <w:r>
        <w:rPr>
          <w:lang w:val="fr-FR"/>
        </w:rPr>
        <w:t xml:space="preserve">du </w:t>
      </w:r>
      <w:r w:rsidRPr="00CB1A9B">
        <w:rPr>
          <w:lang w:val="fr-FR"/>
        </w:rPr>
        <w:t>Canada avait soulevé certains problèmes auxquels il n</w:t>
      </w:r>
      <w:r>
        <w:rPr>
          <w:lang w:val="fr-FR"/>
        </w:rPr>
        <w:t>’</w:t>
      </w:r>
      <w:r w:rsidRPr="00CB1A9B">
        <w:rPr>
          <w:lang w:val="fr-FR"/>
        </w:rPr>
        <w:t>avait pas été possible de remédier immédiatement et le document présenté par le Royaume-Uni avait été retiré.</w:t>
      </w:r>
    </w:p>
    <w:p w:rsidR="0051736F" w:rsidRPr="00CB1A9B" w:rsidRDefault="0051736F" w:rsidP="0051736F">
      <w:pPr>
        <w:pStyle w:val="SingleTxtG"/>
        <w:kinsoku/>
        <w:overflowPunct/>
        <w:autoSpaceDE/>
        <w:autoSpaceDN/>
        <w:adjustRightInd/>
        <w:snapToGrid/>
      </w:pPr>
      <w:r w:rsidRPr="00CB1A9B">
        <w:t>2.</w:t>
      </w:r>
      <w:r w:rsidRPr="00CB1A9B">
        <w:tab/>
      </w:r>
      <w:r w:rsidRPr="00CB1A9B">
        <w:rPr>
          <w:lang w:val="fr-FR"/>
        </w:rPr>
        <w:t>Entre les cinquante-deuxième et cinquante-troisième sessions du Sous-Comité, le Royaume-Uni et le Canada ont aplani leurs divergences et se sont entendus sur de nouvelles possibilités d</w:t>
      </w:r>
      <w:r>
        <w:rPr>
          <w:lang w:val="fr-FR"/>
        </w:rPr>
        <w:t>’</w:t>
      </w:r>
      <w:r w:rsidRPr="00CB1A9B">
        <w:rPr>
          <w:lang w:val="fr-FR"/>
        </w:rPr>
        <w:t xml:space="preserve">amendements. Une version modifiée de la proposition a été établie et présentée à la réunion du Groupe de travail des explosifs en tant que document informel INF.24 (cinquante-troisième session). Les discussions concernant ce document ont révélé </w:t>
      </w:r>
      <w:r>
        <w:rPr>
          <w:lang w:val="fr-FR"/>
        </w:rPr>
        <w:t>des</w:t>
      </w:r>
      <w:r w:rsidRPr="00CB1A9B">
        <w:rPr>
          <w:lang w:val="fr-FR"/>
        </w:rPr>
        <w:t xml:space="preserve"> incohérences dans le texte pouvant prêter à confusion et ont fait ressortir certains points pour lesquels il a été estimé </w:t>
      </w:r>
      <w:r>
        <w:rPr>
          <w:lang w:val="fr-FR"/>
        </w:rPr>
        <w:t>que des</w:t>
      </w:r>
      <w:r w:rsidRPr="00CB1A9B">
        <w:rPr>
          <w:lang w:val="fr-FR"/>
        </w:rPr>
        <w:t xml:space="preserve"> explications </w:t>
      </w:r>
      <w:r>
        <w:rPr>
          <w:lang w:val="fr-FR"/>
        </w:rPr>
        <w:t xml:space="preserve">supplémentaires </w:t>
      </w:r>
      <w:r w:rsidRPr="00CB1A9B">
        <w:rPr>
          <w:lang w:val="fr-FR"/>
        </w:rPr>
        <w:t>serai</w:t>
      </w:r>
      <w:r>
        <w:rPr>
          <w:lang w:val="fr-FR"/>
        </w:rPr>
        <w:t>en</w:t>
      </w:r>
      <w:r w:rsidRPr="00CB1A9B">
        <w:rPr>
          <w:lang w:val="fr-FR"/>
        </w:rPr>
        <w:t>t utile</w:t>
      </w:r>
      <w:r>
        <w:rPr>
          <w:lang w:val="fr-FR"/>
        </w:rPr>
        <w:t>s</w:t>
      </w:r>
      <w:r w:rsidRPr="00CB1A9B">
        <w:rPr>
          <w:lang w:val="fr-FR"/>
        </w:rPr>
        <w:t>. Le Royaume-Uni a décidé d</w:t>
      </w:r>
      <w:r>
        <w:rPr>
          <w:lang w:val="fr-FR"/>
        </w:rPr>
        <w:t>’</w:t>
      </w:r>
      <w:r w:rsidRPr="00CB1A9B">
        <w:rPr>
          <w:lang w:val="fr-FR"/>
        </w:rPr>
        <w:t xml:space="preserve">examiner toutes ces questions et de présenter une proposition révisée à temps pour la session </w:t>
      </w:r>
      <w:r>
        <w:rPr>
          <w:lang w:val="fr-FR"/>
        </w:rPr>
        <w:t xml:space="preserve">suivante </w:t>
      </w:r>
      <w:r w:rsidRPr="00CB1A9B">
        <w:rPr>
          <w:lang w:val="fr-FR"/>
        </w:rPr>
        <w:t>du Sous-Comité.</w:t>
      </w:r>
    </w:p>
    <w:p w:rsidR="0051736F" w:rsidRDefault="0051736F" w:rsidP="0051736F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  <w:t>Contexte</w:t>
      </w:r>
    </w:p>
    <w:p w:rsidR="0051736F" w:rsidRPr="00CB1A9B" w:rsidRDefault="0051736F" w:rsidP="0051736F">
      <w:pPr>
        <w:pStyle w:val="SingleTxtG"/>
      </w:pPr>
      <w:r w:rsidRPr="00CB1A9B">
        <w:t>3.</w:t>
      </w:r>
      <w:r w:rsidRPr="00CB1A9B">
        <w:tab/>
      </w:r>
      <w:r w:rsidRPr="00CB1A9B">
        <w:rPr>
          <w:lang w:val="fr-FR"/>
        </w:rPr>
        <w:t>Sur la base des résultats d</w:t>
      </w:r>
      <w:r>
        <w:rPr>
          <w:lang w:val="fr-FR"/>
        </w:rPr>
        <w:t>’</w:t>
      </w:r>
      <w:r w:rsidRPr="00CB1A9B">
        <w:rPr>
          <w:lang w:val="fr-FR"/>
        </w:rPr>
        <w:t>une épreuve de classification exécutée avec un grand emballage extérieur, l</w:t>
      </w:r>
      <w:r>
        <w:rPr>
          <w:lang w:val="fr-FR"/>
        </w:rPr>
        <w:t>’</w:t>
      </w:r>
      <w:r w:rsidRPr="00CB1A9B">
        <w:rPr>
          <w:lang w:val="fr-FR"/>
        </w:rPr>
        <w:t>autorité compétente en matière d</w:t>
      </w:r>
      <w:r>
        <w:rPr>
          <w:lang w:val="fr-FR"/>
        </w:rPr>
        <w:t>’</w:t>
      </w:r>
      <w:r w:rsidRPr="00CB1A9B">
        <w:rPr>
          <w:lang w:val="fr-FR"/>
        </w:rPr>
        <w:t>explosifs au Royaume-Uni a déterminé que l</w:t>
      </w:r>
      <w:r>
        <w:rPr>
          <w:lang w:val="fr-FR"/>
        </w:rPr>
        <w:t>’</w:t>
      </w:r>
      <w:r w:rsidRPr="00CB1A9B">
        <w:rPr>
          <w:lang w:val="fr-FR"/>
        </w:rPr>
        <w:t xml:space="preserve">emballage satisfaisait aux critères de classification de la division 1.4, groupe de compatibilité S. Compte tenu des caractéristiques physiques du contenu et du code de classification, </w:t>
      </w:r>
      <w:r>
        <w:rPr>
          <w:lang w:val="fr-FR"/>
        </w:rPr>
        <w:t>elle a</w:t>
      </w:r>
      <w:r w:rsidRPr="00CB1A9B">
        <w:rPr>
          <w:lang w:val="fr-FR"/>
        </w:rPr>
        <w:t xml:space="preserve"> décidé que la rubrique la plus appropriée pour la classification de cet objet dans la liste des marchandises dangereuses était le </w:t>
      </w:r>
      <w:r w:rsidR="00585AB4">
        <w:rPr>
          <w:lang w:val="fr-FR"/>
        </w:rPr>
        <w:t>No </w:t>
      </w:r>
      <w:r w:rsidRPr="00CB1A9B">
        <w:rPr>
          <w:lang w:val="fr-FR"/>
        </w:rPr>
        <w:t xml:space="preserve">ONU 0012. </w:t>
      </w:r>
    </w:p>
    <w:p w:rsidR="0051736F" w:rsidRPr="00CB1A9B" w:rsidRDefault="0051736F" w:rsidP="0051736F">
      <w:pPr>
        <w:pStyle w:val="SingleTxtG"/>
      </w:pPr>
      <w:r w:rsidRPr="00CB1A9B">
        <w:t>4.</w:t>
      </w:r>
      <w:r w:rsidRPr="00CB1A9B">
        <w:tab/>
      </w:r>
      <w:r w:rsidRPr="00CB1A9B">
        <w:rPr>
          <w:lang w:val="fr-FR"/>
        </w:rPr>
        <w:t>En marge des épreuves de classification, d</w:t>
      </w:r>
      <w:r>
        <w:rPr>
          <w:lang w:val="fr-FR"/>
        </w:rPr>
        <w:t>’</w:t>
      </w:r>
      <w:r w:rsidRPr="00CB1A9B">
        <w:rPr>
          <w:lang w:val="fr-FR"/>
        </w:rPr>
        <w:t>autres échantillons de l</w:t>
      </w:r>
      <w:r>
        <w:rPr>
          <w:lang w:val="fr-FR"/>
        </w:rPr>
        <w:t>’</w:t>
      </w:r>
      <w:r w:rsidRPr="00CB1A9B">
        <w:rPr>
          <w:lang w:val="fr-FR"/>
        </w:rPr>
        <w:t>emballage ont été soumis à des essais conformément aux prescriptions de l</w:t>
      </w:r>
      <w:r>
        <w:rPr>
          <w:lang w:val="fr-FR"/>
        </w:rPr>
        <w:t>’</w:t>
      </w:r>
      <w:r w:rsidRPr="00CB1A9B">
        <w:rPr>
          <w:lang w:val="fr-FR"/>
        </w:rPr>
        <w:t>ONU en matière d</w:t>
      </w:r>
      <w:r>
        <w:rPr>
          <w:lang w:val="fr-FR"/>
        </w:rPr>
        <w:t>’</w:t>
      </w:r>
      <w:r w:rsidRPr="00CB1A9B">
        <w:rPr>
          <w:lang w:val="fr-FR"/>
        </w:rPr>
        <w:t xml:space="preserve">emballage des marchandises </w:t>
      </w:r>
      <w:r w:rsidRPr="0051736F">
        <w:rPr>
          <w:spacing w:val="-2"/>
          <w:lang w:val="fr-FR"/>
        </w:rPr>
        <w:t>dangereuses. L’emballage correspondait à la définition donnée</w:t>
      </w:r>
      <w:r w:rsidRPr="00CB1A9B">
        <w:rPr>
          <w:lang w:val="fr-FR"/>
        </w:rPr>
        <w:t xml:space="preserve"> au chapitre 1.2 pour les grands emballages et a été soumis aux épreuves conformément aux dispositions du chapitre 6.6. Étant donné qu</w:t>
      </w:r>
      <w:r>
        <w:rPr>
          <w:lang w:val="fr-FR"/>
        </w:rPr>
        <w:t>’</w:t>
      </w:r>
      <w:r w:rsidRPr="00CB1A9B">
        <w:rPr>
          <w:lang w:val="fr-FR"/>
        </w:rPr>
        <w:t>il a subi les épreuves avec succès, l</w:t>
      </w:r>
      <w:r>
        <w:rPr>
          <w:lang w:val="fr-FR"/>
        </w:rPr>
        <w:t>’</w:t>
      </w:r>
      <w:r w:rsidRPr="00CB1A9B">
        <w:rPr>
          <w:lang w:val="fr-FR"/>
        </w:rPr>
        <w:t>autorité compétente en matière d</w:t>
      </w:r>
      <w:r>
        <w:rPr>
          <w:lang w:val="fr-FR"/>
        </w:rPr>
        <w:t>’</w:t>
      </w:r>
      <w:r w:rsidRPr="00CB1A9B">
        <w:rPr>
          <w:lang w:val="fr-FR"/>
        </w:rPr>
        <w:t>emballage lui a attribué le code 50A.</w:t>
      </w:r>
    </w:p>
    <w:p w:rsidR="0051736F" w:rsidRPr="00CB1A9B" w:rsidRDefault="0051736F" w:rsidP="0051736F">
      <w:pPr>
        <w:pStyle w:val="SingleTxtG"/>
      </w:pPr>
      <w:r w:rsidRPr="00CB1A9B">
        <w:t>5.</w:t>
      </w:r>
      <w:r w:rsidRPr="00CB1A9B">
        <w:tab/>
      </w:r>
      <w:r w:rsidRPr="00CB1A9B">
        <w:rPr>
          <w:lang w:val="fr-FR"/>
        </w:rPr>
        <w:t>À ce stade, il a été constaté que seule l</w:t>
      </w:r>
      <w:r>
        <w:rPr>
          <w:lang w:val="fr-FR"/>
        </w:rPr>
        <w:t>’</w:t>
      </w:r>
      <w:r w:rsidRPr="00CB1A9B">
        <w:rPr>
          <w:lang w:val="fr-FR"/>
        </w:rPr>
        <w:t>instruction d</w:t>
      </w:r>
      <w:r>
        <w:rPr>
          <w:lang w:val="fr-FR"/>
        </w:rPr>
        <w:t>’</w:t>
      </w:r>
      <w:r w:rsidRPr="00CB1A9B">
        <w:rPr>
          <w:lang w:val="fr-FR"/>
        </w:rPr>
        <w:t xml:space="preserve">emballage P130 était appliquée </w:t>
      </w:r>
      <w:r w:rsidRPr="0051736F">
        <w:rPr>
          <w:spacing w:val="-4"/>
          <w:lang w:val="fr-FR"/>
        </w:rPr>
        <w:t xml:space="preserve">au </w:t>
      </w:r>
      <w:r w:rsidR="00585AB4">
        <w:rPr>
          <w:spacing w:val="-4"/>
          <w:lang w:val="fr-FR"/>
        </w:rPr>
        <w:t>No </w:t>
      </w:r>
      <w:r w:rsidRPr="0051736F">
        <w:rPr>
          <w:spacing w:val="-4"/>
          <w:lang w:val="fr-FR"/>
        </w:rPr>
        <w:t xml:space="preserve">ONU 0012 et que celle-ci n’autorisait pas </w:t>
      </w:r>
      <w:r w:rsidRPr="0051736F">
        <w:rPr>
          <w:spacing w:val="-2"/>
          <w:lang w:val="fr-FR"/>
        </w:rPr>
        <w:t>l’utilisation</w:t>
      </w:r>
      <w:r w:rsidRPr="0051736F">
        <w:rPr>
          <w:spacing w:val="-4"/>
          <w:lang w:val="fr-FR"/>
        </w:rPr>
        <w:t xml:space="preserve"> des emballages du type</w:t>
      </w:r>
      <w:r>
        <w:rPr>
          <w:lang w:val="fr-FR"/>
        </w:rPr>
        <w:t xml:space="preserve"> </w:t>
      </w:r>
      <w:r w:rsidRPr="00CB1A9B">
        <w:rPr>
          <w:lang w:val="fr-FR"/>
        </w:rPr>
        <w:t>50A. Comme il savait qu</w:t>
      </w:r>
      <w:r>
        <w:rPr>
          <w:lang w:val="fr-FR"/>
        </w:rPr>
        <w:t>’</w:t>
      </w:r>
      <w:r w:rsidRPr="00CB1A9B">
        <w:rPr>
          <w:lang w:val="fr-FR"/>
        </w:rPr>
        <w:t>il existait quelques instructions spécifiques pour les grands emballages destinés au transport d</w:t>
      </w:r>
      <w:r>
        <w:rPr>
          <w:lang w:val="fr-FR"/>
        </w:rPr>
        <w:t>’</w:t>
      </w:r>
      <w:r w:rsidRPr="00CB1A9B">
        <w:rPr>
          <w:lang w:val="fr-FR"/>
        </w:rPr>
        <w:t>explosifs, l</w:t>
      </w:r>
      <w:r>
        <w:rPr>
          <w:lang w:val="fr-FR"/>
        </w:rPr>
        <w:t>’</w:t>
      </w:r>
      <w:r w:rsidRPr="00CB1A9B">
        <w:rPr>
          <w:lang w:val="fr-FR"/>
        </w:rPr>
        <w:t>expert du Royaume-Uni a poursuivi ses recherches.</w:t>
      </w:r>
    </w:p>
    <w:p w:rsidR="0051736F" w:rsidRPr="00CB1A9B" w:rsidRDefault="0051736F" w:rsidP="0051736F">
      <w:pPr>
        <w:pStyle w:val="SingleTxtG"/>
        <w:kinsoku/>
        <w:overflowPunct/>
        <w:autoSpaceDE/>
        <w:autoSpaceDN/>
        <w:adjustRightInd/>
        <w:snapToGrid/>
      </w:pPr>
      <w:r w:rsidRPr="00CB1A9B">
        <w:t>6.</w:t>
      </w:r>
      <w:r w:rsidRPr="00CB1A9B">
        <w:tab/>
      </w:r>
      <w:r w:rsidRPr="00CB1A9B">
        <w:rPr>
          <w:lang w:val="fr-FR"/>
        </w:rPr>
        <w:t>Il existe deux instructions applicables aux grands emballages destinés au transport d</w:t>
      </w:r>
      <w:r>
        <w:rPr>
          <w:lang w:val="fr-FR"/>
        </w:rPr>
        <w:t>’</w:t>
      </w:r>
      <w:r w:rsidRPr="00CB1A9B">
        <w:rPr>
          <w:lang w:val="fr-FR"/>
        </w:rPr>
        <w:t>explosifs</w:t>
      </w:r>
      <w:r>
        <w:rPr>
          <w:lang w:val="fr-FR"/>
        </w:rPr>
        <w:t> </w:t>
      </w:r>
      <w:r w:rsidRPr="00CB1A9B">
        <w:rPr>
          <w:lang w:val="fr-FR"/>
        </w:rPr>
        <w:t>: la LP101 et la LP102. Ces deux instructions s</w:t>
      </w:r>
      <w:r>
        <w:rPr>
          <w:lang w:val="fr-FR"/>
        </w:rPr>
        <w:t>’</w:t>
      </w:r>
      <w:r w:rsidRPr="00CB1A9B">
        <w:rPr>
          <w:lang w:val="fr-FR"/>
        </w:rPr>
        <w:t>apparentent aux instructions d</w:t>
      </w:r>
      <w:r>
        <w:rPr>
          <w:lang w:val="fr-FR"/>
        </w:rPr>
        <w:t>’</w:t>
      </w:r>
      <w:r w:rsidRPr="00CB1A9B">
        <w:rPr>
          <w:lang w:val="fr-FR"/>
        </w:rPr>
        <w:t xml:space="preserve">emballages classiques, mais se distinguent par le fait que les grands emballages extérieurs sont </w:t>
      </w:r>
      <w:r>
        <w:rPr>
          <w:lang w:val="fr-FR"/>
        </w:rPr>
        <w:t xml:space="preserve">désignés par le code </w:t>
      </w:r>
      <w:r w:rsidRPr="00CB1A9B">
        <w:rPr>
          <w:lang w:val="fr-FR"/>
        </w:rPr>
        <w:t>50, tandis que les instructions d</w:t>
      </w:r>
      <w:r>
        <w:rPr>
          <w:lang w:val="fr-FR"/>
        </w:rPr>
        <w:t>’</w:t>
      </w:r>
      <w:r w:rsidRPr="00CB1A9B">
        <w:rPr>
          <w:lang w:val="fr-FR"/>
        </w:rPr>
        <w:t xml:space="preserve">emballage P </w:t>
      </w:r>
      <w:r>
        <w:rPr>
          <w:lang w:val="fr-FR"/>
        </w:rPr>
        <w:t xml:space="preserve">font référence aux codes </w:t>
      </w:r>
      <w:r w:rsidRPr="00CB1A9B">
        <w:rPr>
          <w:lang w:val="fr-FR"/>
        </w:rPr>
        <w:t xml:space="preserve">1 </w:t>
      </w:r>
      <w:r>
        <w:rPr>
          <w:lang w:val="fr-FR"/>
        </w:rPr>
        <w:t xml:space="preserve">et </w:t>
      </w:r>
      <w:r w:rsidRPr="00CB1A9B">
        <w:rPr>
          <w:lang w:val="fr-FR"/>
        </w:rPr>
        <w:t xml:space="preserve">4. Les instructions P134 et LP102 sont attribuées exactement aux mêmes numéros ONU (voir annexe </w:t>
      </w:r>
      <w:r>
        <w:rPr>
          <w:lang w:val="fr-FR"/>
        </w:rPr>
        <w:t>I</w:t>
      </w:r>
      <w:r w:rsidRPr="00CB1A9B">
        <w:rPr>
          <w:lang w:val="fr-FR"/>
        </w:rPr>
        <w:t>), ce qui n</w:t>
      </w:r>
      <w:r>
        <w:rPr>
          <w:lang w:val="fr-FR"/>
        </w:rPr>
        <w:t>’</w:t>
      </w:r>
      <w:r w:rsidRPr="00CB1A9B">
        <w:rPr>
          <w:lang w:val="fr-FR"/>
        </w:rPr>
        <w:t xml:space="preserve">est pas le cas des instructions P130 et LP101 (voir annexe </w:t>
      </w:r>
      <w:r>
        <w:rPr>
          <w:lang w:val="fr-FR"/>
        </w:rPr>
        <w:t>II</w:t>
      </w:r>
      <w:r w:rsidRPr="00CB1A9B">
        <w:rPr>
          <w:lang w:val="fr-FR"/>
        </w:rPr>
        <w:t>), pour lesquelles seuls les objets associés à la P130 et soumis à la disposition spéciale d</w:t>
      </w:r>
      <w:r>
        <w:rPr>
          <w:lang w:val="fr-FR"/>
        </w:rPr>
        <w:t>’</w:t>
      </w:r>
      <w:r w:rsidRPr="00CB1A9B">
        <w:rPr>
          <w:lang w:val="fr-FR"/>
        </w:rPr>
        <w:t>emballage PP67 rel</w:t>
      </w:r>
      <w:r>
        <w:rPr>
          <w:lang w:val="fr-FR"/>
        </w:rPr>
        <w:t>èvent</w:t>
      </w:r>
      <w:r w:rsidRPr="00CB1A9B">
        <w:rPr>
          <w:lang w:val="fr-FR"/>
        </w:rPr>
        <w:t xml:space="preserve"> également de l</w:t>
      </w:r>
      <w:r>
        <w:rPr>
          <w:lang w:val="fr-FR"/>
        </w:rPr>
        <w:t>’</w:t>
      </w:r>
      <w:r w:rsidRPr="00CB1A9B">
        <w:rPr>
          <w:lang w:val="fr-FR"/>
        </w:rPr>
        <w:t>instruction LP101. La disposition spéciale PP67 est alors indiquée de manière redondante avec la L1.</w:t>
      </w:r>
    </w:p>
    <w:p w:rsidR="0051736F" w:rsidRPr="00CB1A9B" w:rsidRDefault="0051736F" w:rsidP="0051736F">
      <w:pPr>
        <w:pStyle w:val="SingleTxtG"/>
        <w:kinsoku/>
        <w:overflowPunct/>
        <w:autoSpaceDE/>
        <w:autoSpaceDN/>
        <w:adjustRightInd/>
        <w:snapToGrid/>
      </w:pPr>
      <w:r w:rsidRPr="00CB1A9B">
        <w:t>7.</w:t>
      </w:r>
      <w:r w:rsidRPr="00CB1A9B">
        <w:tab/>
      </w:r>
      <w:r w:rsidRPr="00CB1A9B">
        <w:rPr>
          <w:lang w:val="fr-FR"/>
        </w:rPr>
        <w:t xml:space="preserve">Au cours des débats suscités par les documents précédents, il a été </w:t>
      </w:r>
      <w:r>
        <w:rPr>
          <w:lang w:val="fr-FR"/>
        </w:rPr>
        <w:t>suggéré</w:t>
      </w:r>
      <w:r w:rsidRPr="00CB1A9B">
        <w:rPr>
          <w:lang w:val="fr-FR"/>
        </w:rPr>
        <w:t xml:space="preserve"> que les objets ne dev</w:t>
      </w:r>
      <w:r>
        <w:rPr>
          <w:lang w:val="fr-FR"/>
        </w:rPr>
        <w:t>r</w:t>
      </w:r>
      <w:r w:rsidRPr="00CB1A9B">
        <w:rPr>
          <w:lang w:val="fr-FR"/>
        </w:rPr>
        <w:t>aient relever d</w:t>
      </w:r>
      <w:r>
        <w:rPr>
          <w:lang w:val="fr-FR"/>
        </w:rPr>
        <w:t>’</w:t>
      </w:r>
      <w:r w:rsidRPr="00CB1A9B">
        <w:rPr>
          <w:lang w:val="fr-FR"/>
        </w:rPr>
        <w:t>une instruction pour grands emballages que lorsque les dispositions spéciales PP67 ou L1 pouvaient s</w:t>
      </w:r>
      <w:r>
        <w:rPr>
          <w:lang w:val="fr-FR"/>
        </w:rPr>
        <w:t>’</w:t>
      </w:r>
      <w:r w:rsidRPr="00CB1A9B">
        <w:rPr>
          <w:lang w:val="fr-FR"/>
        </w:rPr>
        <w:t>appliquer. Les objets qui n</w:t>
      </w:r>
      <w:r>
        <w:rPr>
          <w:lang w:val="fr-FR"/>
        </w:rPr>
        <w:t>’</w:t>
      </w:r>
      <w:r w:rsidRPr="00CB1A9B">
        <w:rPr>
          <w:lang w:val="fr-FR"/>
        </w:rPr>
        <w:t>étaient pas visés par ces dispositions spéciales d</w:t>
      </w:r>
      <w:r>
        <w:rPr>
          <w:lang w:val="fr-FR"/>
        </w:rPr>
        <w:t>’</w:t>
      </w:r>
      <w:r w:rsidRPr="00CB1A9B">
        <w:rPr>
          <w:lang w:val="fr-FR"/>
        </w:rPr>
        <w:t>emballage n</w:t>
      </w:r>
      <w:r>
        <w:rPr>
          <w:lang w:val="fr-FR"/>
        </w:rPr>
        <w:t>’</w:t>
      </w:r>
      <w:r w:rsidRPr="00CB1A9B">
        <w:rPr>
          <w:lang w:val="fr-FR"/>
        </w:rPr>
        <w:t>étaient pas de grande taille et robustes et, de ce fait, n</w:t>
      </w:r>
      <w:r>
        <w:rPr>
          <w:lang w:val="fr-FR"/>
        </w:rPr>
        <w:t>’</w:t>
      </w:r>
      <w:r w:rsidRPr="00CB1A9B">
        <w:rPr>
          <w:lang w:val="fr-FR"/>
        </w:rPr>
        <w:t>avaient pas besoin d</w:t>
      </w:r>
      <w:r>
        <w:rPr>
          <w:lang w:val="fr-FR"/>
        </w:rPr>
        <w:t>’</w:t>
      </w:r>
      <w:r w:rsidRPr="00CB1A9B">
        <w:rPr>
          <w:lang w:val="fr-FR"/>
        </w:rPr>
        <w:t xml:space="preserve">un grand emballage. </w:t>
      </w:r>
      <w:r>
        <w:rPr>
          <w:lang w:val="fr-FR"/>
        </w:rPr>
        <w:t>Cependant</w:t>
      </w:r>
      <w:r w:rsidRPr="00CB1A9B">
        <w:rPr>
          <w:lang w:val="fr-FR"/>
        </w:rPr>
        <w:t xml:space="preserve">, le </w:t>
      </w:r>
      <w:r>
        <w:rPr>
          <w:lang w:val="fr-FR"/>
        </w:rPr>
        <w:t>fait que</w:t>
      </w:r>
      <w:r w:rsidRPr="00CB1A9B">
        <w:rPr>
          <w:lang w:val="fr-FR"/>
        </w:rPr>
        <w:t xml:space="preserve"> les disposition</w:t>
      </w:r>
      <w:r>
        <w:rPr>
          <w:lang w:val="fr-FR"/>
        </w:rPr>
        <w:t>s</w:t>
      </w:r>
      <w:r w:rsidRPr="00CB1A9B">
        <w:rPr>
          <w:lang w:val="fr-FR"/>
        </w:rPr>
        <w:t xml:space="preserve"> spéciales PP67 et L1 </w:t>
      </w:r>
      <w:r>
        <w:rPr>
          <w:lang w:val="fr-FR"/>
        </w:rPr>
        <w:t>lèvent</w:t>
      </w:r>
      <w:r w:rsidRPr="00CB1A9B">
        <w:rPr>
          <w:lang w:val="fr-FR"/>
        </w:rPr>
        <w:t xml:space="preserve"> l</w:t>
      </w:r>
      <w:r>
        <w:rPr>
          <w:lang w:val="fr-FR"/>
        </w:rPr>
        <w:t>’</w:t>
      </w:r>
      <w:r w:rsidRPr="00CB1A9B">
        <w:rPr>
          <w:lang w:val="fr-FR"/>
        </w:rPr>
        <w:t>obligation d</w:t>
      </w:r>
      <w:r>
        <w:rPr>
          <w:lang w:val="fr-FR"/>
        </w:rPr>
        <w:t>’</w:t>
      </w:r>
      <w:r w:rsidRPr="00CB1A9B">
        <w:rPr>
          <w:lang w:val="fr-FR"/>
        </w:rPr>
        <w:t xml:space="preserve">utiliser un emballage agréé ONU </w:t>
      </w:r>
      <w:r>
        <w:rPr>
          <w:lang w:val="fr-FR"/>
        </w:rPr>
        <w:t>ajoutait à</w:t>
      </w:r>
      <w:r w:rsidRPr="00CB1A9B">
        <w:rPr>
          <w:lang w:val="fr-FR"/>
        </w:rPr>
        <w:t xml:space="preserve"> la confusion.</w:t>
      </w:r>
    </w:p>
    <w:p w:rsidR="0051736F" w:rsidRDefault="0051736F" w:rsidP="0051736F">
      <w:pPr>
        <w:pStyle w:val="HChG"/>
      </w:pP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>Justification</w:t>
      </w:r>
    </w:p>
    <w:p w:rsidR="0051736F" w:rsidRPr="00CB1A9B" w:rsidRDefault="0051736F" w:rsidP="0051736F">
      <w:pPr>
        <w:pStyle w:val="SingleTxtG"/>
        <w:kinsoku/>
        <w:overflowPunct/>
        <w:autoSpaceDE/>
        <w:autoSpaceDN/>
        <w:adjustRightInd/>
        <w:snapToGrid/>
      </w:pPr>
      <w:r w:rsidRPr="00CB1A9B">
        <w:t>8.</w:t>
      </w:r>
      <w:r w:rsidRPr="00CB1A9B">
        <w:tab/>
      </w:r>
      <w:r w:rsidRPr="00CB1A9B">
        <w:rPr>
          <w:lang w:val="fr-FR"/>
        </w:rPr>
        <w:t>L</w:t>
      </w:r>
      <w:r>
        <w:rPr>
          <w:lang w:val="fr-FR"/>
        </w:rPr>
        <w:t>’</w:t>
      </w:r>
      <w:r w:rsidRPr="00CB1A9B">
        <w:rPr>
          <w:lang w:val="fr-FR"/>
        </w:rPr>
        <w:t>analyse des données de l</w:t>
      </w:r>
      <w:r>
        <w:rPr>
          <w:lang w:val="fr-FR"/>
        </w:rPr>
        <w:t>’</w:t>
      </w:r>
      <w:r w:rsidRPr="00CB1A9B">
        <w:rPr>
          <w:lang w:val="fr-FR"/>
        </w:rPr>
        <w:t xml:space="preserve">annexe </w:t>
      </w:r>
      <w:r>
        <w:rPr>
          <w:lang w:val="fr-FR"/>
        </w:rPr>
        <w:t>II</w:t>
      </w:r>
      <w:r w:rsidRPr="00CB1A9B">
        <w:rPr>
          <w:lang w:val="fr-FR"/>
        </w:rPr>
        <w:t xml:space="preserve"> montre clairement que l</w:t>
      </w:r>
      <w:r>
        <w:rPr>
          <w:lang w:val="fr-FR"/>
        </w:rPr>
        <w:t>’</w:t>
      </w:r>
      <w:r w:rsidRPr="00CB1A9B">
        <w:rPr>
          <w:lang w:val="fr-FR"/>
        </w:rPr>
        <w:t>instruction LP101 a été assignée de manière incohérente et qu</w:t>
      </w:r>
      <w:r>
        <w:rPr>
          <w:lang w:val="fr-FR"/>
        </w:rPr>
        <w:t>’</w:t>
      </w:r>
      <w:r w:rsidRPr="00CB1A9B">
        <w:rPr>
          <w:lang w:val="fr-FR"/>
        </w:rPr>
        <w:t xml:space="preserve">il existe une mauvaise compréhension de la </w:t>
      </w:r>
      <w:r w:rsidRPr="00585AB4">
        <w:rPr>
          <w:spacing w:val="-2"/>
          <w:lang w:val="fr-FR"/>
        </w:rPr>
        <w:t>disposition spéciale d’emballage PP67. À l’exception des objets du groupe de compatibilité</w:t>
      </w:r>
      <w:r>
        <w:rPr>
          <w:lang w:val="fr-FR"/>
        </w:rPr>
        <w:t xml:space="preserve"> F, l</w:t>
      </w:r>
      <w:r w:rsidRPr="00CB1A9B">
        <w:rPr>
          <w:lang w:val="fr-FR"/>
        </w:rPr>
        <w:t>es objets classés dans toutes les divisions et tous les autres groupes de compatibilité ne relevant pas de l</w:t>
      </w:r>
      <w:r>
        <w:rPr>
          <w:lang w:val="fr-FR"/>
        </w:rPr>
        <w:t>’</w:t>
      </w:r>
      <w:r w:rsidRPr="00CB1A9B">
        <w:rPr>
          <w:lang w:val="fr-FR"/>
        </w:rPr>
        <w:t xml:space="preserve">instruction LP101 sont soumis à cette instruction. Par exemple, le </w:t>
      </w:r>
      <w:r w:rsidR="00585AB4">
        <w:rPr>
          <w:lang w:val="fr-FR"/>
        </w:rPr>
        <w:t>No </w:t>
      </w:r>
      <w:r w:rsidRPr="00CB1A9B">
        <w:rPr>
          <w:lang w:val="fr-FR"/>
        </w:rPr>
        <w:t>ONU 0012 est affecté à la division 1.4, groupe de compatibilité S, et n</w:t>
      </w:r>
      <w:r>
        <w:rPr>
          <w:lang w:val="fr-FR"/>
        </w:rPr>
        <w:t>’</w:t>
      </w:r>
      <w:r w:rsidRPr="00CB1A9B">
        <w:rPr>
          <w:lang w:val="fr-FR"/>
        </w:rPr>
        <w:t>est soumis qu</w:t>
      </w:r>
      <w:r>
        <w:rPr>
          <w:lang w:val="fr-FR"/>
        </w:rPr>
        <w:t>’</w:t>
      </w:r>
      <w:r w:rsidRPr="00CB1A9B">
        <w:rPr>
          <w:lang w:val="fr-FR"/>
        </w:rPr>
        <w:t>à l</w:t>
      </w:r>
      <w:r>
        <w:rPr>
          <w:lang w:val="fr-FR"/>
        </w:rPr>
        <w:t>’</w:t>
      </w:r>
      <w:r w:rsidRPr="00CB1A9B">
        <w:rPr>
          <w:lang w:val="fr-FR"/>
        </w:rPr>
        <w:t>instruction d</w:t>
      </w:r>
      <w:r>
        <w:rPr>
          <w:lang w:val="fr-FR"/>
        </w:rPr>
        <w:t>’</w:t>
      </w:r>
      <w:r w:rsidRPr="00CB1A9B">
        <w:rPr>
          <w:lang w:val="fr-FR"/>
        </w:rPr>
        <w:t xml:space="preserve">emballage P130, tandis que le </w:t>
      </w:r>
      <w:r w:rsidR="00585AB4">
        <w:rPr>
          <w:lang w:val="fr-FR"/>
        </w:rPr>
        <w:t>No </w:t>
      </w:r>
      <w:r w:rsidRPr="00CB1A9B">
        <w:rPr>
          <w:lang w:val="fr-FR"/>
        </w:rPr>
        <w:t xml:space="preserve">ONU 0345, qui relève de la même division et du même groupe de compatibilité, est soumis </w:t>
      </w:r>
      <w:r>
        <w:rPr>
          <w:lang w:val="fr-FR"/>
        </w:rPr>
        <w:t>à la fois aux instructions</w:t>
      </w:r>
      <w:r w:rsidRPr="00CB1A9B">
        <w:rPr>
          <w:lang w:val="fr-FR"/>
        </w:rPr>
        <w:t xml:space="preserve"> P130 et</w:t>
      </w:r>
      <w:r>
        <w:rPr>
          <w:lang w:val="fr-FR"/>
        </w:rPr>
        <w:t> </w:t>
      </w:r>
      <w:r w:rsidRPr="00CB1A9B">
        <w:rPr>
          <w:lang w:val="fr-FR"/>
        </w:rPr>
        <w:t>LP101. Par conséquent, la classification d</w:t>
      </w:r>
      <w:r>
        <w:rPr>
          <w:lang w:val="fr-FR"/>
        </w:rPr>
        <w:t>’</w:t>
      </w:r>
      <w:r w:rsidRPr="00CB1A9B">
        <w:rPr>
          <w:lang w:val="fr-FR"/>
        </w:rPr>
        <w:t>un objet ne détermine pas de manière systématique si un grand emballage peut être utilisé ou non.</w:t>
      </w:r>
    </w:p>
    <w:p w:rsidR="0051736F" w:rsidRPr="00CB1A9B" w:rsidRDefault="0051736F" w:rsidP="0051736F">
      <w:pPr>
        <w:pStyle w:val="SingleTxtG"/>
        <w:kinsoku/>
        <w:overflowPunct/>
        <w:autoSpaceDE/>
        <w:autoSpaceDN/>
        <w:adjustRightInd/>
        <w:snapToGrid/>
      </w:pPr>
      <w:r w:rsidRPr="00CB1A9B">
        <w:t>9.</w:t>
      </w:r>
      <w:r w:rsidRPr="00CB1A9B">
        <w:tab/>
      </w:r>
      <w:r w:rsidRPr="00CB1A9B">
        <w:rPr>
          <w:lang w:val="fr-FR"/>
        </w:rPr>
        <w:t>Étant donné que les disposition</w:t>
      </w:r>
      <w:r w:rsidR="00585AB4">
        <w:rPr>
          <w:lang w:val="fr-FR"/>
        </w:rPr>
        <w:t>s</w:t>
      </w:r>
      <w:r w:rsidRPr="00CB1A9B">
        <w:rPr>
          <w:lang w:val="fr-FR"/>
        </w:rPr>
        <w:t xml:space="preserve"> spéciales PP67 et L1 s</w:t>
      </w:r>
      <w:r>
        <w:rPr>
          <w:lang w:val="fr-FR"/>
        </w:rPr>
        <w:t>’</w:t>
      </w:r>
      <w:r w:rsidRPr="00CB1A9B">
        <w:rPr>
          <w:lang w:val="fr-FR"/>
        </w:rPr>
        <w:t xml:space="preserve">appliquent au </w:t>
      </w:r>
      <w:r w:rsidR="00585AB4">
        <w:rPr>
          <w:lang w:val="fr-FR"/>
        </w:rPr>
        <w:t>No </w:t>
      </w:r>
      <w:r w:rsidRPr="00CB1A9B">
        <w:rPr>
          <w:lang w:val="fr-FR"/>
        </w:rPr>
        <w:t>ONU</w:t>
      </w:r>
      <w:r>
        <w:rPr>
          <w:lang w:val="fr-FR"/>
        </w:rPr>
        <w:t> </w:t>
      </w:r>
      <w:r w:rsidRPr="00CB1A9B">
        <w:rPr>
          <w:lang w:val="fr-FR"/>
        </w:rPr>
        <w:t>0345, les objets robustes et de grande taille classés sous cette rubrique peuvent être transportés sans emballage. Il est possible que le nom ait joué un rôle, au départ, dans l</w:t>
      </w:r>
      <w:r>
        <w:rPr>
          <w:lang w:val="fr-FR"/>
        </w:rPr>
        <w:t>’</w:t>
      </w:r>
      <w:r w:rsidRPr="00CB1A9B">
        <w:rPr>
          <w:lang w:val="fr-FR"/>
        </w:rPr>
        <w:t xml:space="preserve">attribution de la disposition spéciale PP67. Dans ce cas précis, les PROJECTILES </w:t>
      </w:r>
      <w:r>
        <w:rPr>
          <w:lang w:val="fr-FR"/>
        </w:rPr>
        <w:t xml:space="preserve">qui </w:t>
      </w:r>
      <w:r w:rsidRPr="0051736F">
        <w:rPr>
          <w:spacing w:val="-4"/>
          <w:lang w:val="fr-FR"/>
        </w:rPr>
        <w:t>relèvent des classes 1.1D, 1.2D, 1.2G, 1.3G et 1.4G sont soumis à la disposition spéciale</w:t>
      </w:r>
      <w:r w:rsidRPr="00CB1A9B">
        <w:rPr>
          <w:lang w:val="fr-FR"/>
        </w:rPr>
        <w:t xml:space="preserve"> PP67, </w:t>
      </w:r>
      <w:r>
        <w:rPr>
          <w:lang w:val="fr-FR"/>
        </w:rPr>
        <w:t>alors que ceux qui relèvent</w:t>
      </w:r>
      <w:r w:rsidRPr="00CB1A9B">
        <w:rPr>
          <w:lang w:val="fr-FR"/>
        </w:rPr>
        <w:t xml:space="preserve"> </w:t>
      </w:r>
      <w:r>
        <w:rPr>
          <w:lang w:val="fr-FR"/>
        </w:rPr>
        <w:t xml:space="preserve">des classes </w:t>
      </w:r>
      <w:r w:rsidRPr="00CB1A9B">
        <w:rPr>
          <w:lang w:val="fr-FR"/>
        </w:rPr>
        <w:t xml:space="preserve">1.1F et 1.2F </w:t>
      </w:r>
      <w:r>
        <w:rPr>
          <w:lang w:val="fr-FR"/>
        </w:rPr>
        <w:t>ne le sont pas</w:t>
      </w:r>
      <w:r w:rsidRPr="00CB1A9B">
        <w:rPr>
          <w:lang w:val="fr-FR"/>
        </w:rPr>
        <w:t>. S</w:t>
      </w:r>
      <w:r>
        <w:rPr>
          <w:lang w:val="fr-FR"/>
        </w:rPr>
        <w:t>’</w:t>
      </w:r>
      <w:r w:rsidRPr="00CB1A9B">
        <w:rPr>
          <w:lang w:val="fr-FR"/>
        </w:rPr>
        <w:t>il n</w:t>
      </w:r>
      <w:r>
        <w:rPr>
          <w:lang w:val="fr-FR"/>
        </w:rPr>
        <w:t>’</w:t>
      </w:r>
      <w:r w:rsidRPr="00CB1A9B">
        <w:rPr>
          <w:lang w:val="fr-FR"/>
        </w:rPr>
        <w:t>existe aucune raison évidente pour laquelle un projectile relevant de la division 1.1, groupe de compatibilité F, ne puisse être robuste et de grande taille, il se peut toutefois qu</w:t>
      </w:r>
      <w:r>
        <w:rPr>
          <w:lang w:val="fr-FR"/>
        </w:rPr>
        <w:t>’</w:t>
      </w:r>
      <w:r w:rsidRPr="00CB1A9B">
        <w:rPr>
          <w:lang w:val="fr-FR"/>
        </w:rPr>
        <w:t xml:space="preserve">un objet classé dans ce groupe de compatibilité ne réponde pas aux critères </w:t>
      </w:r>
      <w:r>
        <w:rPr>
          <w:lang w:val="fr-FR"/>
        </w:rPr>
        <w:t>autorisant le</w:t>
      </w:r>
      <w:r w:rsidRPr="00CB1A9B">
        <w:rPr>
          <w:lang w:val="fr-FR"/>
        </w:rPr>
        <w:t xml:space="preserve"> transport </w:t>
      </w:r>
      <w:r w:rsidRPr="00CB1A9B">
        <w:rPr>
          <w:lang w:val="fr-FR"/>
        </w:rPr>
        <w:lastRenderedPageBreak/>
        <w:t xml:space="preserve">sans emballage. Cependant, si </w:t>
      </w:r>
      <w:r>
        <w:rPr>
          <w:lang w:val="fr-FR"/>
        </w:rPr>
        <w:t>l’on</w:t>
      </w:r>
      <w:r w:rsidRPr="00CB1A9B">
        <w:rPr>
          <w:lang w:val="fr-FR"/>
        </w:rPr>
        <w:t xml:space="preserve"> admet l</w:t>
      </w:r>
      <w:r>
        <w:rPr>
          <w:lang w:val="fr-FR"/>
        </w:rPr>
        <w:t>’</w:t>
      </w:r>
      <w:r w:rsidRPr="00CB1A9B">
        <w:rPr>
          <w:lang w:val="fr-FR"/>
        </w:rPr>
        <w:t>argument selon lequel un projectile peut être un objet volumineux et robuste, il n</w:t>
      </w:r>
      <w:r>
        <w:rPr>
          <w:lang w:val="fr-FR"/>
        </w:rPr>
        <w:t>’</w:t>
      </w:r>
      <w:r w:rsidRPr="00CB1A9B">
        <w:rPr>
          <w:lang w:val="fr-FR"/>
        </w:rPr>
        <w:t>est pas logique de considérer qu</w:t>
      </w:r>
      <w:r>
        <w:rPr>
          <w:lang w:val="fr-FR"/>
        </w:rPr>
        <w:t>’</w:t>
      </w:r>
      <w:r w:rsidRPr="00CB1A9B">
        <w:rPr>
          <w:lang w:val="fr-FR"/>
        </w:rPr>
        <w:t xml:space="preserve">un ou plusieurs objets de grande taille relevant du groupe de compatibilité F ne </w:t>
      </w:r>
      <w:r>
        <w:rPr>
          <w:lang w:val="fr-FR"/>
        </w:rPr>
        <w:t>peuvent</w:t>
      </w:r>
      <w:r w:rsidRPr="00CB1A9B">
        <w:rPr>
          <w:lang w:val="fr-FR"/>
        </w:rPr>
        <w:t xml:space="preserve"> être transportés dans de grands emballages.</w:t>
      </w:r>
    </w:p>
    <w:p w:rsidR="0051736F" w:rsidRPr="00CB1A9B" w:rsidRDefault="0051736F" w:rsidP="0051736F">
      <w:pPr>
        <w:pStyle w:val="SingleTxtG"/>
        <w:kinsoku/>
        <w:overflowPunct/>
        <w:autoSpaceDE/>
        <w:autoSpaceDN/>
        <w:adjustRightInd/>
        <w:snapToGrid/>
      </w:pPr>
      <w:r w:rsidRPr="00CB1A9B">
        <w:t>10.</w:t>
      </w:r>
      <w:r w:rsidRPr="00CB1A9B">
        <w:tab/>
      </w:r>
      <w:r w:rsidRPr="00CB1A9B">
        <w:rPr>
          <w:lang w:val="fr-FR"/>
        </w:rPr>
        <w:t xml:space="preserve">Des incohérences analogues sont constatées pour les PROPULSEURS, les ENGINS AUTOPROPULSÉS et les ROQUETTES LANCE-AMARRES au sein du groupe de compatibilité F, mais également pour les rubriques concernant les lance-amarres des divisions 1.2, 1.3 et 1.4, groupe de compatibilité G. Ceux-ci ne peuvent pas être transportés dans de grands emballages, contrairement à toutes les munitions relevant </w:t>
      </w:r>
      <w:r>
        <w:rPr>
          <w:lang w:val="fr-FR"/>
        </w:rPr>
        <w:t>des mêmes classes</w:t>
      </w:r>
      <w:r w:rsidRPr="00CB1A9B">
        <w:rPr>
          <w:lang w:val="fr-FR"/>
        </w:rPr>
        <w:t>, même</w:t>
      </w:r>
      <w:r>
        <w:rPr>
          <w:lang w:val="fr-FR"/>
        </w:rPr>
        <w:t xml:space="preserve"> lorsque l’objet en question est une</w:t>
      </w:r>
      <w:r w:rsidRPr="00CB1A9B">
        <w:rPr>
          <w:lang w:val="fr-FR"/>
        </w:rPr>
        <w:t xml:space="preserve"> cartouche de fusil. Étant donné que les termes «</w:t>
      </w:r>
      <w:r w:rsidR="00C478FC">
        <w:rPr>
          <w:lang w:val="fr-FR"/>
        </w:rPr>
        <w:t> </w:t>
      </w:r>
      <w:r w:rsidRPr="00CB1A9B">
        <w:rPr>
          <w:lang w:val="fr-FR"/>
        </w:rPr>
        <w:t>robuste</w:t>
      </w:r>
      <w:r w:rsidR="00C478FC">
        <w:rPr>
          <w:lang w:val="fr-FR"/>
        </w:rPr>
        <w:t> </w:t>
      </w:r>
      <w:r w:rsidRPr="00CB1A9B">
        <w:rPr>
          <w:lang w:val="fr-FR"/>
        </w:rPr>
        <w:t>» et «</w:t>
      </w:r>
      <w:r w:rsidR="00C478FC">
        <w:rPr>
          <w:lang w:val="fr-FR"/>
        </w:rPr>
        <w:t> </w:t>
      </w:r>
      <w:r w:rsidRPr="00CB1A9B">
        <w:rPr>
          <w:lang w:val="fr-FR"/>
        </w:rPr>
        <w:t>de grande taille</w:t>
      </w:r>
      <w:r w:rsidR="00C478FC">
        <w:rPr>
          <w:lang w:val="fr-FR"/>
        </w:rPr>
        <w:t> </w:t>
      </w:r>
      <w:r w:rsidRPr="00CB1A9B">
        <w:rPr>
          <w:lang w:val="fr-FR"/>
        </w:rPr>
        <w:t>» ne sont pas clairement définis, ils ne peuvent servir de facteur de détermination de l</w:t>
      </w:r>
      <w:r>
        <w:rPr>
          <w:lang w:val="fr-FR"/>
        </w:rPr>
        <w:t>’</w:t>
      </w:r>
      <w:r w:rsidRPr="00CB1A9B">
        <w:rPr>
          <w:lang w:val="fr-FR"/>
        </w:rPr>
        <w:t>application d</w:t>
      </w:r>
      <w:r>
        <w:rPr>
          <w:lang w:val="fr-FR"/>
        </w:rPr>
        <w:t>’</w:t>
      </w:r>
      <w:r w:rsidRPr="00CB1A9B">
        <w:rPr>
          <w:lang w:val="fr-FR"/>
        </w:rPr>
        <w:t>une instruction pour les grands emballages.</w:t>
      </w:r>
    </w:p>
    <w:p w:rsidR="0051736F" w:rsidRPr="00CB1A9B" w:rsidRDefault="0051736F" w:rsidP="0051736F">
      <w:pPr>
        <w:pStyle w:val="SingleTxtG"/>
        <w:kinsoku/>
        <w:overflowPunct/>
        <w:autoSpaceDE/>
        <w:autoSpaceDN/>
        <w:adjustRightInd/>
        <w:snapToGrid/>
      </w:pPr>
      <w:r w:rsidRPr="00CB1A9B">
        <w:t>11.</w:t>
      </w:r>
      <w:r w:rsidRPr="00CB1A9B">
        <w:tab/>
      </w:r>
      <w:r w:rsidRPr="00CB1A9B">
        <w:rPr>
          <w:lang w:val="fr-FR"/>
        </w:rPr>
        <w:t>En résumé, l</w:t>
      </w:r>
      <w:r>
        <w:rPr>
          <w:lang w:val="fr-FR"/>
        </w:rPr>
        <w:t>’</w:t>
      </w:r>
      <w:r w:rsidRPr="00CB1A9B">
        <w:rPr>
          <w:lang w:val="fr-FR"/>
        </w:rPr>
        <w:t xml:space="preserve">expert du Royaume-Uni estime </w:t>
      </w:r>
      <w:r>
        <w:rPr>
          <w:lang w:val="fr-FR"/>
        </w:rPr>
        <w:t>qu’</w:t>
      </w:r>
      <w:r w:rsidRPr="00CB1A9B">
        <w:rPr>
          <w:lang w:val="fr-FR"/>
        </w:rPr>
        <w:t xml:space="preserve">il </w:t>
      </w:r>
      <w:r>
        <w:rPr>
          <w:lang w:val="fr-FR"/>
        </w:rPr>
        <w:t>a</w:t>
      </w:r>
      <w:r w:rsidRPr="00CB1A9B">
        <w:rPr>
          <w:lang w:val="fr-FR"/>
        </w:rPr>
        <w:t xml:space="preserve"> été omis </w:t>
      </w:r>
      <w:r>
        <w:rPr>
          <w:lang w:val="fr-FR"/>
        </w:rPr>
        <w:t xml:space="preserve">par erreur </w:t>
      </w:r>
      <w:r w:rsidRPr="00CB1A9B">
        <w:rPr>
          <w:lang w:val="fr-FR"/>
        </w:rPr>
        <w:t>d</w:t>
      </w:r>
      <w:r>
        <w:rPr>
          <w:lang w:val="fr-FR"/>
        </w:rPr>
        <w:t>’</w:t>
      </w:r>
      <w:r w:rsidRPr="00CB1A9B">
        <w:rPr>
          <w:lang w:val="fr-FR"/>
        </w:rPr>
        <w:t xml:space="preserve">attribuer </w:t>
      </w:r>
      <w:r>
        <w:rPr>
          <w:lang w:val="fr-FR"/>
        </w:rPr>
        <w:t>l’instruction</w:t>
      </w:r>
      <w:r w:rsidRPr="00CB1A9B">
        <w:rPr>
          <w:lang w:val="fr-FR"/>
        </w:rPr>
        <w:t xml:space="preserve"> LP101 à tous les objets relevant de l</w:t>
      </w:r>
      <w:r>
        <w:rPr>
          <w:lang w:val="fr-FR"/>
        </w:rPr>
        <w:t>’</w:t>
      </w:r>
      <w:r w:rsidRPr="00CB1A9B">
        <w:rPr>
          <w:lang w:val="fr-FR"/>
        </w:rPr>
        <w:t>instruction P130, en particulier dans la mesure où la classification est effectuée en même temps que l</w:t>
      </w:r>
      <w:r>
        <w:rPr>
          <w:lang w:val="fr-FR"/>
        </w:rPr>
        <w:t xml:space="preserve">a détermination du </w:t>
      </w:r>
      <w:r w:rsidRPr="00CB1A9B">
        <w:rPr>
          <w:lang w:val="fr-FR"/>
        </w:rPr>
        <w:t>type d</w:t>
      </w:r>
      <w:r>
        <w:rPr>
          <w:lang w:val="fr-FR"/>
        </w:rPr>
        <w:t>’</w:t>
      </w:r>
      <w:r w:rsidRPr="00CB1A9B">
        <w:rPr>
          <w:lang w:val="fr-FR"/>
        </w:rPr>
        <w:t xml:space="preserve">emballage à utiliser pour le transport. </w:t>
      </w:r>
    </w:p>
    <w:p w:rsidR="0051736F" w:rsidRDefault="0051736F" w:rsidP="00C478FC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:rsidR="0051736F" w:rsidRPr="00CB1A9B" w:rsidRDefault="0051736F" w:rsidP="00C478FC">
      <w:pPr>
        <w:pStyle w:val="SingleTxtG"/>
      </w:pPr>
      <w:r w:rsidRPr="00CB1A9B">
        <w:t>12.</w:t>
      </w:r>
      <w:r w:rsidRPr="00CB1A9B">
        <w:tab/>
      </w:r>
      <w:r w:rsidRPr="00CB1A9B">
        <w:rPr>
          <w:lang w:val="fr-FR"/>
        </w:rPr>
        <w:t xml:space="preserve">Modifier les 35 rubriques suivantes de la liste des marchandises dangereuses en ajoutant </w:t>
      </w:r>
      <w:r>
        <w:rPr>
          <w:lang w:val="fr-FR"/>
        </w:rPr>
        <w:t>l’instruction</w:t>
      </w:r>
      <w:r w:rsidRPr="00CB1A9B">
        <w:rPr>
          <w:lang w:val="fr-FR"/>
        </w:rPr>
        <w:t xml:space="preserve"> LP101 sous l</w:t>
      </w:r>
      <w:r>
        <w:rPr>
          <w:lang w:val="fr-FR"/>
        </w:rPr>
        <w:t>’</w:t>
      </w:r>
      <w:r w:rsidRPr="00CB1A9B">
        <w:rPr>
          <w:lang w:val="fr-FR"/>
        </w:rPr>
        <w:t>instruction P130 dans la colonne 8 en tant qu</w:t>
      </w:r>
      <w:r>
        <w:rPr>
          <w:lang w:val="fr-FR"/>
        </w:rPr>
        <w:t>’</w:t>
      </w:r>
      <w:r w:rsidRPr="00CB1A9B">
        <w:rPr>
          <w:lang w:val="fr-FR"/>
        </w:rPr>
        <w:t>option d</w:t>
      </w:r>
      <w:r>
        <w:rPr>
          <w:lang w:val="fr-FR"/>
        </w:rPr>
        <w:t>’emballage </w:t>
      </w:r>
      <w:r w:rsidRPr="00CB1A9B">
        <w:rPr>
          <w:lang w:val="fr-FR"/>
        </w:rPr>
        <w:t>:</w:t>
      </w:r>
    </w:p>
    <w:p w:rsidR="0051736F" w:rsidRPr="00CB1A9B" w:rsidRDefault="0051736F" w:rsidP="00C478FC">
      <w:pPr>
        <w:pStyle w:val="SingleTxtG"/>
        <w:ind w:left="1701"/>
      </w:pPr>
      <w:r w:rsidRPr="00CB1A9B">
        <w:rPr>
          <w:lang w:val="fr-FR"/>
        </w:rPr>
        <w:t>0005, 0007, 0012, 0014, 0033, 0037, 0136, 0167, 0180, 0238,</w:t>
      </w:r>
      <w:r w:rsidR="00585AB4">
        <w:rPr>
          <w:lang w:val="fr-FR"/>
        </w:rPr>
        <w:t xml:space="preserve"> </w:t>
      </w:r>
      <w:r w:rsidRPr="00CB1A9B">
        <w:rPr>
          <w:lang w:val="fr-FR"/>
        </w:rPr>
        <w:t>0240, 0242, 0279, 0291, 0294, 0295, 0324, 0326, 0327, 0330, 0338, 0339, 0348, 0369, 0371, 0413, 0414, 0417, 0426, 0427, 0453, 0457, 0458, 0459, 0460.</w:t>
      </w:r>
    </w:p>
    <w:p w:rsidR="0051736F" w:rsidRDefault="0051736F" w:rsidP="00C478FC">
      <w:pPr>
        <w:pStyle w:val="SingleTxtG"/>
        <w:rPr>
          <w:lang w:val="fr-FR"/>
        </w:rPr>
      </w:pPr>
      <w:r w:rsidRPr="00CB1A9B">
        <w:t>13.</w:t>
      </w:r>
      <w:r w:rsidRPr="00CB1A9B">
        <w:tab/>
      </w:r>
      <w:r w:rsidRPr="00CB1A9B">
        <w:rPr>
          <w:lang w:val="fr-FR"/>
        </w:rPr>
        <w:t>Aucun amendement corollaire n</w:t>
      </w:r>
      <w:r>
        <w:rPr>
          <w:lang w:val="fr-FR"/>
        </w:rPr>
        <w:t>’</w:t>
      </w:r>
      <w:r w:rsidRPr="00CB1A9B">
        <w:rPr>
          <w:lang w:val="fr-FR"/>
        </w:rPr>
        <w:t>est nécessaire et l</w:t>
      </w:r>
      <w:r>
        <w:rPr>
          <w:lang w:val="fr-FR"/>
        </w:rPr>
        <w:t>’</w:t>
      </w:r>
      <w:r w:rsidRPr="00CB1A9B">
        <w:rPr>
          <w:lang w:val="fr-FR"/>
        </w:rPr>
        <w:t xml:space="preserve">utilisation de grands emballages pour ces objets explosifs demeurera soumise aux épreuves de classification et aux épreuves pour les emballages prescrites par </w:t>
      </w:r>
      <w:r>
        <w:rPr>
          <w:lang w:val="fr-FR"/>
        </w:rPr>
        <w:t>le Règlement type</w:t>
      </w:r>
      <w:r w:rsidRPr="00CB1A9B">
        <w:rPr>
          <w:lang w:val="fr-FR"/>
        </w:rPr>
        <w:t>.</w:t>
      </w:r>
    </w:p>
    <w:p w:rsidR="0051736F" w:rsidRDefault="0051736F" w:rsidP="0051736F">
      <w:pPr>
        <w:pStyle w:val="HChG"/>
        <w:rPr>
          <w:lang w:val="en-US"/>
        </w:rPr>
      </w:pPr>
      <w:r w:rsidRPr="0051736F">
        <w:rPr>
          <w:lang w:val="en-US"/>
        </w:rPr>
        <w:br w:type="page"/>
      </w:r>
      <w:proofErr w:type="spellStart"/>
      <w:r w:rsidRPr="0051736F">
        <w:rPr>
          <w:lang w:val="en-US"/>
        </w:rPr>
        <w:lastRenderedPageBreak/>
        <w:t>Annex</w:t>
      </w:r>
      <w:r>
        <w:rPr>
          <w:lang w:val="en-US"/>
        </w:rPr>
        <w:t>e</w:t>
      </w:r>
      <w:proofErr w:type="spellEnd"/>
      <w:r w:rsidRPr="0051736F">
        <w:rPr>
          <w:lang w:val="en-US"/>
        </w:rPr>
        <w:t xml:space="preserve"> I</w:t>
      </w:r>
    </w:p>
    <w:p w:rsidR="0051736F" w:rsidRPr="0051736F" w:rsidRDefault="0051736F" w:rsidP="0051736F">
      <w:pPr>
        <w:pStyle w:val="SingleTxtG"/>
        <w:jc w:val="right"/>
      </w:pPr>
      <w:r w:rsidRPr="0051736F">
        <w:sym w:font="Symbol" w:char="F05B"/>
      </w:r>
      <w:r w:rsidRPr="0051736F">
        <w:rPr>
          <w:i/>
        </w:rPr>
        <w:t>Anglais seulement</w:t>
      </w:r>
      <w:r w:rsidRPr="0051736F">
        <w:sym w:font="Symbol" w:char="F05D"/>
      </w:r>
    </w:p>
    <w:p w:rsidR="0051736F" w:rsidRPr="0051736F" w:rsidRDefault="0051736F" w:rsidP="00912A75">
      <w:pPr>
        <w:pStyle w:val="HChG"/>
        <w:rPr>
          <w:lang w:val="en-US"/>
        </w:rPr>
      </w:pPr>
      <w:r w:rsidRPr="0051736F">
        <w:rPr>
          <w:lang w:val="en-US"/>
        </w:rPr>
        <w:tab/>
      </w:r>
      <w:r w:rsidRPr="0051736F">
        <w:rPr>
          <w:lang w:val="en-US"/>
        </w:rPr>
        <w:tab/>
        <w:t>Correspondence of P134 and P102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3485"/>
        <w:gridCol w:w="1437"/>
        <w:gridCol w:w="2098"/>
      </w:tblGrid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2CD5">
              <w:rPr>
                <w:rFonts w:asciiTheme="majorBidi" w:hAnsiTheme="majorBidi" w:cstheme="majorBidi"/>
                <w:b/>
                <w:bCs/>
                <w:color w:val="000000"/>
              </w:rPr>
              <w:t>UN N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o.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spellStart"/>
            <w:r w:rsidRPr="00AE2CD5">
              <w:rPr>
                <w:rFonts w:asciiTheme="majorBidi" w:hAnsiTheme="majorBidi" w:cstheme="majorBidi"/>
                <w:b/>
                <w:bCs/>
                <w:color w:val="000000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roper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Shipping Name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E2CD5">
              <w:rPr>
                <w:rFonts w:asciiTheme="majorBidi" w:hAnsiTheme="majorBidi" w:cstheme="majorBidi"/>
                <w:b/>
                <w:bCs/>
                <w:color w:val="000000"/>
              </w:rPr>
              <w:t>ADR CODE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packing instructions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0070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CUTTERS, CABLE, EXPLOSIVE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1.4S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0099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51736F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51736F">
              <w:rPr>
                <w:rFonts w:asciiTheme="majorBidi" w:hAnsiTheme="majorBidi" w:cstheme="majorBidi"/>
                <w:color w:val="000000"/>
                <w:lang w:val="en-US"/>
              </w:rPr>
              <w:t>FRACTURING DEVICES, EXPLOSIVE without detonator, for oil wells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1.1D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0173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RELEASE DEVICES, EXPLOSIVE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1.4S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0174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RIVETS, EXPLOSIVE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1.4S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0204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SOUNDING DEVICES, EXPLOSIVE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1.2F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0275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CARTRIDGES, POWER DEVICE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1.3C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0276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CARTRIDGES, POWER DEVICE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1.4C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0277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CARTRIDGES, OIL WELL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1.3C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0278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CARTRIDGES, OIL WELL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1.4C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0296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SOUNDING DEVICES, EXPLOSIVE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1.1F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0323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CARTRIDGES, POWER DEVICE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1.4S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0374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SOUNDING DEVICES, EXPLOSIVE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1.1D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0375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SOUNDING DEVICES, EXPLOSIVE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1.2D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0381</w:t>
            </w: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CARTRIDGES, POWER DEVICE</w:t>
            </w: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1.2C</w:t>
            </w: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  <w:r w:rsidRPr="00AE2CD5">
              <w:rPr>
                <w:rFonts w:asciiTheme="majorBidi" w:hAnsiTheme="majorBidi" w:cstheme="majorBidi"/>
                <w:color w:val="000000"/>
              </w:rPr>
              <w:t>P134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E2CD5">
              <w:rPr>
                <w:rFonts w:asciiTheme="majorBidi" w:hAnsiTheme="majorBidi" w:cstheme="majorBidi"/>
                <w:color w:val="000000"/>
              </w:rPr>
              <w:t>LP102</w:t>
            </w:r>
          </w:p>
        </w:tc>
      </w:tr>
      <w:tr w:rsidR="0051736F" w:rsidRPr="00AE2CD5" w:rsidTr="0051736F">
        <w:trPr>
          <w:trHeight w:hRule="exact" w:val="270"/>
        </w:trPr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0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51736F" w:rsidRDefault="0051736F" w:rsidP="00912A75">
      <w:pPr>
        <w:pStyle w:val="HChG"/>
        <w:rPr>
          <w:lang w:val="en-US"/>
        </w:rPr>
      </w:pPr>
      <w:r>
        <w:rPr>
          <w:lang w:val="fr-FR"/>
        </w:rPr>
        <w:br w:type="page"/>
      </w:r>
      <w:r w:rsidRPr="00912A75">
        <w:t>Annexe</w:t>
      </w:r>
      <w:r w:rsidRPr="0051736F">
        <w:rPr>
          <w:lang w:val="en-US"/>
        </w:rPr>
        <w:t xml:space="preserve"> I</w:t>
      </w:r>
      <w:r>
        <w:rPr>
          <w:lang w:val="en-US"/>
        </w:rPr>
        <w:t>I</w:t>
      </w:r>
    </w:p>
    <w:p w:rsidR="0051736F" w:rsidRPr="0051736F" w:rsidRDefault="0051736F" w:rsidP="00912A75">
      <w:pPr>
        <w:pStyle w:val="SingleTxtG"/>
        <w:jc w:val="right"/>
      </w:pPr>
      <w:r w:rsidRPr="0051736F">
        <w:sym w:font="Symbol" w:char="F05B"/>
      </w:r>
      <w:r w:rsidRPr="00912A75">
        <w:rPr>
          <w:i/>
        </w:rPr>
        <w:t>Anglais seulement</w:t>
      </w:r>
      <w:r w:rsidRPr="0051736F">
        <w:sym w:font="Symbol" w:char="F05D"/>
      </w:r>
    </w:p>
    <w:p w:rsidR="0051736F" w:rsidRDefault="0051736F" w:rsidP="00912A75">
      <w:pPr>
        <w:pStyle w:val="HChG"/>
        <w:rPr>
          <w:lang w:val="en-US"/>
        </w:rPr>
      </w:pPr>
      <w:r>
        <w:tab/>
      </w:r>
      <w:r>
        <w:tab/>
      </w:r>
      <w:r w:rsidRPr="0051736F">
        <w:rPr>
          <w:lang w:val="en-US"/>
        </w:rPr>
        <w:t>Correspondence list P130, LP101, PP67 and L1</w:t>
      </w:r>
    </w:p>
    <w:tbl>
      <w:tblPr>
        <w:tblW w:w="8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620"/>
        <w:gridCol w:w="960"/>
        <w:gridCol w:w="1600"/>
        <w:gridCol w:w="1420"/>
      </w:tblGrid>
      <w:tr w:rsidR="00CA7168" w:rsidRPr="0051736F" w:rsidTr="00F9769D">
        <w:trPr>
          <w:trHeight w:val="300"/>
          <w:tblHeader/>
        </w:trPr>
        <w:tc>
          <w:tcPr>
            <w:tcW w:w="940" w:type="dxa"/>
            <w:shd w:val="clear" w:color="000000" w:fill="C0C0C0"/>
            <w:noWrap/>
            <w:hideMark/>
          </w:tcPr>
          <w:p w:rsidR="00CA7168" w:rsidRPr="00AE2CD5" w:rsidRDefault="00CA7168" w:rsidP="00F9769D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UN N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o.</w:t>
            </w:r>
          </w:p>
        </w:tc>
        <w:tc>
          <w:tcPr>
            <w:tcW w:w="3620" w:type="dxa"/>
            <w:shd w:val="clear" w:color="000000" w:fill="C0C0C0"/>
            <w:noWrap/>
            <w:hideMark/>
          </w:tcPr>
          <w:p w:rsidR="00CA7168" w:rsidRPr="00AE2CD5" w:rsidRDefault="00CA7168" w:rsidP="00F9769D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Proper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 Shipping Name</w:t>
            </w:r>
          </w:p>
        </w:tc>
        <w:tc>
          <w:tcPr>
            <w:tcW w:w="960" w:type="dxa"/>
            <w:shd w:val="clear" w:color="000000" w:fill="C0C0C0"/>
            <w:noWrap/>
            <w:hideMark/>
          </w:tcPr>
          <w:p w:rsidR="00CA7168" w:rsidRPr="00AE2CD5" w:rsidRDefault="00CA7168" w:rsidP="00F9769D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CLASS</w:t>
            </w:r>
          </w:p>
        </w:tc>
        <w:tc>
          <w:tcPr>
            <w:tcW w:w="1600" w:type="dxa"/>
            <w:shd w:val="clear" w:color="000000" w:fill="C0C0C0"/>
            <w:noWrap/>
            <w:hideMark/>
          </w:tcPr>
          <w:p w:rsidR="00CA7168" w:rsidRPr="00AE2CD5" w:rsidRDefault="00CA7168" w:rsidP="00F9769D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packing instruction</w:t>
            </w:r>
          </w:p>
        </w:tc>
        <w:tc>
          <w:tcPr>
            <w:tcW w:w="1420" w:type="dxa"/>
            <w:shd w:val="clear" w:color="000000" w:fill="C0C0C0"/>
            <w:noWrap/>
            <w:hideMark/>
          </w:tcPr>
          <w:p w:rsidR="00CA7168" w:rsidRPr="0051736F" w:rsidRDefault="00CA7168" w:rsidP="00F9769D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packing instruction</w:t>
            </w:r>
          </w:p>
          <w:p w:rsidR="00CA7168" w:rsidRPr="0051736F" w:rsidRDefault="00CA7168" w:rsidP="00F9769D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special packing provision</w:t>
            </w:r>
          </w:p>
        </w:tc>
      </w:tr>
      <w:tr w:rsidR="0051736F" w:rsidRPr="00AE2CD5" w:rsidTr="00CA7168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0005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CARTRIDGES FOR WEAPONS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0006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CARTRIDGES FOR WEAPONS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1.1E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0007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CARTRIDGES FOR WEAPONS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0009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INCENDIARY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AMMUNITION, INCENDIARY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78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0012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51736F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CARTRIDGES FOR WEAPONS, INERT PROJECTILE or CARTRIDGES, SMALL ARMS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1.4S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758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51736F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CARTRIDGES FOR WEAPONS, BLANK or CARTRIDGES, SMALL ARMS, BLANK or CARTRIDGE FOR TOOLS, BLANK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1.4S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AMMUNITION, SMOKE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TEAR-PRODUCING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0019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TEAR-PRODUCING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0033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BOMBS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0034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BOMBS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0035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BOMBS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0037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BOMBS, PHOTO-FLASH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0038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BOMBS, PHOTO-FLASH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0039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BOMBS, PHOTO-FLASH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0048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DEMOLITION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0056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DEPTH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0136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MINES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0137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MINES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0138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MINES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0167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0168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0169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0171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ILLUMINATING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0180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0181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1.1E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0182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1.2E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0183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0186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ROCKET MOTORS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0221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WARHEADS, TORPEDO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0238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ROCKETS, LINE-THROWING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0240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ROCKETS, LINE-THROWING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38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0242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PROPELLING, FOR CANNON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0243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INCENDIARY, WHITE PHOSPHORUS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1.2H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0244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INCENDIARY, WHITE PHOSPHORUS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1.3H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0245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SMOKE, WHITE PHOSPHORUS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1.2H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0246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SMOKE, WHITE PHOSPHORUS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1.3H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0254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ILLUMINATING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37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0279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PROPELLING, FOR CANNON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0280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ROCKET MOTORS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0281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ROCKET MOTORS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0286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WARHEADS, ROCKET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0287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WARHEADS, ROCKET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0291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BOMBS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0294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MINES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0295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0297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ILLUMINATING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0299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BOMBS, PHOTO-FLASH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0300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INCENDIARY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0301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AMMUNITION, TEAR-PRODUCING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0303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0303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0303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AMMUNITION, SMOKE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0321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CARTRIDGES FOR WEAPONS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1.2E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0324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11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0326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CARTRIDGES FOR WEAPONS, BLANK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47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0327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51736F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CARTRIDGES FOR WEAPONS, BLANK or CARTRIDGES, SMALL ARMS, BLANK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0328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51736F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CARTRIDGES FOR WEAPONS, INERT PROJECTILE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0329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TORPEDOES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1.1E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0330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TORPEDOES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516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0338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51736F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CARTRIDGES FOR WEAPONS, BLANK or CARTRIDGES, SMALL ARMS, BLANK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78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0339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51736F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CARTRIDGES FOR WEAPONS, INERT PROJECTILE or CARTRIDGES, SMALL ARMS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0344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0345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PROJECTILES,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1.4S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0346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0347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0348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CARTRIDGES FOR WEAPONS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0362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AMMUNITION, PRACTICE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0363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AMMUNITION, PROOF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0369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WARHEADS, ROCKET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0370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WARHEADS, ROCKET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0371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WARHEADS, ROCKET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0412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CARTRIDGES FOR WEAPONS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1.4E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259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0413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CARTRIDGES FOR WEAPONS, BLANK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277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0414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PROPELLING, FOR CANNON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706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0417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51736F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</w:pPr>
            <w:r w:rsidRPr="0051736F">
              <w:rPr>
                <w:rFonts w:asciiTheme="majorBidi" w:hAnsiTheme="majorBidi" w:cstheme="majorBidi"/>
                <w:color w:val="000000"/>
                <w:sz w:val="18"/>
                <w:szCs w:val="18"/>
                <w:lang w:val="en-US" w:eastAsia="en-GB"/>
              </w:rPr>
              <w:t>CARTRIDGES FOR WEAPONS, INERT PROJECTILE or CARTRIDGES, SMALL ARMS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0424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PROJECTILES,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0425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PROJECTILES,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0426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0427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1.4F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0434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0435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PROJECTILES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0436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0437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0438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0451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TORPEDOES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0453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ROCKETS, LINE-THROWING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0457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BURSTING, PLASTICS BONDED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1.1D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0458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BURSTING, PLASTICS BONDED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0459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BURSTING, PLASTICS BONDED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1.4D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525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0460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CHARGES, BURSTING, PLASTICS BONDED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1.4S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0488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AMMUNITION, PRACTICE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1.3G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0502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 xml:space="preserve">ROCKETS 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1.2C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  <w:tr w:rsidR="0051736F" w:rsidRPr="00AE2CD5" w:rsidTr="0051736F">
        <w:trPr>
          <w:trHeight w:val="300"/>
        </w:trPr>
        <w:tc>
          <w:tcPr>
            <w:tcW w:w="94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0510</w:t>
            </w:r>
          </w:p>
        </w:tc>
        <w:tc>
          <w:tcPr>
            <w:tcW w:w="36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ROCKET MOTORS</w:t>
            </w:r>
          </w:p>
        </w:tc>
        <w:tc>
          <w:tcPr>
            <w:tcW w:w="96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1.4C</w:t>
            </w:r>
          </w:p>
        </w:tc>
        <w:tc>
          <w:tcPr>
            <w:tcW w:w="160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P130 LP101</w:t>
            </w:r>
          </w:p>
        </w:tc>
        <w:tc>
          <w:tcPr>
            <w:tcW w:w="1420" w:type="dxa"/>
            <w:shd w:val="clear" w:color="auto" w:fill="auto"/>
            <w:hideMark/>
          </w:tcPr>
          <w:p w:rsidR="0051736F" w:rsidRPr="00AE2CD5" w:rsidRDefault="0051736F" w:rsidP="0051736F">
            <w:pPr>
              <w:spacing w:line="240" w:lineRule="auto"/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</w:pPr>
            <w:r w:rsidRPr="00AE2CD5">
              <w:rPr>
                <w:rFonts w:asciiTheme="majorBidi" w:hAnsiTheme="majorBidi" w:cstheme="majorBidi"/>
                <w:color w:val="000000"/>
                <w:sz w:val="18"/>
                <w:szCs w:val="18"/>
                <w:lang w:eastAsia="en-GB"/>
              </w:rPr>
              <w:t>PP67 L1</w:t>
            </w:r>
          </w:p>
        </w:tc>
      </w:tr>
    </w:tbl>
    <w:p w:rsidR="0051736F" w:rsidRPr="0051736F" w:rsidRDefault="0051736F" w:rsidP="005173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1736F" w:rsidRPr="0051736F" w:rsidSect="005173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6F" w:rsidRDefault="0051736F" w:rsidP="00F95C08">
      <w:pPr>
        <w:spacing w:line="240" w:lineRule="auto"/>
      </w:pPr>
    </w:p>
  </w:endnote>
  <w:endnote w:type="continuationSeparator" w:id="0">
    <w:p w:rsidR="0051736F" w:rsidRPr="00AC3823" w:rsidRDefault="0051736F" w:rsidP="00AC3823">
      <w:pPr>
        <w:pStyle w:val="Footer"/>
      </w:pPr>
    </w:p>
  </w:endnote>
  <w:endnote w:type="continuationNotice" w:id="1">
    <w:p w:rsidR="0051736F" w:rsidRDefault="0051736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6F" w:rsidRPr="0051736F" w:rsidRDefault="0051736F" w:rsidP="0051736F">
    <w:pPr>
      <w:pStyle w:val="Footer"/>
      <w:tabs>
        <w:tab w:val="right" w:pos="9638"/>
      </w:tabs>
    </w:pPr>
    <w:r w:rsidRPr="0051736F">
      <w:rPr>
        <w:b/>
        <w:sz w:val="18"/>
      </w:rPr>
      <w:fldChar w:fldCharType="begin"/>
    </w:r>
    <w:r w:rsidRPr="0051736F">
      <w:rPr>
        <w:b/>
        <w:sz w:val="18"/>
      </w:rPr>
      <w:instrText xml:space="preserve"> PAGE  \* MERGEFORMAT </w:instrText>
    </w:r>
    <w:r w:rsidRPr="0051736F">
      <w:rPr>
        <w:b/>
        <w:sz w:val="18"/>
      </w:rPr>
      <w:fldChar w:fldCharType="separate"/>
    </w:r>
    <w:r w:rsidR="00A22CE6">
      <w:rPr>
        <w:b/>
        <w:noProof/>
        <w:sz w:val="18"/>
      </w:rPr>
      <w:t>6</w:t>
    </w:r>
    <w:r w:rsidRPr="0051736F">
      <w:rPr>
        <w:b/>
        <w:sz w:val="18"/>
      </w:rPr>
      <w:fldChar w:fldCharType="end"/>
    </w:r>
    <w:r>
      <w:rPr>
        <w:b/>
        <w:sz w:val="18"/>
      </w:rPr>
      <w:tab/>
    </w:r>
    <w:r>
      <w:t>GE.18-14734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6F" w:rsidRPr="0051736F" w:rsidRDefault="0051736F" w:rsidP="0051736F">
    <w:pPr>
      <w:pStyle w:val="Footer"/>
      <w:tabs>
        <w:tab w:val="right" w:pos="9638"/>
      </w:tabs>
      <w:rPr>
        <w:b/>
        <w:sz w:val="18"/>
      </w:rPr>
    </w:pPr>
    <w:r>
      <w:t>GE.18-14734</w:t>
    </w:r>
    <w:r>
      <w:tab/>
    </w:r>
    <w:r w:rsidRPr="0051736F">
      <w:rPr>
        <w:b/>
        <w:sz w:val="18"/>
      </w:rPr>
      <w:fldChar w:fldCharType="begin"/>
    </w:r>
    <w:r w:rsidRPr="0051736F">
      <w:rPr>
        <w:b/>
        <w:sz w:val="18"/>
      </w:rPr>
      <w:instrText xml:space="preserve"> PAGE  \* MERGEFORMAT </w:instrText>
    </w:r>
    <w:r w:rsidRPr="0051736F">
      <w:rPr>
        <w:b/>
        <w:sz w:val="18"/>
      </w:rPr>
      <w:fldChar w:fldCharType="separate"/>
    </w:r>
    <w:r w:rsidR="00A22CE6">
      <w:rPr>
        <w:b/>
        <w:noProof/>
        <w:sz w:val="18"/>
      </w:rPr>
      <w:t>7</w:t>
    </w:r>
    <w:r w:rsidRPr="005173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6F" w:rsidRPr="0051736F" w:rsidRDefault="0051736F" w:rsidP="0051736F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18-14734  (F)</w:t>
    </w:r>
    <w:r w:rsidR="001639E3">
      <w:rPr>
        <w:sz w:val="20"/>
      </w:rPr>
      <w:t xml:space="preserve">    051018    091018</w:t>
    </w:r>
    <w:r>
      <w:rPr>
        <w:sz w:val="20"/>
      </w:rPr>
      <w:br/>
    </w:r>
    <w:r w:rsidRPr="0051736F">
      <w:rPr>
        <w:rFonts w:ascii="C39T30Lfz" w:hAnsi="C39T30Lfz"/>
        <w:sz w:val="56"/>
      </w:rPr>
      <w:t></w:t>
    </w:r>
    <w:r w:rsidRPr="0051736F">
      <w:rPr>
        <w:rFonts w:ascii="C39T30Lfz" w:hAnsi="C39T30Lfz"/>
        <w:sz w:val="56"/>
      </w:rPr>
      <w:t></w:t>
    </w:r>
    <w:r w:rsidRPr="0051736F">
      <w:rPr>
        <w:rFonts w:ascii="C39T30Lfz" w:hAnsi="C39T30Lfz"/>
        <w:sz w:val="56"/>
      </w:rPr>
      <w:t></w:t>
    </w:r>
    <w:r w:rsidRPr="0051736F">
      <w:rPr>
        <w:rFonts w:ascii="C39T30Lfz" w:hAnsi="C39T30Lfz"/>
        <w:sz w:val="56"/>
      </w:rPr>
      <w:t></w:t>
    </w:r>
    <w:r w:rsidRPr="0051736F">
      <w:rPr>
        <w:rFonts w:ascii="C39T30Lfz" w:hAnsi="C39T30Lfz"/>
        <w:sz w:val="56"/>
      </w:rPr>
      <w:t></w:t>
    </w:r>
    <w:r w:rsidRPr="0051736F">
      <w:rPr>
        <w:rFonts w:ascii="C39T30Lfz" w:hAnsi="C39T30Lfz"/>
        <w:sz w:val="56"/>
      </w:rPr>
      <w:t></w:t>
    </w:r>
    <w:r w:rsidRPr="0051736F">
      <w:rPr>
        <w:rFonts w:ascii="C39T30Lfz" w:hAnsi="C39T30Lfz"/>
        <w:sz w:val="56"/>
      </w:rPr>
      <w:t></w:t>
    </w:r>
    <w:r w:rsidRPr="0051736F">
      <w:rPr>
        <w:rFonts w:ascii="C39T30Lfz" w:hAnsi="C39T30Lfz"/>
        <w:sz w:val="56"/>
      </w:rPr>
      <w:t></w:t>
    </w:r>
    <w:r w:rsidRPr="0051736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6F" w:rsidRPr="00AC3823" w:rsidRDefault="0051736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736F" w:rsidRPr="00AC3823" w:rsidRDefault="0051736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1736F" w:rsidRPr="00AC3823" w:rsidRDefault="0051736F">
      <w:pPr>
        <w:spacing w:line="240" w:lineRule="auto"/>
        <w:rPr>
          <w:sz w:val="2"/>
          <w:szCs w:val="2"/>
        </w:rPr>
      </w:pPr>
    </w:p>
  </w:footnote>
  <w:footnote w:id="2">
    <w:p w:rsidR="0051736F" w:rsidRPr="0051736F" w:rsidRDefault="0051736F">
      <w:pPr>
        <w:pStyle w:val="FootnoteText"/>
      </w:pPr>
      <w:r>
        <w:rPr>
          <w:rStyle w:val="FootnoteReference"/>
        </w:rPr>
        <w:tab/>
      </w:r>
      <w:r w:rsidRPr="0051736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biennale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6F" w:rsidRPr="0051736F" w:rsidRDefault="006C525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6F" w:rsidRPr="0051736F" w:rsidRDefault="006C5250" w:rsidP="005173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58"/>
    <w:rsid w:val="000128DC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639E3"/>
    <w:rsid w:val="00176178"/>
    <w:rsid w:val="001F525A"/>
    <w:rsid w:val="00223272"/>
    <w:rsid w:val="0024779E"/>
    <w:rsid w:val="00270327"/>
    <w:rsid w:val="00283190"/>
    <w:rsid w:val="002832AC"/>
    <w:rsid w:val="00283A58"/>
    <w:rsid w:val="002B484B"/>
    <w:rsid w:val="002D7C93"/>
    <w:rsid w:val="00441C3B"/>
    <w:rsid w:val="00446FE5"/>
    <w:rsid w:val="00452396"/>
    <w:rsid w:val="004E468C"/>
    <w:rsid w:val="0051736F"/>
    <w:rsid w:val="005505B7"/>
    <w:rsid w:val="00573BE5"/>
    <w:rsid w:val="00584DC4"/>
    <w:rsid w:val="00585AB4"/>
    <w:rsid w:val="00586ED3"/>
    <w:rsid w:val="00596AA9"/>
    <w:rsid w:val="005A66D2"/>
    <w:rsid w:val="0068456F"/>
    <w:rsid w:val="006C5250"/>
    <w:rsid w:val="0071601D"/>
    <w:rsid w:val="007A62E6"/>
    <w:rsid w:val="0080684C"/>
    <w:rsid w:val="00850AA4"/>
    <w:rsid w:val="00871C75"/>
    <w:rsid w:val="008720A6"/>
    <w:rsid w:val="008776DC"/>
    <w:rsid w:val="008A4E03"/>
    <w:rsid w:val="008B40CD"/>
    <w:rsid w:val="00912A75"/>
    <w:rsid w:val="009705C8"/>
    <w:rsid w:val="009C1CF4"/>
    <w:rsid w:val="00A22CE6"/>
    <w:rsid w:val="00A30353"/>
    <w:rsid w:val="00AC3823"/>
    <w:rsid w:val="00AD22EC"/>
    <w:rsid w:val="00AE323C"/>
    <w:rsid w:val="00B00181"/>
    <w:rsid w:val="00B00B0D"/>
    <w:rsid w:val="00B610A6"/>
    <w:rsid w:val="00B765F7"/>
    <w:rsid w:val="00BA0CA9"/>
    <w:rsid w:val="00C02897"/>
    <w:rsid w:val="00C478FC"/>
    <w:rsid w:val="00CA7168"/>
    <w:rsid w:val="00D3439C"/>
    <w:rsid w:val="00DB1831"/>
    <w:rsid w:val="00DD3BFD"/>
    <w:rsid w:val="00DF6678"/>
    <w:rsid w:val="00EC1EF6"/>
    <w:rsid w:val="00EF2E22"/>
    <w:rsid w:val="00F01738"/>
    <w:rsid w:val="00F660DF"/>
    <w:rsid w:val="00F730C8"/>
    <w:rsid w:val="00F95C08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C75AE1-DB76-447C-839F-73D0BDE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51736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locked/>
    <w:rsid w:val="0051736F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51736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11951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ST/SG/AC.10/C.3/2018/113</vt:lpstr>
      <vt:lpstr>ST/SG/AC.10/C.3/2018/113</vt:lpstr>
    </vt:vector>
  </TitlesOfParts>
  <Company>DCM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ST/SG/AC.10/C.3/2018/113</dc:title>
  <dc:subject/>
  <dc:creator>Fabienne CRELIER</dc:creator>
  <cp:keywords/>
  <cp:lastModifiedBy>Laurence Berthet</cp:lastModifiedBy>
  <cp:revision>3</cp:revision>
  <cp:lastPrinted>2018-10-09T15:17:00Z</cp:lastPrinted>
  <dcterms:created xsi:type="dcterms:W3CDTF">2018-10-09T15:17:00Z</dcterms:created>
  <dcterms:modified xsi:type="dcterms:W3CDTF">2018-10-09T15:17:00Z</dcterms:modified>
</cp:coreProperties>
</file>