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D7E4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D7E4B" w:rsidP="007D7E4B">
            <w:pPr>
              <w:jc w:val="right"/>
            </w:pPr>
            <w:r w:rsidRPr="007D7E4B">
              <w:rPr>
                <w:sz w:val="40"/>
              </w:rPr>
              <w:t>ST</w:t>
            </w:r>
            <w:r>
              <w:t>/SG/AC.10/C.3/2018/110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D7E4B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D7E4B" w:rsidRDefault="007D7E4B" w:rsidP="007D7E4B">
            <w:pPr>
              <w:spacing w:line="240" w:lineRule="exact"/>
            </w:pPr>
            <w:r>
              <w:t>5 septembre 2018</w:t>
            </w:r>
          </w:p>
          <w:p w:rsidR="007D7E4B" w:rsidRDefault="007D7E4B" w:rsidP="007D7E4B">
            <w:pPr>
              <w:spacing w:line="240" w:lineRule="exact"/>
            </w:pPr>
            <w:r>
              <w:t>Français</w:t>
            </w:r>
          </w:p>
          <w:p w:rsidR="007D7E4B" w:rsidRPr="00DB58B5" w:rsidRDefault="007D7E4B" w:rsidP="007D7E4B">
            <w:pPr>
              <w:spacing w:line="240" w:lineRule="exact"/>
            </w:pPr>
            <w:r>
              <w:t>Original : anglais</w:t>
            </w:r>
          </w:p>
        </w:tc>
      </w:tr>
    </w:tbl>
    <w:p w:rsidR="007D7E4B" w:rsidRPr="00CA0680" w:rsidRDefault="007D7E4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7D7E4B" w:rsidRPr="00CA0680" w:rsidRDefault="007D7E4B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7D7E4B" w:rsidRDefault="007D7E4B" w:rsidP="000305D3">
      <w:pPr>
        <w:spacing w:before="120"/>
        <w:rPr>
          <w:b/>
        </w:rPr>
      </w:pPr>
      <w:r w:rsidRPr="00761156">
        <w:rPr>
          <w:b/>
          <w:bCs/>
          <w:lang w:val="fr-FR"/>
        </w:rPr>
        <w:t xml:space="preserve">Cinquante-quatrième </w:t>
      </w:r>
      <w:r w:rsidRPr="00CA0680">
        <w:rPr>
          <w:b/>
        </w:rPr>
        <w:t>session</w:t>
      </w:r>
    </w:p>
    <w:p w:rsidR="007D7E4B" w:rsidRDefault="007D7E4B" w:rsidP="007D7E4B">
      <w:pPr>
        <w:rPr>
          <w:lang w:val="fr-FR"/>
        </w:rPr>
      </w:pPr>
      <w:r>
        <w:t xml:space="preserve">Genève, </w:t>
      </w:r>
      <w:r>
        <w:rPr>
          <w:lang w:val="fr-FR"/>
        </w:rPr>
        <w:t>26 </w:t>
      </w:r>
      <w:r w:rsidRPr="00761156">
        <w:rPr>
          <w:lang w:val="fr-FR"/>
        </w:rPr>
        <w:t>novembre-4</w:t>
      </w:r>
      <w:r>
        <w:rPr>
          <w:lang w:val="fr-FR"/>
        </w:rPr>
        <w:t> </w:t>
      </w:r>
      <w:r w:rsidRPr="00761156">
        <w:rPr>
          <w:lang w:val="fr-FR"/>
        </w:rPr>
        <w:t>décembre 201</w:t>
      </w:r>
      <w:r>
        <w:rPr>
          <w:lang w:val="fr-FR"/>
        </w:rPr>
        <w:t>8</w:t>
      </w:r>
    </w:p>
    <w:p w:rsidR="007D7E4B" w:rsidRPr="000720B4" w:rsidRDefault="007D7E4B" w:rsidP="007D7E4B">
      <w:r w:rsidRPr="00761156">
        <w:rPr>
          <w:lang w:val="fr-FR"/>
        </w:rPr>
        <w:t>Point 2 d) de l</w:t>
      </w:r>
      <w:r>
        <w:rPr>
          <w:lang w:val="fr-FR"/>
        </w:rPr>
        <w:t>’</w:t>
      </w:r>
      <w:r w:rsidRPr="00761156">
        <w:rPr>
          <w:lang w:val="fr-FR"/>
        </w:rPr>
        <w:t xml:space="preserve">ordre du jour provisoire </w:t>
      </w:r>
    </w:p>
    <w:p w:rsidR="007D7E4B" w:rsidRDefault="007D7E4B" w:rsidP="007D7E4B">
      <w:pPr>
        <w:rPr>
          <w:b/>
          <w:bCs/>
          <w:lang w:val="fr-FR"/>
        </w:rPr>
      </w:pPr>
      <w:r w:rsidRPr="00761156">
        <w:rPr>
          <w:b/>
          <w:bCs/>
          <w:lang w:val="fr-FR"/>
        </w:rPr>
        <w:t xml:space="preserve">Recommandations du Sous-Comité formulées à ses cinquante et unième, </w:t>
      </w:r>
      <w:r>
        <w:rPr>
          <w:b/>
          <w:bCs/>
          <w:lang w:val="fr-FR"/>
        </w:rPr>
        <w:br/>
      </w:r>
      <w:r w:rsidRPr="00761156">
        <w:rPr>
          <w:b/>
          <w:bCs/>
          <w:lang w:val="fr-FR"/>
        </w:rPr>
        <w:t>cinquante-deuxième et cinquante-troisième s</w:t>
      </w:r>
      <w:r>
        <w:rPr>
          <w:b/>
          <w:bCs/>
          <w:lang w:val="fr-FR"/>
        </w:rPr>
        <w:t>essions et questions en suspens :</w:t>
      </w:r>
    </w:p>
    <w:p w:rsidR="007D7E4B" w:rsidRPr="00761156" w:rsidRDefault="007D7E4B" w:rsidP="007D7E4B">
      <w:pPr>
        <w:rPr>
          <w:b/>
          <w:bCs/>
          <w:sz w:val="16"/>
        </w:rPr>
      </w:pPr>
      <w:r>
        <w:rPr>
          <w:b/>
          <w:bCs/>
          <w:lang w:val="fr-FR"/>
        </w:rPr>
        <w:t>S</w:t>
      </w:r>
      <w:r w:rsidRPr="00761156">
        <w:rPr>
          <w:b/>
          <w:bCs/>
          <w:lang w:val="fr-FR"/>
        </w:rPr>
        <w:t>ystèmes de stockage de l</w:t>
      </w:r>
      <w:r>
        <w:rPr>
          <w:b/>
          <w:bCs/>
          <w:lang w:val="fr-FR"/>
        </w:rPr>
        <w:t>’</w:t>
      </w:r>
      <w:r w:rsidRPr="00761156">
        <w:rPr>
          <w:b/>
          <w:bCs/>
          <w:lang w:val="fr-FR"/>
        </w:rPr>
        <w:t>électricité</w:t>
      </w:r>
    </w:p>
    <w:p w:rsidR="007D7E4B" w:rsidRPr="005C41AC" w:rsidRDefault="007D7E4B" w:rsidP="007D7E4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Sodium-chlorure de nickel (Na-NiCl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) </w:t>
      </w:r>
    </w:p>
    <w:p w:rsidR="00446FE5" w:rsidRDefault="007D7E4B" w:rsidP="007D7E4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la Suisse</w:t>
      </w:r>
      <w:r w:rsidRPr="00DC32D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D7E4B">
        <w:trPr>
          <w:jc w:val="center"/>
        </w:trPr>
        <w:tc>
          <w:tcPr>
            <w:tcW w:w="9637" w:type="dxa"/>
            <w:shd w:val="clear" w:color="auto" w:fill="auto"/>
          </w:tcPr>
          <w:p w:rsidR="007D7E4B" w:rsidRDefault="007D7E4B" w:rsidP="007D7E4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7D7E4B">
        <w:trPr>
          <w:jc w:val="center"/>
        </w:trPr>
        <w:tc>
          <w:tcPr>
            <w:tcW w:w="9637" w:type="dxa"/>
            <w:shd w:val="clear" w:color="auto" w:fill="auto"/>
          </w:tcPr>
          <w:p w:rsidR="007D7E4B" w:rsidRDefault="007D7E4B" w:rsidP="00BD6AD1">
            <w:pPr>
              <w:pStyle w:val="SingleTxtG"/>
              <w:ind w:left="2523" w:hanging="2268"/>
            </w:pPr>
            <w:r w:rsidRPr="00761156">
              <w:rPr>
                <w:b/>
                <w:bCs/>
                <w:lang w:val="fr-FR"/>
              </w:rPr>
              <w:t>Résumé analytique :</w:t>
            </w:r>
            <w:r>
              <w:rPr>
                <w:b/>
                <w:bCs/>
                <w:lang w:val="fr-FR"/>
              </w:rPr>
              <w:tab/>
            </w:r>
            <w:r w:rsidRPr="00761156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expérience considérable acquise dans le domaine de la technologie des batteries secondaires au sodium-chlorure de nickel (Na-NiCl</w:t>
            </w:r>
            <w:r w:rsidRPr="00761156">
              <w:rPr>
                <w:vertAlign w:val="subscript"/>
                <w:lang w:val="fr-FR"/>
              </w:rPr>
              <w:t>2</w:t>
            </w:r>
            <w:r w:rsidRPr="00761156">
              <w:rPr>
                <w:lang w:val="fr-FR"/>
              </w:rPr>
              <w:t>) des véhicules électriques et hybrides, pour lesquelles les prescriptions en matière de sécurité sont plus restrictives que celles des accumulateurs fixes, montre que les batteries reposant sur la technologie Na-NiCl</w:t>
            </w:r>
            <w:r w:rsidRPr="00761156">
              <w:rPr>
                <w:vertAlign w:val="subscript"/>
                <w:lang w:val="fr-FR"/>
              </w:rPr>
              <w:t>2</w:t>
            </w:r>
            <w:r w:rsidRPr="00761156">
              <w:rPr>
                <w:lang w:val="fr-FR"/>
              </w:rPr>
              <w:t xml:space="preserve"> sont </w:t>
            </w:r>
            <w:r w:rsidRPr="00BD6AD1">
              <w:rPr>
                <w:spacing w:val="-4"/>
                <w:lang w:val="fr-FR"/>
              </w:rPr>
              <w:t>des marchandises non dangereuses pour le transport. La sécurité intrinsèque des réactions chimiques qui se produisent dans l’accumulateur,</w:t>
            </w:r>
            <w:r w:rsidRPr="00761156">
              <w:rPr>
                <w:lang w:val="fr-FR"/>
              </w:rPr>
              <w:t xml:space="preserve"> grâce au tétrachlorure d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aluminium et de sodium (NaAlCl</w:t>
            </w:r>
            <w:r w:rsidRPr="00761156">
              <w:rPr>
                <w:vertAlign w:val="subscript"/>
                <w:lang w:val="fr-FR"/>
              </w:rPr>
              <w:t>4</w:t>
            </w:r>
            <w:r w:rsidRPr="00761156">
              <w:rPr>
                <w:lang w:val="fr-FR"/>
              </w:rPr>
              <w:t>) contenu dans l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accumulateur, qui agit comme un électrolyte secondaire (l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 xml:space="preserve">électrolyte </w:t>
            </w:r>
            <w:r w:rsidRPr="00BD6AD1">
              <w:rPr>
                <w:spacing w:val="-4"/>
                <w:lang w:val="fr-FR"/>
              </w:rPr>
              <w:t>primaire étant l’électrolyte céramique à base d’alumine β, couramment</w:t>
            </w:r>
            <w:r w:rsidRPr="00761156">
              <w:rPr>
                <w:lang w:val="fr-FR"/>
              </w:rPr>
              <w:t xml:space="preserve"> utilisé </w:t>
            </w:r>
            <w:r w:rsidRPr="00BD6AD1">
              <w:rPr>
                <w:spacing w:val="-6"/>
                <w:lang w:val="fr-FR"/>
              </w:rPr>
              <w:t xml:space="preserve">dans les </w:t>
            </w:r>
            <w:r w:rsidRPr="00BD6AD1">
              <w:rPr>
                <w:spacing w:val="-2"/>
                <w:lang w:val="fr-FR"/>
              </w:rPr>
              <w:t>accumulateurs</w:t>
            </w:r>
            <w:r w:rsidRPr="00BD6AD1">
              <w:rPr>
                <w:spacing w:val="-6"/>
                <w:lang w:val="fr-FR"/>
              </w:rPr>
              <w:t xml:space="preserve"> au sodium-bêta), rend le risque </w:t>
            </w:r>
            <w:r w:rsidRPr="00BD6AD1">
              <w:rPr>
                <w:spacing w:val="-2"/>
                <w:lang w:val="fr-FR"/>
              </w:rPr>
              <w:t>d’incendie négligeable</w:t>
            </w:r>
            <w:r w:rsidRPr="00BD6AD1">
              <w:rPr>
                <w:spacing w:val="-6"/>
                <w:lang w:val="fr-FR"/>
              </w:rPr>
              <w:t>.</w:t>
            </w:r>
          </w:p>
        </w:tc>
      </w:tr>
      <w:tr w:rsidR="007D7E4B">
        <w:trPr>
          <w:jc w:val="center"/>
        </w:trPr>
        <w:tc>
          <w:tcPr>
            <w:tcW w:w="9637" w:type="dxa"/>
            <w:shd w:val="clear" w:color="auto" w:fill="auto"/>
          </w:tcPr>
          <w:p w:rsidR="007D7E4B" w:rsidRPr="00761156" w:rsidRDefault="007D7E4B" w:rsidP="00BD6AD1">
            <w:pPr>
              <w:pStyle w:val="SingleTxtG"/>
              <w:ind w:left="2523" w:hanging="2268"/>
              <w:rPr>
                <w:b/>
                <w:bCs/>
                <w:lang w:val="fr-FR"/>
              </w:rPr>
            </w:pPr>
            <w:r w:rsidRPr="00761156">
              <w:rPr>
                <w:b/>
                <w:bCs/>
                <w:lang w:val="fr-FR"/>
              </w:rPr>
              <w:t>Mesure à prendre :</w:t>
            </w:r>
            <w:r w:rsidRPr="00761156">
              <w:rPr>
                <w:lang w:val="fr-FR"/>
              </w:rPr>
              <w:tab/>
              <w:t>Exclure du champ d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application du Règlement le transport des accumulateurs ou des éléments d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accumulateurs contenant du tétrachlorure d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aluminium et de sodium à froid.</w:t>
            </w:r>
          </w:p>
        </w:tc>
      </w:tr>
      <w:tr w:rsidR="007D7E4B">
        <w:trPr>
          <w:jc w:val="center"/>
        </w:trPr>
        <w:tc>
          <w:tcPr>
            <w:tcW w:w="9637" w:type="dxa"/>
            <w:shd w:val="clear" w:color="auto" w:fill="auto"/>
          </w:tcPr>
          <w:p w:rsidR="00DC32DD" w:rsidRPr="00761156" w:rsidRDefault="007D7E4B" w:rsidP="00DC32DD">
            <w:pPr>
              <w:pStyle w:val="SingleTxtG"/>
              <w:ind w:left="2523" w:hanging="2268"/>
              <w:jc w:val="left"/>
              <w:rPr>
                <w:b/>
                <w:bCs/>
                <w:lang w:val="fr-FR"/>
              </w:rPr>
            </w:pPr>
            <w:r w:rsidRPr="00761156">
              <w:rPr>
                <w:b/>
                <w:bCs/>
                <w:lang w:val="fr-FR"/>
              </w:rPr>
              <w:t>Documents de référence :</w:t>
            </w:r>
            <w:r w:rsidRPr="00761156">
              <w:rPr>
                <w:lang w:val="fr-FR"/>
              </w:rPr>
              <w:tab/>
              <w:t>ST/SG/AC.10/C.3/R.294 (États-Unis d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Amérique), ST/SG/AC.10/C.3/2010/30 (États-Unis d</w:t>
            </w:r>
            <w:r>
              <w:rPr>
                <w:lang w:val="fr-FR"/>
              </w:rPr>
              <w:t>’</w:t>
            </w:r>
            <w:r w:rsidRPr="00761156">
              <w:rPr>
                <w:lang w:val="fr-FR"/>
              </w:rPr>
              <w:t>Amérique)</w:t>
            </w:r>
            <w:r w:rsidR="00DC32DD">
              <w:rPr>
                <w:lang w:val="fr-FR"/>
              </w:rPr>
              <w:br/>
            </w:r>
            <w:r w:rsidR="00DC32DD" w:rsidRPr="00761156">
              <w:rPr>
                <w:lang w:val="fr-FR"/>
              </w:rPr>
              <w:t>SG/AC.10/C.3/106, paragraphes 83 à 85</w:t>
            </w:r>
            <w:r w:rsidR="00DC32DD">
              <w:rPr>
                <w:lang w:val="fr-FR"/>
              </w:rPr>
              <w:br/>
            </w:r>
            <w:r w:rsidR="00DC32DD" w:rsidRPr="00761156">
              <w:rPr>
                <w:lang w:val="fr-FR"/>
              </w:rPr>
              <w:t xml:space="preserve">Documents informels INF.45 </w:t>
            </w:r>
            <w:r w:rsidR="00DC32DD">
              <w:rPr>
                <w:lang w:val="fr-FR"/>
              </w:rPr>
              <w:t>e</w:t>
            </w:r>
            <w:r w:rsidR="00DC32DD" w:rsidRPr="00761156">
              <w:rPr>
                <w:lang w:val="fr-FR"/>
              </w:rPr>
              <w:t>t 45/Add.1 (cinquante-troisième session) (Suisse)</w:t>
            </w:r>
          </w:p>
        </w:tc>
      </w:tr>
      <w:tr w:rsidR="007D7E4B">
        <w:trPr>
          <w:jc w:val="center"/>
        </w:trPr>
        <w:tc>
          <w:tcPr>
            <w:tcW w:w="9637" w:type="dxa"/>
            <w:shd w:val="clear" w:color="auto" w:fill="auto"/>
          </w:tcPr>
          <w:p w:rsidR="007D7E4B" w:rsidRPr="00761156" w:rsidRDefault="007D7E4B" w:rsidP="00BD6AD1">
            <w:pPr>
              <w:ind w:left="2552"/>
              <w:rPr>
                <w:b/>
                <w:bCs/>
                <w:lang w:val="fr-FR"/>
              </w:rPr>
            </w:pPr>
          </w:p>
        </w:tc>
      </w:tr>
    </w:tbl>
    <w:p w:rsidR="000720B4" w:rsidRPr="007D7E4B" w:rsidRDefault="00B510EB" w:rsidP="00BD6AD1">
      <w:pPr>
        <w:pStyle w:val="HChG"/>
      </w:pPr>
      <w:r w:rsidRPr="007D7E4B">
        <w:rPr>
          <w:lang w:val="fr-FR"/>
        </w:rPr>
        <w:lastRenderedPageBreak/>
        <w:tab/>
      </w:r>
      <w:r w:rsidRPr="007D7E4B">
        <w:rPr>
          <w:lang w:val="fr-FR"/>
        </w:rPr>
        <w:tab/>
        <w:t>Introduction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1.</w:t>
      </w:r>
      <w:r w:rsidRPr="007D7E4B">
        <w:rPr>
          <w:lang w:val="fr-FR"/>
        </w:rPr>
        <w:tab/>
        <w:t>À</w:t>
      </w:r>
      <w:r w:rsidRPr="007D7E4B">
        <w:rPr>
          <w:lang w:val="fr-FR"/>
        </w:rPr>
        <w:t xml:space="preserve"> la cinquante-troisième session du Sous-Comité, l</w:t>
      </w:r>
      <w:r w:rsidR="007D7E4B">
        <w:rPr>
          <w:lang w:val="fr-FR"/>
        </w:rPr>
        <w:t>’</w:t>
      </w:r>
      <w:r w:rsidRPr="007D7E4B">
        <w:rPr>
          <w:lang w:val="fr-FR"/>
        </w:rPr>
        <w:t>expert de la Suisse a présenté les documents informels INF.45 et INF.45/Add.1, dans lesquels il était proposé d</w:t>
      </w:r>
      <w:r w:rsidR="007D7E4B">
        <w:rPr>
          <w:lang w:val="fr-FR"/>
        </w:rPr>
        <w:t>’</w:t>
      </w:r>
      <w:r w:rsidRPr="007D7E4B">
        <w:rPr>
          <w:lang w:val="fr-FR"/>
        </w:rPr>
        <w:t>exclure le transport des accumulateurs et des éléments d</w:t>
      </w:r>
      <w:r w:rsidR="007D7E4B">
        <w:rPr>
          <w:lang w:val="fr-FR"/>
        </w:rPr>
        <w:t>’</w:t>
      </w:r>
      <w:r w:rsidRPr="007D7E4B">
        <w:rPr>
          <w:lang w:val="fr-FR"/>
        </w:rPr>
        <w:t>accumulateurs contenant du tétrachlor</w:t>
      </w:r>
      <w:r w:rsidRPr="007D7E4B">
        <w:rPr>
          <w:lang w:val="fr-FR"/>
        </w:rPr>
        <w:t>ure d</w:t>
      </w:r>
      <w:r w:rsidR="007D7E4B">
        <w:rPr>
          <w:lang w:val="fr-FR"/>
        </w:rPr>
        <w:t>’</w:t>
      </w:r>
      <w:r w:rsidRPr="007D7E4B">
        <w:rPr>
          <w:lang w:val="fr-FR"/>
        </w:rPr>
        <w:t>aluminium et de sodium à froid du champ d</w:t>
      </w:r>
      <w:r w:rsidR="007D7E4B">
        <w:rPr>
          <w:lang w:val="fr-FR"/>
        </w:rPr>
        <w:t>’</w:t>
      </w:r>
      <w:r w:rsidRPr="007D7E4B">
        <w:rPr>
          <w:lang w:val="fr-FR"/>
        </w:rPr>
        <w:t>application du Règlement. Ces docume</w:t>
      </w:r>
      <w:r w:rsidR="00BD6AD1">
        <w:rPr>
          <w:lang w:val="fr-FR"/>
        </w:rPr>
        <w:t>nts informels :</w:t>
      </w:r>
    </w:p>
    <w:p w:rsidR="000720B4" w:rsidRPr="007D7E4B" w:rsidRDefault="00B510EB" w:rsidP="00BD6AD1">
      <w:pPr>
        <w:pStyle w:val="SingleTxtG"/>
        <w:ind w:firstLine="567"/>
      </w:pPr>
      <w:r w:rsidRPr="007D7E4B">
        <w:rPr>
          <w:lang w:val="fr-FR"/>
        </w:rPr>
        <w:t>a)</w:t>
      </w:r>
      <w:r w:rsidRPr="007D7E4B">
        <w:rPr>
          <w:lang w:val="fr-FR"/>
        </w:rPr>
        <w:tab/>
        <w:t>Retraçaient l</w:t>
      </w:r>
      <w:r w:rsidR="007D7E4B">
        <w:rPr>
          <w:lang w:val="fr-FR"/>
        </w:rPr>
        <w:t>’</w:t>
      </w:r>
      <w:r w:rsidRPr="007D7E4B">
        <w:rPr>
          <w:lang w:val="fr-FR"/>
        </w:rPr>
        <w:t>évolution de la technologie des batteries au sodium-chlorure de nickel et fournissaient des informations sur leur classification sous le N</w:t>
      </w:r>
      <w:r w:rsidRPr="007D7E4B">
        <w:rPr>
          <w:vertAlign w:val="superscript"/>
          <w:lang w:val="fr-FR"/>
        </w:rPr>
        <w:t>o</w:t>
      </w:r>
      <w:r w:rsidRPr="007D7E4B">
        <w:rPr>
          <w:lang w:val="fr-FR"/>
        </w:rPr>
        <w:t> ONU 3292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SingleTxtG"/>
        <w:ind w:firstLine="567"/>
      </w:pPr>
      <w:r w:rsidRPr="007D7E4B">
        <w:rPr>
          <w:lang w:val="fr-FR"/>
        </w:rPr>
        <w:t xml:space="preserve">b) </w:t>
      </w:r>
      <w:r w:rsidRPr="007D7E4B">
        <w:rPr>
          <w:lang w:val="fr-FR"/>
        </w:rPr>
        <w:tab/>
        <w:t>Présentaient le contexte de la technologie et de la composition des batteries au sodium-chlorure de nickel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SingleTxtG"/>
        <w:ind w:firstLine="567"/>
      </w:pPr>
      <w:r w:rsidRPr="007D7E4B">
        <w:rPr>
          <w:lang w:val="fr-FR"/>
        </w:rPr>
        <w:t>c)</w:t>
      </w:r>
      <w:r w:rsidRPr="007D7E4B">
        <w:rPr>
          <w:lang w:val="fr-FR"/>
        </w:rPr>
        <w:tab/>
        <w:t>Expliquaient la différence par rapport à la technologie des batteries au</w:t>
      </w:r>
      <w:r w:rsidR="00BD6AD1">
        <w:rPr>
          <w:lang w:val="fr-FR"/>
        </w:rPr>
        <w:t xml:space="preserve"> sodium-soufre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SingleTxtG"/>
        <w:ind w:firstLine="567"/>
      </w:pPr>
      <w:r w:rsidRPr="007D7E4B">
        <w:rPr>
          <w:lang w:val="fr-FR"/>
        </w:rPr>
        <w:t>d)</w:t>
      </w:r>
      <w:r w:rsidRPr="007D7E4B">
        <w:rPr>
          <w:lang w:val="fr-FR"/>
        </w:rPr>
        <w:tab/>
        <w:t>Expliquaient l</w:t>
      </w:r>
      <w:r w:rsidR="007D7E4B">
        <w:rPr>
          <w:lang w:val="fr-FR"/>
        </w:rPr>
        <w:t>’</w:t>
      </w:r>
      <w:r w:rsidRPr="007D7E4B">
        <w:rPr>
          <w:lang w:val="fr-FR"/>
        </w:rPr>
        <w:t>état de « non-batteri</w:t>
      </w:r>
      <w:r w:rsidRPr="007D7E4B">
        <w:rPr>
          <w:lang w:val="fr-FR"/>
        </w:rPr>
        <w:t>e » à « froid » (température inférieure à 90</w:t>
      </w:r>
      <w:r w:rsidR="00BD6AD1">
        <w:rPr>
          <w:lang w:val="fr-FR"/>
        </w:rPr>
        <w:t> </w:t>
      </w:r>
      <w:r w:rsidRPr="007D7E4B">
        <w:rPr>
          <w:lang w:val="fr-FR"/>
        </w:rPr>
        <w:t xml:space="preserve">°C), étant donné que le courant ne peut pas circuler dans la </w:t>
      </w:r>
      <w:r w:rsidR="00BD6AD1">
        <w:rPr>
          <w:lang w:val="fr-FR"/>
        </w:rPr>
        <w:t>batterie à température ambiante </w:t>
      </w:r>
      <w:r w:rsidRPr="007D7E4B">
        <w:rPr>
          <w:lang w:val="fr-FR"/>
        </w:rPr>
        <w:t>;</w:t>
      </w:r>
    </w:p>
    <w:p w:rsidR="000720B4" w:rsidRPr="007D7E4B" w:rsidRDefault="00BD6AD1" w:rsidP="00BD6AD1">
      <w:pPr>
        <w:pStyle w:val="SingleTxtG"/>
        <w:ind w:firstLine="567"/>
      </w:pPr>
      <w:r>
        <w:rPr>
          <w:lang w:val="fr-FR"/>
        </w:rPr>
        <w:t>e)</w:t>
      </w:r>
      <w:r w:rsidR="00B510EB" w:rsidRPr="007D7E4B">
        <w:rPr>
          <w:lang w:val="fr-FR"/>
        </w:rPr>
        <w:tab/>
        <w:t>Donnaient un aperçu du marché et des différentes utilisations, tout en indiquant que la demande d</w:t>
      </w:r>
      <w:r w:rsidR="007D7E4B">
        <w:rPr>
          <w:lang w:val="fr-FR"/>
        </w:rPr>
        <w:t>’</w:t>
      </w:r>
      <w:r w:rsidR="00B510EB" w:rsidRPr="007D7E4B">
        <w:rPr>
          <w:lang w:val="fr-FR"/>
        </w:rPr>
        <w:t>accumulateurs d</w:t>
      </w:r>
      <w:r w:rsidR="00B510EB" w:rsidRPr="007D7E4B">
        <w:rPr>
          <w:lang w:val="fr-FR"/>
        </w:rPr>
        <w:t>evrait fortement augmenter ces prochaines années</w:t>
      </w:r>
      <w:r>
        <w:rPr>
          <w:lang w:val="fr-FR"/>
        </w:rPr>
        <w:t> </w:t>
      </w:r>
      <w:r w:rsidR="00B510EB" w:rsidRPr="007D7E4B">
        <w:rPr>
          <w:lang w:val="fr-FR"/>
        </w:rPr>
        <w:t xml:space="preserve">; et </w:t>
      </w:r>
    </w:p>
    <w:p w:rsidR="000720B4" w:rsidRPr="007D7E4B" w:rsidRDefault="00B510EB" w:rsidP="00BD6AD1">
      <w:pPr>
        <w:pStyle w:val="SingleTxtG"/>
        <w:ind w:firstLine="567"/>
      </w:pPr>
      <w:r w:rsidRPr="007D7E4B">
        <w:rPr>
          <w:lang w:val="fr-FR"/>
        </w:rPr>
        <w:t>f)</w:t>
      </w:r>
      <w:r w:rsidRPr="007D7E4B">
        <w:rPr>
          <w:lang w:val="fr-FR"/>
        </w:rPr>
        <w:tab/>
        <w:t>Présentaient d</w:t>
      </w:r>
      <w:r w:rsidR="007D7E4B">
        <w:rPr>
          <w:lang w:val="fr-FR"/>
        </w:rPr>
        <w:t>’</w:t>
      </w:r>
      <w:r w:rsidRPr="007D7E4B">
        <w:rPr>
          <w:lang w:val="fr-FR"/>
        </w:rPr>
        <w:t>autres éléments à prendre en considération sur le plan de la sécurité au cours de l</w:t>
      </w:r>
      <w:r w:rsidR="007D7E4B">
        <w:rPr>
          <w:lang w:val="fr-FR"/>
        </w:rPr>
        <w:t>’</w:t>
      </w:r>
      <w:r w:rsidRPr="007D7E4B">
        <w:rPr>
          <w:lang w:val="fr-FR"/>
        </w:rPr>
        <w:t>utilisation et des exemples d</w:t>
      </w:r>
      <w:r w:rsidR="007D7E4B">
        <w:rPr>
          <w:lang w:val="fr-FR"/>
        </w:rPr>
        <w:t>’</w:t>
      </w:r>
      <w:r w:rsidRPr="007D7E4B">
        <w:rPr>
          <w:lang w:val="fr-FR"/>
        </w:rPr>
        <w:t>essais effectués.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2.</w:t>
      </w:r>
      <w:r w:rsidRPr="007D7E4B">
        <w:rPr>
          <w:lang w:val="fr-FR"/>
        </w:rPr>
        <w:tab/>
        <w:t>Au cours des discussions, le risque d</w:t>
      </w:r>
      <w:r w:rsidR="007D7E4B">
        <w:rPr>
          <w:lang w:val="fr-FR"/>
        </w:rPr>
        <w:t>’</w:t>
      </w:r>
      <w:r w:rsidRPr="007D7E4B">
        <w:rPr>
          <w:lang w:val="fr-FR"/>
        </w:rPr>
        <w:t>une réacti</w:t>
      </w:r>
      <w:r w:rsidRPr="007D7E4B">
        <w:rPr>
          <w:lang w:val="fr-FR"/>
        </w:rPr>
        <w:t>on électrochimique lors du transport à froid a été écarté et les experts qui sont intervenus ont constaté qu</w:t>
      </w:r>
      <w:r w:rsidR="007D7E4B">
        <w:rPr>
          <w:lang w:val="fr-FR"/>
        </w:rPr>
        <w:t>’</w:t>
      </w:r>
      <w:r w:rsidRPr="007D7E4B">
        <w:rPr>
          <w:lang w:val="fr-FR"/>
        </w:rPr>
        <w:t>une certaine quantité de sodium restait dans la batterie même lorsqu</w:t>
      </w:r>
      <w:r w:rsidR="007D7E4B">
        <w:rPr>
          <w:lang w:val="fr-FR"/>
        </w:rPr>
        <w:t>’</w:t>
      </w:r>
      <w:r w:rsidRPr="007D7E4B">
        <w:rPr>
          <w:lang w:val="fr-FR"/>
        </w:rPr>
        <w:t>elle était déchargée, et donc que le risque chimique ne pouvait pas être écart</w:t>
      </w:r>
      <w:r w:rsidRPr="007D7E4B">
        <w:rPr>
          <w:lang w:val="fr-FR"/>
        </w:rPr>
        <w:t>é.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3.</w:t>
      </w:r>
      <w:r w:rsidRPr="007D7E4B">
        <w:rPr>
          <w:lang w:val="fr-FR"/>
        </w:rPr>
        <w:tab/>
        <w:t>La Suisse a fait observer qu</w:t>
      </w:r>
      <w:r w:rsidR="007D7E4B">
        <w:rPr>
          <w:lang w:val="fr-FR"/>
        </w:rPr>
        <w:t>’</w:t>
      </w:r>
      <w:r w:rsidRPr="007D7E4B">
        <w:rPr>
          <w:lang w:val="fr-FR"/>
        </w:rPr>
        <w:t>aucun incident durant le transport des piles et batteries de ce type n</w:t>
      </w:r>
      <w:r w:rsidR="007D7E4B">
        <w:rPr>
          <w:lang w:val="fr-FR"/>
        </w:rPr>
        <w:t>’</w:t>
      </w:r>
      <w:r w:rsidRPr="007D7E4B">
        <w:rPr>
          <w:lang w:val="fr-FR"/>
        </w:rPr>
        <w:t>avait été signalé pendant de nombreuses années. Cette constatation sur le plan de la sécurité devait être prise en compte dans le cadre de l</w:t>
      </w:r>
      <w:r w:rsidR="007D7E4B">
        <w:rPr>
          <w:lang w:val="fr-FR"/>
        </w:rPr>
        <w:t>’</w:t>
      </w:r>
      <w:r w:rsidRPr="007D7E4B">
        <w:rPr>
          <w:lang w:val="fr-FR"/>
        </w:rPr>
        <w:t>examen de</w:t>
      </w:r>
      <w:r w:rsidRPr="007D7E4B">
        <w:rPr>
          <w:lang w:val="fr-FR"/>
        </w:rPr>
        <w:t xml:space="preserve"> prescriptions de transport moins strictes.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4.</w:t>
      </w:r>
      <w:r w:rsidRPr="007D7E4B">
        <w:rPr>
          <w:lang w:val="fr-FR"/>
        </w:rPr>
        <w:tab/>
        <w:t>En ce qui concerne les risques associés à la présence de sodium métallique pendant le transport, il convient de rappeler que la quantité de sodium dans la batterie lorsqu</w:t>
      </w:r>
      <w:r w:rsidR="007D7E4B">
        <w:rPr>
          <w:lang w:val="fr-FR"/>
        </w:rPr>
        <w:t>’</w:t>
      </w:r>
      <w:r w:rsidRPr="007D7E4B">
        <w:rPr>
          <w:lang w:val="fr-FR"/>
        </w:rPr>
        <w:t>elle est déchargée est d</w:t>
      </w:r>
      <w:r w:rsidR="007D7E4B">
        <w:rPr>
          <w:lang w:val="fr-FR"/>
        </w:rPr>
        <w:t>’</w:t>
      </w:r>
      <w:r w:rsidR="00BD6AD1">
        <w:rPr>
          <w:lang w:val="fr-FR"/>
        </w:rPr>
        <w:t>environ 7 g (1 </w:t>
      </w:r>
      <w:r w:rsidRPr="007D7E4B">
        <w:rPr>
          <w:lang w:val="fr-FR"/>
        </w:rPr>
        <w:t>% du poids de la pile), alors qu</w:t>
      </w:r>
      <w:r w:rsidR="007D7E4B">
        <w:rPr>
          <w:lang w:val="fr-FR"/>
        </w:rPr>
        <w:t>’</w:t>
      </w:r>
      <w:r w:rsidR="00BD6AD1">
        <w:rPr>
          <w:lang w:val="fr-FR"/>
        </w:rPr>
        <w:t>elle est de 40 </w:t>
      </w:r>
      <w:r w:rsidRPr="007D7E4B">
        <w:rPr>
          <w:lang w:val="fr-FR"/>
        </w:rPr>
        <w:t>g lorsque la batterie est chargée (6</w:t>
      </w:r>
      <w:r w:rsidR="00BD6AD1">
        <w:rPr>
          <w:lang w:val="fr-FR"/>
        </w:rPr>
        <w:t> % du poids de la pile).</w:t>
      </w:r>
    </w:p>
    <w:p w:rsidR="000720B4" w:rsidRPr="007D7E4B" w:rsidRDefault="00B510EB" w:rsidP="00BD6AD1">
      <w:pPr>
        <w:pStyle w:val="SingleTxtG"/>
      </w:pPr>
      <w:r w:rsidRPr="007D7E4B">
        <w:rPr>
          <w:lang w:val="fr-FR"/>
        </w:rPr>
        <w:t>5.</w:t>
      </w:r>
      <w:r w:rsidRPr="007D7E4B">
        <w:rPr>
          <w:lang w:val="fr-FR"/>
        </w:rPr>
        <w:tab/>
        <w:t>Une batterie n</w:t>
      </w:r>
      <w:r w:rsidR="007D7E4B">
        <w:rPr>
          <w:lang w:val="fr-FR"/>
        </w:rPr>
        <w:t>’</w:t>
      </w:r>
      <w:r w:rsidRPr="007D7E4B">
        <w:rPr>
          <w:lang w:val="fr-FR"/>
        </w:rPr>
        <w:t>est pas un simple récipient contenant des produits chimiques, mais un système complexe conçu pour résister aux chocs et aux acc</w:t>
      </w:r>
      <w:r w:rsidRPr="007D7E4B">
        <w:rPr>
          <w:lang w:val="fr-FR"/>
        </w:rPr>
        <w:t xml:space="preserve">idents, ayant subi avec succès </w:t>
      </w:r>
      <w:r w:rsidRPr="00BD6AD1">
        <w:rPr>
          <w:spacing w:val="-2"/>
          <w:lang w:val="fr-FR"/>
        </w:rPr>
        <w:t xml:space="preserve">les épreuves exécutées par des organismes tiers de </w:t>
      </w:r>
      <w:r w:rsidRPr="00BD6AD1">
        <w:rPr>
          <w:spacing w:val="-2"/>
        </w:rPr>
        <w:t>compétence</w:t>
      </w:r>
      <w:r w:rsidRPr="007D7E4B">
        <w:rPr>
          <w:lang w:val="fr-FR"/>
        </w:rPr>
        <w:t xml:space="preserve"> internationale conformément à des </w:t>
      </w:r>
      <w:r w:rsidR="00BD6AD1">
        <w:rPr>
          <w:lang w:val="fr-FR"/>
        </w:rPr>
        <w:t>normes précises, en particulier </w:t>
      </w:r>
      <w:r w:rsidRPr="007D7E4B">
        <w:rPr>
          <w:lang w:val="fr-FR"/>
        </w:rPr>
        <w:t>: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d</w:t>
      </w:r>
      <w:r w:rsidR="007D7E4B">
        <w:rPr>
          <w:lang w:val="fr-FR"/>
        </w:rPr>
        <w:t>’</w:t>
      </w:r>
      <w:r w:rsidRPr="007D7E4B">
        <w:rPr>
          <w:lang w:val="fr-FR"/>
        </w:rPr>
        <w:t>enfoncement des glissières de sécurité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de chute</w:t>
      </w:r>
      <w:r w:rsidR="00BD6AD1">
        <w:rPr>
          <w:lang w:val="fr-FR"/>
        </w:rPr>
        <w:t xml:space="preserve"> (10 </w:t>
      </w:r>
      <w:r w:rsidRPr="007D7E4B">
        <w:rPr>
          <w:lang w:val="fr-FR"/>
        </w:rPr>
        <w:t>m)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épreuve de </w:t>
      </w:r>
      <w:r w:rsidRPr="007D7E4B">
        <w:rPr>
          <w:lang w:val="fr-FR"/>
        </w:rPr>
        <w:t>choc Euro NCAP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de vibration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d</w:t>
      </w:r>
      <w:r w:rsidR="007D7E4B">
        <w:rPr>
          <w:lang w:val="fr-FR"/>
        </w:rPr>
        <w:t>’</w:t>
      </w:r>
      <w:r w:rsidRPr="007D7E4B">
        <w:rPr>
          <w:lang w:val="fr-FR"/>
        </w:rPr>
        <w:t>exposition au feu d</w:t>
      </w:r>
      <w:r w:rsidR="007D7E4B">
        <w:rPr>
          <w:lang w:val="fr-FR"/>
        </w:rPr>
        <w:t>’</w:t>
      </w:r>
      <w:r w:rsidRPr="007D7E4B">
        <w:rPr>
          <w:lang w:val="fr-FR"/>
        </w:rPr>
        <w:t>essence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d</w:t>
      </w:r>
      <w:r w:rsidR="007D7E4B">
        <w:rPr>
          <w:lang w:val="fr-FR"/>
        </w:rPr>
        <w:t>’</w:t>
      </w:r>
      <w:r w:rsidRPr="007D7E4B">
        <w:rPr>
          <w:lang w:val="fr-FR"/>
        </w:rPr>
        <w:t>immersion dans l</w:t>
      </w:r>
      <w:r w:rsidR="007D7E4B">
        <w:rPr>
          <w:lang w:val="fr-FR"/>
        </w:rPr>
        <w:t>’</w:t>
      </w:r>
      <w:r w:rsidR="00BD6AD1">
        <w:rPr>
          <w:lang w:val="fr-FR"/>
        </w:rPr>
        <w:t>eau salée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d</w:t>
      </w:r>
      <w:r w:rsidR="007D7E4B">
        <w:rPr>
          <w:lang w:val="fr-FR"/>
        </w:rPr>
        <w:t>’</w:t>
      </w:r>
      <w:r w:rsidRPr="007D7E4B">
        <w:rPr>
          <w:lang w:val="fr-FR"/>
        </w:rPr>
        <w:t>extinction d</w:t>
      </w:r>
      <w:r w:rsidR="007D7E4B">
        <w:rPr>
          <w:lang w:val="fr-FR"/>
        </w:rPr>
        <w:t>’</w:t>
      </w:r>
      <w:r w:rsidRPr="007D7E4B">
        <w:rPr>
          <w:lang w:val="fr-FR"/>
        </w:rPr>
        <w:t>incendie sur une batterie endommagée</w:t>
      </w:r>
      <w:r w:rsidR="00BD6AD1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="00BD6AD1">
        <w:rPr>
          <w:lang w:val="fr-FR"/>
        </w:rPr>
        <w:t xml:space="preserve">épreuve de choc </w:t>
      </w:r>
      <w:r w:rsidRPr="007D7E4B">
        <w:rPr>
          <w:lang w:val="fr-FR"/>
        </w:rPr>
        <w:t>;</w:t>
      </w:r>
    </w:p>
    <w:p w:rsidR="000720B4" w:rsidRPr="007D7E4B" w:rsidRDefault="00B510EB" w:rsidP="00BD6AD1">
      <w:pPr>
        <w:pStyle w:val="Bullet1G"/>
      </w:pPr>
      <w:r w:rsidRPr="007D7E4B">
        <w:rPr>
          <w:lang w:val="fr-FR"/>
        </w:rPr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d</w:t>
      </w:r>
      <w:r w:rsidR="007D7E4B">
        <w:rPr>
          <w:lang w:val="fr-FR"/>
        </w:rPr>
        <w:t>’</w:t>
      </w:r>
      <w:r w:rsidRPr="007D7E4B">
        <w:rPr>
          <w:lang w:val="fr-FR"/>
        </w:rPr>
        <w:t>impact.</w:t>
      </w:r>
    </w:p>
    <w:p w:rsidR="000720B4" w:rsidRPr="007D7E4B" w:rsidRDefault="00B510EB" w:rsidP="00BD6AD1">
      <w:pPr>
        <w:pStyle w:val="SingleTxtG"/>
      </w:pPr>
      <w:r w:rsidRPr="007D7E4B">
        <w:rPr>
          <w:lang w:val="fr-FR"/>
        </w:rPr>
        <w:t>6.</w:t>
      </w:r>
      <w:r w:rsidRPr="007D7E4B">
        <w:rPr>
          <w:lang w:val="fr-FR"/>
        </w:rPr>
        <w:tab/>
        <w:t xml:space="preserve">Toutefois, en comparant </w:t>
      </w:r>
      <w:r w:rsidRPr="007D7E4B">
        <w:rPr>
          <w:lang w:val="fr-FR"/>
        </w:rPr>
        <w:t>les dispositions relatives au transport des batteries au sodium-chlorure de nickel à celles d</w:t>
      </w:r>
      <w:r w:rsidR="007D7E4B">
        <w:rPr>
          <w:lang w:val="fr-FR"/>
        </w:rPr>
        <w:t>’</w:t>
      </w:r>
      <w:r w:rsidRPr="007D7E4B">
        <w:rPr>
          <w:lang w:val="fr-FR"/>
        </w:rPr>
        <w:t>autres types de batteries, on constate qu</w:t>
      </w:r>
      <w:r w:rsidR="007D7E4B">
        <w:rPr>
          <w:lang w:val="fr-FR"/>
        </w:rPr>
        <w:t>’</w:t>
      </w:r>
      <w:r w:rsidRPr="007D7E4B">
        <w:rPr>
          <w:lang w:val="fr-FR"/>
        </w:rPr>
        <w:t>elles satisfont aux prescriptions de sécurité, ce qui peut expliquer l</w:t>
      </w:r>
      <w:r w:rsidR="007D7E4B">
        <w:rPr>
          <w:lang w:val="fr-FR"/>
        </w:rPr>
        <w:t>’</w:t>
      </w:r>
      <w:r w:rsidRPr="007D7E4B">
        <w:rPr>
          <w:lang w:val="fr-FR"/>
        </w:rPr>
        <w:t>absence de rapports d</w:t>
      </w:r>
      <w:r w:rsidR="007D7E4B">
        <w:rPr>
          <w:lang w:val="fr-FR"/>
        </w:rPr>
        <w:t>’</w:t>
      </w:r>
      <w:r w:rsidRPr="007D7E4B">
        <w:rPr>
          <w:lang w:val="fr-FR"/>
        </w:rPr>
        <w:t>accident.</w:t>
      </w:r>
    </w:p>
    <w:p w:rsidR="000720B4" w:rsidRPr="007D7E4B" w:rsidRDefault="00B510EB" w:rsidP="00BD6AD1">
      <w:pPr>
        <w:pStyle w:val="H1G"/>
      </w:pPr>
      <w:r w:rsidRPr="007D7E4B">
        <w:rPr>
          <w:lang w:val="fr-FR"/>
        </w:rPr>
        <w:lastRenderedPageBreak/>
        <w:tab/>
      </w:r>
      <w:r w:rsidRPr="007D7E4B">
        <w:rPr>
          <w:lang w:val="fr-FR"/>
        </w:rPr>
        <w:tab/>
        <w:t>Emballages</w:t>
      </w:r>
    </w:p>
    <w:p w:rsidR="000720B4" w:rsidRPr="007D7E4B" w:rsidRDefault="00B510EB" w:rsidP="00BD6AD1">
      <w:pPr>
        <w:pStyle w:val="SingleTxtG"/>
      </w:pPr>
      <w:r w:rsidRPr="007D7E4B">
        <w:rPr>
          <w:lang w:val="fr-FR"/>
        </w:rPr>
        <w:t>7.</w:t>
      </w:r>
      <w:r w:rsidRPr="007D7E4B">
        <w:rPr>
          <w:lang w:val="fr-FR"/>
        </w:rPr>
        <w:tab/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équipement contenant la batterie au sodium-chlorure de nickel est très robuste et, si on le compare aux emballages requis pour le sodium métallique, on constate ce qui suit.</w:t>
      </w:r>
    </w:p>
    <w:p w:rsidR="000720B4" w:rsidRPr="007D7E4B" w:rsidRDefault="00B510EB" w:rsidP="00BD6AD1">
      <w:pPr>
        <w:pStyle w:val="SingleTxtG"/>
      </w:pPr>
      <w:r w:rsidRPr="007D7E4B">
        <w:rPr>
          <w:lang w:val="fr-FR"/>
        </w:rPr>
        <w:t>8.</w:t>
      </w:r>
      <w:r w:rsidRPr="007D7E4B">
        <w:rPr>
          <w:lang w:val="fr-FR"/>
        </w:rPr>
        <w:tab/>
        <w:t>Pour le sodium métallique (</w:t>
      </w:r>
      <w:r w:rsidR="00BD6AD1">
        <w:rPr>
          <w:lang w:val="fr-FR"/>
        </w:rPr>
        <w:t>No ONU </w:t>
      </w:r>
      <w:r w:rsidRPr="007D7E4B">
        <w:rPr>
          <w:lang w:val="fr-FR"/>
        </w:rPr>
        <w:t>1428), un emballage conforme aux critères du</w:t>
      </w:r>
      <w:r w:rsidRPr="007D7E4B">
        <w:rPr>
          <w:lang w:val="fr-FR"/>
        </w:rPr>
        <w:t xml:space="preserve"> groupe d</w:t>
      </w:r>
      <w:r w:rsidR="007D7E4B">
        <w:rPr>
          <w:lang w:val="fr-FR"/>
        </w:rPr>
        <w:t>’</w:t>
      </w:r>
      <w:r w:rsidRPr="007D7E4B">
        <w:rPr>
          <w:lang w:val="fr-FR"/>
        </w:rPr>
        <w:t>emballage I, qui doit subir avec succès les épreuves de chute d</w:t>
      </w:r>
      <w:r w:rsidR="007D7E4B">
        <w:rPr>
          <w:lang w:val="fr-FR"/>
        </w:rPr>
        <w:t>’</w:t>
      </w:r>
      <w:r w:rsidRPr="007D7E4B">
        <w:rPr>
          <w:lang w:val="fr-FR"/>
        </w:rPr>
        <w:t>une hauteur de 1,8</w:t>
      </w:r>
      <w:r w:rsidR="00BD6AD1">
        <w:rPr>
          <w:lang w:val="fr-FR"/>
        </w:rPr>
        <w:t> </w:t>
      </w:r>
      <w:r w:rsidRPr="007D7E4B">
        <w:rPr>
          <w:lang w:val="fr-FR"/>
        </w:rPr>
        <w:t>m, est requis. En ce qui concerne les dispositions d</w:t>
      </w:r>
      <w:r w:rsidR="007D7E4B">
        <w:rPr>
          <w:lang w:val="fr-FR"/>
        </w:rPr>
        <w:t>’</w:t>
      </w:r>
      <w:r w:rsidRPr="007D7E4B">
        <w:rPr>
          <w:lang w:val="fr-FR"/>
        </w:rPr>
        <w:t>emballage, il est à noter que, conformément à l</w:t>
      </w:r>
      <w:r w:rsidR="007D7E4B">
        <w:rPr>
          <w:lang w:val="fr-FR"/>
        </w:rPr>
        <w:t>’</w:t>
      </w:r>
      <w:r w:rsidRPr="007D7E4B">
        <w:rPr>
          <w:lang w:val="fr-FR"/>
        </w:rPr>
        <w:t>instruction d</w:t>
      </w:r>
      <w:r w:rsidR="007D7E4B">
        <w:rPr>
          <w:lang w:val="fr-FR"/>
        </w:rPr>
        <w:t>’</w:t>
      </w:r>
      <w:r w:rsidRPr="007D7E4B">
        <w:rPr>
          <w:lang w:val="fr-FR"/>
        </w:rPr>
        <w:t>emballage P408 applicable aux batteries au sodiu</w:t>
      </w:r>
      <w:r w:rsidRPr="007D7E4B">
        <w:rPr>
          <w:lang w:val="fr-FR"/>
        </w:rPr>
        <w:t>m (N</w:t>
      </w:r>
      <w:r w:rsidRPr="007D7E4B">
        <w:rPr>
          <w:vertAlign w:val="superscript"/>
          <w:lang w:val="fr-FR"/>
        </w:rPr>
        <w:t>o</w:t>
      </w:r>
      <w:r w:rsidR="00DC32DD">
        <w:rPr>
          <w:lang w:val="fr-FR"/>
        </w:rPr>
        <w:t> </w:t>
      </w:r>
      <w:r w:rsidRPr="007D7E4B">
        <w:rPr>
          <w:lang w:val="fr-FR"/>
        </w:rPr>
        <w:t>ONU 3292), celles-ci peuvent également être transportées dans des emballages qui satisfont aux critères du groupe d</w:t>
      </w:r>
      <w:r w:rsidR="007D7E4B">
        <w:rPr>
          <w:lang w:val="fr-FR"/>
        </w:rPr>
        <w:t>’</w:t>
      </w:r>
      <w:r w:rsidRPr="007D7E4B">
        <w:rPr>
          <w:lang w:val="fr-FR"/>
        </w:rPr>
        <w:t>emballage II, mais pas nécessairement à ceux du groupe I. Elles peuvent même être transportées sans emballage ou simplement dans des e</w:t>
      </w:r>
      <w:r w:rsidRPr="007D7E4B">
        <w:rPr>
          <w:lang w:val="fr-FR"/>
        </w:rPr>
        <w:t xml:space="preserve">mballages de </w:t>
      </w:r>
      <w:r w:rsidRPr="00BD6AD1">
        <w:rPr>
          <w:spacing w:val="-2"/>
          <w:lang w:val="fr-FR"/>
        </w:rPr>
        <w:t>protection qui n</w:t>
      </w:r>
      <w:r w:rsidR="007D7E4B" w:rsidRPr="00BD6AD1">
        <w:rPr>
          <w:spacing w:val="-2"/>
          <w:lang w:val="fr-FR"/>
        </w:rPr>
        <w:t>’</w:t>
      </w:r>
      <w:r w:rsidRPr="00BD6AD1">
        <w:rPr>
          <w:spacing w:val="-2"/>
          <w:lang w:val="fr-FR"/>
        </w:rPr>
        <w:t>ont pas à satisfaire aux prescriptions d</w:t>
      </w:r>
      <w:r w:rsidR="007D7E4B" w:rsidRPr="00BD6AD1">
        <w:rPr>
          <w:spacing w:val="-2"/>
          <w:lang w:val="fr-FR"/>
        </w:rPr>
        <w:t>’</w:t>
      </w:r>
      <w:r w:rsidRPr="00BD6AD1">
        <w:rPr>
          <w:spacing w:val="-2"/>
          <w:lang w:val="fr-FR"/>
        </w:rPr>
        <w:t>homologation du p</w:t>
      </w:r>
      <w:r w:rsidRPr="007D7E4B">
        <w:rPr>
          <w:lang w:val="fr-FR"/>
        </w:rPr>
        <w:t>aragraphe 4.1.1.3. Cette différence dans la gestion des dangers montre à elle seule que la réglementation tient déjà compte du fait que les risques liés au transport de</w:t>
      </w:r>
      <w:r w:rsidRPr="007D7E4B">
        <w:rPr>
          <w:lang w:val="fr-FR"/>
        </w:rPr>
        <w:t xml:space="preserve"> sodium métallique et de sodium contenu dans des batteries ne sont pas comparables. S</w:t>
      </w:r>
      <w:r w:rsidR="007D7E4B">
        <w:rPr>
          <w:lang w:val="fr-FR"/>
        </w:rPr>
        <w:t>’</w:t>
      </w:r>
      <w:r w:rsidRPr="007D7E4B">
        <w:rPr>
          <w:lang w:val="fr-FR"/>
        </w:rPr>
        <w:t>il peut de surcroît être établi, comme c</w:t>
      </w:r>
      <w:r w:rsidR="007D7E4B">
        <w:rPr>
          <w:lang w:val="fr-FR"/>
        </w:rPr>
        <w:t>’</w:t>
      </w:r>
      <w:r w:rsidRPr="007D7E4B">
        <w:rPr>
          <w:lang w:val="fr-FR"/>
        </w:rPr>
        <w:t>est le cas ici, qu</w:t>
      </w:r>
      <w:r w:rsidR="007D7E4B">
        <w:rPr>
          <w:lang w:val="fr-FR"/>
        </w:rPr>
        <w:t>’</w:t>
      </w:r>
      <w:r w:rsidRPr="007D7E4B">
        <w:rPr>
          <w:lang w:val="fr-FR"/>
        </w:rPr>
        <w:t>un certain modèle de batterie ou qu</w:t>
      </w:r>
      <w:r w:rsidR="007D7E4B">
        <w:rPr>
          <w:lang w:val="fr-FR"/>
        </w:rPr>
        <w:t>’</w:t>
      </w:r>
      <w:r w:rsidRPr="007D7E4B">
        <w:rPr>
          <w:lang w:val="fr-FR"/>
        </w:rPr>
        <w:t>un certain type de fabrication permettent encore d</w:t>
      </w:r>
      <w:r w:rsidR="007D7E4B">
        <w:rPr>
          <w:lang w:val="fr-FR"/>
        </w:rPr>
        <w:t>’</w:t>
      </w:r>
      <w:r w:rsidRPr="007D7E4B">
        <w:rPr>
          <w:lang w:val="fr-FR"/>
        </w:rPr>
        <w:t>améliorer la sûreté, ce</w:t>
      </w:r>
      <w:r w:rsidRPr="007D7E4B">
        <w:rPr>
          <w:lang w:val="fr-FR"/>
        </w:rPr>
        <w:t>t élément devrait être pris en considération par les experts afin de permettre une plus grande souplesse.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9.</w:t>
      </w:r>
      <w:r w:rsidRPr="007D7E4B">
        <w:rPr>
          <w:lang w:val="fr-FR"/>
        </w:rPr>
        <w:tab/>
        <w:t>Les batteries au sodium-chlorure de nickel ont satisfait aux épreuves de chute réalisées à des hauteurs beaucoup plus élevées, comme indiqué dans l</w:t>
      </w:r>
      <w:r w:rsidRPr="007D7E4B">
        <w:rPr>
          <w:lang w:val="fr-FR"/>
        </w:rPr>
        <w:t>e document informel INF.8. Elles ont également subi avec succès les épreuves décrites ci-après.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10.</w:t>
      </w:r>
      <w:r w:rsidRPr="007D7E4B">
        <w:rPr>
          <w:lang w:val="fr-FR"/>
        </w:rPr>
        <w:tab/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n</w:t>
      </w:r>
      <w:r w:rsidRPr="007D7E4B">
        <w:rPr>
          <w:vertAlign w:val="superscript"/>
          <w:lang w:val="fr-FR"/>
        </w:rPr>
        <w:t>o</w:t>
      </w:r>
      <w:r w:rsidR="00BD6AD1">
        <w:rPr>
          <w:lang w:val="fr-FR"/>
        </w:rPr>
        <w:t> </w:t>
      </w:r>
      <w:r w:rsidRPr="007D7E4B">
        <w:rPr>
          <w:lang w:val="fr-FR"/>
        </w:rPr>
        <w:t>1 visait à simuler les effets d</w:t>
      </w:r>
      <w:r w:rsidR="007D7E4B">
        <w:rPr>
          <w:lang w:val="fr-FR"/>
        </w:rPr>
        <w:t>’</w:t>
      </w:r>
      <w:r w:rsidRPr="007D7E4B">
        <w:rPr>
          <w:lang w:val="fr-FR"/>
        </w:rPr>
        <w:t>un choc la</w:t>
      </w:r>
      <w:r w:rsidR="00BD6AD1">
        <w:rPr>
          <w:lang w:val="fr-FR"/>
        </w:rPr>
        <w:t>téral depuis une hauteur de 9,8 </w:t>
      </w:r>
      <w:r w:rsidRPr="007D7E4B">
        <w:rPr>
          <w:lang w:val="fr-FR"/>
        </w:rPr>
        <w:t>mètres contre l</w:t>
      </w:r>
      <w:r w:rsidR="007D7E4B">
        <w:rPr>
          <w:lang w:val="fr-FR"/>
        </w:rPr>
        <w:t>’</w:t>
      </w:r>
      <w:r w:rsidRPr="007D7E4B">
        <w:rPr>
          <w:lang w:val="fr-FR"/>
        </w:rPr>
        <w:t>extrémité d</w:t>
      </w:r>
      <w:r w:rsidR="007D7E4B">
        <w:rPr>
          <w:lang w:val="fr-FR"/>
        </w:rPr>
        <w:t>’</w:t>
      </w:r>
      <w:r w:rsidRPr="007D7E4B">
        <w:rPr>
          <w:lang w:val="fr-FR"/>
        </w:rPr>
        <w:t>une section d</w:t>
      </w:r>
      <w:r w:rsidR="007D7E4B">
        <w:rPr>
          <w:lang w:val="fr-FR"/>
        </w:rPr>
        <w:t>’</w:t>
      </w:r>
      <w:r w:rsidRPr="007D7E4B">
        <w:rPr>
          <w:lang w:val="fr-FR"/>
        </w:rPr>
        <w:t>un mètre de long d</w:t>
      </w:r>
      <w:r w:rsidR="007D7E4B">
        <w:rPr>
          <w:lang w:val="fr-FR"/>
        </w:rPr>
        <w:t>’</w:t>
      </w:r>
      <w:r w:rsidRPr="007D7E4B">
        <w:rPr>
          <w:lang w:val="fr-FR"/>
        </w:rPr>
        <w:t>une glis</w:t>
      </w:r>
      <w:r w:rsidRPr="007D7E4B">
        <w:rPr>
          <w:lang w:val="fr-FR"/>
        </w:rPr>
        <w:t>sière de sécurité Arm coTM, de telle sorte que la glissière percute le centre du côté de la batterie</w:t>
      </w:r>
      <w:r w:rsidR="00BD6AD1">
        <w:rPr>
          <w:lang w:val="fr-FR"/>
        </w:rPr>
        <w:t>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11.</w:t>
      </w:r>
      <w:r w:rsidRPr="007D7E4B">
        <w:rPr>
          <w:lang w:val="fr-FR"/>
        </w:rPr>
        <w:tab/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épreuve n</w:t>
      </w:r>
      <w:r w:rsidRPr="007D7E4B">
        <w:rPr>
          <w:vertAlign w:val="superscript"/>
          <w:lang w:val="fr-FR"/>
        </w:rPr>
        <w:t>o</w:t>
      </w:r>
      <w:r w:rsidR="00BD6AD1">
        <w:rPr>
          <w:lang w:val="fr-FR"/>
        </w:rPr>
        <w:t> </w:t>
      </w:r>
      <w:r w:rsidRPr="007D7E4B">
        <w:rPr>
          <w:lang w:val="fr-FR"/>
        </w:rPr>
        <w:t>3 visait à simuler les effets d</w:t>
      </w:r>
      <w:r w:rsidR="007D7E4B">
        <w:rPr>
          <w:lang w:val="fr-FR"/>
        </w:rPr>
        <w:t>’</w:t>
      </w:r>
      <w:r w:rsidRPr="007D7E4B">
        <w:rPr>
          <w:lang w:val="fr-FR"/>
        </w:rPr>
        <w:t>un choc latéral contre un poteau ou un arbre, en faisant tomber la batterie d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une hauteur de 10 mètres </w:t>
      </w:r>
      <w:r w:rsidRPr="007D7E4B">
        <w:rPr>
          <w:lang w:val="fr-FR"/>
        </w:rPr>
        <w:t>sur un demi-cylindre rigide de 150</w:t>
      </w:r>
      <w:r w:rsidR="00BD6AD1">
        <w:rPr>
          <w:lang w:val="fr-FR"/>
        </w:rPr>
        <w:t> </w:t>
      </w:r>
      <w:r w:rsidRPr="007D7E4B">
        <w:rPr>
          <w:lang w:val="fr-FR"/>
        </w:rPr>
        <w:t>mm de rayon.</w:t>
      </w:r>
    </w:p>
    <w:p w:rsidR="000720B4" w:rsidRPr="007D7E4B" w:rsidRDefault="00B510EB" w:rsidP="007D7E4B">
      <w:pPr>
        <w:pStyle w:val="SingleTxtG"/>
        <w:rPr>
          <w:b/>
        </w:rPr>
      </w:pPr>
      <w:r w:rsidRPr="007D7E4B">
        <w:rPr>
          <w:lang w:val="fr-FR"/>
        </w:rPr>
        <w:t>12.</w:t>
      </w:r>
      <w:r w:rsidRPr="007D7E4B">
        <w:rPr>
          <w:lang w:val="fr-FR"/>
        </w:rPr>
        <w:tab/>
        <w:t>Les piles et les batteries ont également satisfait aux épreuves d</w:t>
      </w:r>
      <w:r w:rsidR="007D7E4B">
        <w:rPr>
          <w:lang w:val="fr-FR"/>
        </w:rPr>
        <w:t>’</w:t>
      </w:r>
      <w:r w:rsidRPr="007D7E4B">
        <w:rPr>
          <w:lang w:val="fr-FR"/>
        </w:rPr>
        <w:t>impact (épreuve n</w:t>
      </w:r>
      <w:r w:rsidRPr="007D7E4B">
        <w:rPr>
          <w:vertAlign w:val="superscript"/>
          <w:lang w:val="fr-FR"/>
        </w:rPr>
        <w:t>o</w:t>
      </w:r>
      <w:r w:rsidR="00BD6AD1">
        <w:rPr>
          <w:lang w:val="fr-FR"/>
        </w:rPr>
        <w:t> </w:t>
      </w:r>
      <w:r w:rsidRPr="007D7E4B">
        <w:rPr>
          <w:lang w:val="fr-FR"/>
        </w:rPr>
        <w:t>11), de choc (épreuves n</w:t>
      </w:r>
      <w:r w:rsidRPr="007D7E4B">
        <w:rPr>
          <w:vertAlign w:val="superscript"/>
          <w:lang w:val="fr-FR"/>
        </w:rPr>
        <w:t>os</w:t>
      </w:r>
      <w:r w:rsidR="00DC32DD">
        <w:rPr>
          <w:lang w:val="fr-FR"/>
        </w:rPr>
        <w:t> </w:t>
      </w:r>
      <w:r w:rsidRPr="007D7E4B">
        <w:rPr>
          <w:lang w:val="fr-FR"/>
        </w:rPr>
        <w:t>9 et 14) et d</w:t>
      </w:r>
      <w:r w:rsidR="007D7E4B">
        <w:rPr>
          <w:lang w:val="fr-FR"/>
        </w:rPr>
        <w:t>’</w:t>
      </w:r>
      <w:r w:rsidRPr="007D7E4B">
        <w:rPr>
          <w:lang w:val="fr-FR"/>
        </w:rPr>
        <w:t>écrasement (épreuves n</w:t>
      </w:r>
      <w:r w:rsidRPr="007D7E4B">
        <w:rPr>
          <w:vertAlign w:val="superscript"/>
          <w:lang w:val="fr-FR"/>
        </w:rPr>
        <w:t>os</w:t>
      </w:r>
      <w:r w:rsidR="00BD6AD1">
        <w:rPr>
          <w:lang w:val="fr-FR"/>
        </w:rPr>
        <w:t> </w:t>
      </w:r>
      <w:r w:rsidRPr="007D7E4B">
        <w:rPr>
          <w:lang w:val="fr-FR"/>
        </w:rPr>
        <w:t>7, 10 et 15) prévues par d</w:t>
      </w:r>
      <w:r w:rsidR="007D7E4B">
        <w:rPr>
          <w:lang w:val="fr-FR"/>
        </w:rPr>
        <w:t>’</w:t>
      </w:r>
      <w:r w:rsidRPr="007D7E4B">
        <w:rPr>
          <w:lang w:val="fr-FR"/>
        </w:rPr>
        <w:t>autres normes relatives au</w:t>
      </w:r>
      <w:r w:rsidRPr="007D7E4B">
        <w:rPr>
          <w:lang w:val="fr-FR"/>
        </w:rPr>
        <w:t>x batteries pour être effectuées «</w:t>
      </w:r>
      <w:r w:rsidR="00DC32DD">
        <w:rPr>
          <w:lang w:val="fr-FR"/>
        </w:rPr>
        <w:t> </w:t>
      </w:r>
      <w:r w:rsidRPr="007D7E4B">
        <w:rPr>
          <w:lang w:val="fr-FR"/>
        </w:rPr>
        <w:t>à chaud</w:t>
      </w:r>
      <w:r w:rsidR="00DC32DD">
        <w:rPr>
          <w:lang w:val="fr-FR"/>
        </w:rPr>
        <w:t> </w:t>
      </w:r>
      <w:r w:rsidRPr="007D7E4B">
        <w:rPr>
          <w:lang w:val="fr-FR"/>
        </w:rPr>
        <w:t>», soit dans des conditions plus difficiles.</w:t>
      </w:r>
    </w:p>
    <w:p w:rsidR="000720B4" w:rsidRPr="007D7E4B" w:rsidRDefault="00B510EB" w:rsidP="00156AEA">
      <w:pPr>
        <w:pStyle w:val="H1G"/>
      </w:pPr>
      <w:r w:rsidRPr="007D7E4B">
        <w:rPr>
          <w:lang w:val="fr-FR"/>
        </w:rPr>
        <w:tab/>
      </w:r>
      <w:r w:rsidRPr="007D7E4B">
        <w:rPr>
          <w:lang w:val="fr-FR"/>
        </w:rPr>
        <w:tab/>
        <w:t>Immersion dans l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eau 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13.</w:t>
      </w:r>
      <w:r w:rsidRPr="007D7E4B">
        <w:rPr>
          <w:lang w:val="fr-FR"/>
        </w:rPr>
        <w:tab/>
        <w:t>Les piles et les batteries intactes sont placées dans un contenant en acier inoxydable scellé et ne présentent aucun problème en contact ave</w:t>
      </w:r>
      <w:r w:rsidRPr="007D7E4B">
        <w:rPr>
          <w:lang w:val="fr-FR"/>
        </w:rPr>
        <w:t>c l</w:t>
      </w:r>
      <w:r w:rsidR="007D7E4B">
        <w:rPr>
          <w:lang w:val="fr-FR"/>
        </w:rPr>
        <w:t>’</w:t>
      </w:r>
      <w:r w:rsidRPr="007D7E4B">
        <w:rPr>
          <w:lang w:val="fr-FR"/>
        </w:rPr>
        <w:t>eau, en cela qu</w:t>
      </w:r>
      <w:r w:rsidR="007D7E4B">
        <w:rPr>
          <w:lang w:val="fr-FR"/>
        </w:rPr>
        <w:t>’</w:t>
      </w:r>
      <w:r w:rsidRPr="007D7E4B">
        <w:rPr>
          <w:lang w:val="fr-FR"/>
        </w:rPr>
        <w:t>elles peuvent subir avec succès les épreuves d</w:t>
      </w:r>
      <w:r w:rsidR="007D7E4B">
        <w:rPr>
          <w:lang w:val="fr-FR"/>
        </w:rPr>
        <w:t>’</w:t>
      </w:r>
      <w:r w:rsidRPr="007D7E4B">
        <w:rPr>
          <w:lang w:val="fr-FR"/>
        </w:rPr>
        <w:t>immersion dans l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eau salée pendant </w:t>
      </w:r>
      <w:r w:rsidR="00156AEA">
        <w:rPr>
          <w:lang w:val="fr-FR"/>
        </w:rPr>
        <w:t>3</w:t>
      </w:r>
      <w:r w:rsidRPr="007D7E4B">
        <w:rPr>
          <w:lang w:val="fr-FR"/>
        </w:rPr>
        <w:t xml:space="preserve"> heures (épreuves n</w:t>
      </w:r>
      <w:r w:rsidRPr="007D7E4B">
        <w:rPr>
          <w:vertAlign w:val="superscript"/>
          <w:lang w:val="fr-FR"/>
        </w:rPr>
        <w:t>os</w:t>
      </w:r>
      <w:r w:rsidR="00156AEA">
        <w:rPr>
          <w:lang w:val="fr-FR"/>
        </w:rPr>
        <w:t> </w:t>
      </w:r>
      <w:r w:rsidRPr="007D7E4B">
        <w:rPr>
          <w:lang w:val="fr-FR"/>
        </w:rPr>
        <w:t>5 et</w:t>
      </w:r>
      <w:r w:rsidR="00156AEA">
        <w:rPr>
          <w:lang w:val="fr-FR"/>
        </w:rPr>
        <w:t> </w:t>
      </w:r>
      <w:r w:rsidRPr="007D7E4B">
        <w:rPr>
          <w:lang w:val="fr-FR"/>
        </w:rPr>
        <w:t>17).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14.</w:t>
      </w:r>
      <w:r w:rsidRPr="007D7E4B">
        <w:rPr>
          <w:lang w:val="fr-FR"/>
        </w:rPr>
        <w:tab/>
        <w:t xml:space="preserve">Il a été observé que les batteries endommagées ne réagissaient pas aux produits extincteurs à base de mousse aqueuse </w:t>
      </w:r>
      <w:r w:rsidRPr="007D7E4B">
        <w:rPr>
          <w:lang w:val="fr-FR"/>
        </w:rPr>
        <w:t>lorsqu</w:t>
      </w:r>
      <w:r w:rsidR="007D7E4B">
        <w:rPr>
          <w:lang w:val="fr-FR"/>
        </w:rPr>
        <w:t>’</w:t>
      </w:r>
      <w:r w:rsidRPr="007D7E4B">
        <w:rPr>
          <w:lang w:val="fr-FR"/>
        </w:rPr>
        <w:t>elles étaient entièrement chargées. L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épreuve consistait à perforer la batterie avec un vérin hydraulique et à y appliquer le contenu de deux extincteurs portatifs de la marque </w:t>
      </w:r>
      <w:r w:rsidR="00156AEA">
        <w:rPr>
          <w:lang w:val="fr-FR"/>
        </w:rPr>
        <w:t>« </w:t>
      </w:r>
      <w:r w:rsidRPr="007D7E4B">
        <w:rPr>
          <w:lang w:val="fr-FR"/>
        </w:rPr>
        <w:t>Chubb</w:t>
      </w:r>
      <w:r w:rsidR="00156AEA">
        <w:rPr>
          <w:lang w:val="fr-FR"/>
        </w:rPr>
        <w:t> »</w:t>
      </w:r>
      <w:r w:rsidRPr="007D7E4B">
        <w:rPr>
          <w:lang w:val="fr-FR"/>
        </w:rPr>
        <w:t>, soit, au total, 18</w:t>
      </w:r>
      <w:r w:rsidR="00156AEA">
        <w:rPr>
          <w:lang w:val="fr-FR"/>
        </w:rPr>
        <w:t> </w:t>
      </w:r>
      <w:r w:rsidRPr="007D7E4B">
        <w:rPr>
          <w:lang w:val="fr-FR"/>
        </w:rPr>
        <w:t xml:space="preserve">kg </w:t>
      </w:r>
      <w:r w:rsidR="00156AEA">
        <w:rPr>
          <w:lang w:val="fr-FR"/>
        </w:rPr>
        <w:t>de mousse aqueuse, toutes les 3 </w:t>
      </w:r>
      <w:r w:rsidRPr="007D7E4B">
        <w:rPr>
          <w:lang w:val="fr-FR"/>
        </w:rPr>
        <w:t>minutes</w:t>
      </w:r>
      <w:r w:rsidRPr="007D7E4B">
        <w:rPr>
          <w:lang w:val="fr-FR"/>
        </w:rPr>
        <w:t xml:space="preserve"> pendant 30</w:t>
      </w:r>
      <w:r w:rsidR="00156AEA">
        <w:rPr>
          <w:lang w:val="fr-FR"/>
        </w:rPr>
        <w:t> </w:t>
      </w:r>
      <w:r w:rsidRPr="007D7E4B">
        <w:rPr>
          <w:lang w:val="fr-FR"/>
        </w:rPr>
        <w:t>minutes (épreuve n</w:t>
      </w:r>
      <w:r w:rsidRPr="007D7E4B">
        <w:rPr>
          <w:vertAlign w:val="superscript"/>
          <w:lang w:val="fr-FR"/>
        </w:rPr>
        <w:t>o</w:t>
      </w:r>
      <w:r w:rsidR="00156AEA">
        <w:rPr>
          <w:lang w:val="fr-FR"/>
        </w:rPr>
        <w:t> </w:t>
      </w:r>
      <w:r w:rsidRPr="007D7E4B">
        <w:rPr>
          <w:lang w:val="fr-FR"/>
        </w:rPr>
        <w:t>2).</w:t>
      </w:r>
    </w:p>
    <w:p w:rsidR="000720B4" w:rsidRPr="007D7E4B" w:rsidRDefault="00B510EB" w:rsidP="00156AEA">
      <w:pPr>
        <w:pStyle w:val="H1G"/>
      </w:pPr>
      <w:r w:rsidRPr="007D7E4B">
        <w:rPr>
          <w:lang w:val="fr-FR"/>
        </w:rPr>
        <w:tab/>
      </w:r>
      <w:r w:rsidRPr="007D7E4B">
        <w:rPr>
          <w:lang w:val="fr-FR"/>
        </w:rPr>
        <w:tab/>
        <w:t>Résistance au feu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15.</w:t>
      </w:r>
      <w:r w:rsidRPr="007D7E4B">
        <w:rPr>
          <w:lang w:val="fr-FR"/>
        </w:rPr>
        <w:tab/>
        <w:t>Les batteries entièrement chargées et opérationnelles ont subi avec succès l</w:t>
      </w:r>
      <w:r w:rsidR="007D7E4B">
        <w:rPr>
          <w:lang w:val="fr-FR"/>
        </w:rPr>
        <w:t>’</w:t>
      </w:r>
      <w:r w:rsidR="00156AEA">
        <w:rPr>
          <w:lang w:val="fr-FR"/>
        </w:rPr>
        <w:t xml:space="preserve">épreuve </w:t>
      </w:r>
      <w:r w:rsidR="00156AEA" w:rsidRPr="00156AEA">
        <w:rPr>
          <w:rFonts w:eastAsia="MS Mincho"/>
          <w:szCs w:val="22"/>
          <w:lang w:val="fr-FR"/>
        </w:rPr>
        <w:t>n</w:t>
      </w:r>
      <w:r w:rsidR="00156AEA" w:rsidRPr="00156AEA">
        <w:rPr>
          <w:rFonts w:eastAsia="MS Mincho"/>
          <w:szCs w:val="22"/>
          <w:vertAlign w:val="superscript"/>
          <w:lang w:val="fr-FR"/>
        </w:rPr>
        <w:t>o</w:t>
      </w:r>
      <w:r w:rsidR="00156AEA">
        <w:rPr>
          <w:lang w:val="fr-FR"/>
        </w:rPr>
        <w:t> </w:t>
      </w:r>
      <w:r w:rsidRPr="007D7E4B">
        <w:rPr>
          <w:lang w:val="fr-FR"/>
        </w:rPr>
        <w:t>4, qui consistait à les suspendre à 400</w:t>
      </w:r>
      <w:r w:rsidR="00156AEA">
        <w:rPr>
          <w:lang w:val="fr-FR"/>
        </w:rPr>
        <w:t> </w:t>
      </w:r>
      <w:r w:rsidRPr="007D7E4B">
        <w:rPr>
          <w:lang w:val="fr-FR"/>
        </w:rPr>
        <w:t>mm au-dessus d</w:t>
      </w:r>
      <w:r w:rsidR="007D7E4B">
        <w:rPr>
          <w:lang w:val="fr-FR"/>
        </w:rPr>
        <w:t>’</w:t>
      </w:r>
      <w:r w:rsidRPr="007D7E4B">
        <w:rPr>
          <w:lang w:val="fr-FR"/>
        </w:rPr>
        <w:t>un plateau contenant de l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essence en feu et à les </w:t>
      </w:r>
      <w:r w:rsidRPr="007D7E4B">
        <w:rPr>
          <w:lang w:val="fr-FR"/>
        </w:rPr>
        <w:t>maintenir ainsi pendant 30</w:t>
      </w:r>
      <w:r w:rsidR="00156AEA">
        <w:rPr>
          <w:lang w:val="fr-FR"/>
        </w:rPr>
        <w:t> </w:t>
      </w:r>
      <w:r w:rsidRPr="007D7E4B">
        <w:rPr>
          <w:lang w:val="fr-FR"/>
        </w:rPr>
        <w:t>minutes. Le vide dans le boîtier de la batterie a également été relâché afin d</w:t>
      </w:r>
      <w:r w:rsidR="007D7E4B">
        <w:rPr>
          <w:lang w:val="fr-FR"/>
        </w:rPr>
        <w:t>’</w:t>
      </w:r>
      <w:r w:rsidRPr="007D7E4B">
        <w:rPr>
          <w:lang w:val="fr-FR"/>
        </w:rPr>
        <w:t>en annuler l</w:t>
      </w:r>
      <w:r w:rsidR="007D7E4B">
        <w:rPr>
          <w:lang w:val="fr-FR"/>
        </w:rPr>
        <w:t>’</w:t>
      </w:r>
      <w:r w:rsidRPr="007D7E4B">
        <w:rPr>
          <w:lang w:val="fr-FR"/>
        </w:rPr>
        <w:t>effet isolant. Le même résultat positif a été obtenu pour l</w:t>
      </w:r>
      <w:r w:rsidR="007D7E4B">
        <w:rPr>
          <w:lang w:val="fr-FR"/>
        </w:rPr>
        <w:t>’</w:t>
      </w:r>
      <w:r w:rsidRPr="007D7E4B">
        <w:rPr>
          <w:lang w:val="fr-FR"/>
        </w:rPr>
        <w:t>épreuve n</w:t>
      </w:r>
      <w:r w:rsidRPr="007D7E4B">
        <w:rPr>
          <w:vertAlign w:val="superscript"/>
          <w:lang w:val="fr-FR"/>
        </w:rPr>
        <w:t>o</w:t>
      </w:r>
      <w:r w:rsidR="00156AEA">
        <w:rPr>
          <w:lang w:val="fr-FR"/>
        </w:rPr>
        <w:t> </w:t>
      </w:r>
      <w:r w:rsidRPr="007D7E4B">
        <w:rPr>
          <w:lang w:val="fr-FR"/>
        </w:rPr>
        <w:t>16.</w:t>
      </w:r>
    </w:p>
    <w:p w:rsidR="000720B4" w:rsidRPr="007D7E4B" w:rsidRDefault="00B510EB" w:rsidP="00156AEA">
      <w:pPr>
        <w:pStyle w:val="H1G"/>
      </w:pPr>
      <w:r w:rsidRPr="007D7E4B">
        <w:rPr>
          <w:lang w:val="fr-FR"/>
        </w:rPr>
        <w:lastRenderedPageBreak/>
        <w:tab/>
      </w:r>
      <w:r w:rsidRPr="007D7E4B">
        <w:rPr>
          <w:lang w:val="fr-FR"/>
        </w:rPr>
        <w:tab/>
        <w:t>Vibrations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16.</w:t>
      </w:r>
      <w:r w:rsidRPr="007D7E4B">
        <w:rPr>
          <w:lang w:val="fr-FR"/>
        </w:rPr>
        <w:tab/>
        <w:t>Les batteries au sodium-chlorure de nickel on</w:t>
      </w:r>
      <w:r w:rsidRPr="007D7E4B">
        <w:rPr>
          <w:lang w:val="fr-FR"/>
        </w:rPr>
        <w:t>t été soumises à de nombreuses épreuves (épreuves n</w:t>
      </w:r>
      <w:r w:rsidRPr="007D7E4B">
        <w:rPr>
          <w:vertAlign w:val="superscript"/>
          <w:lang w:val="fr-FR"/>
        </w:rPr>
        <w:t>os</w:t>
      </w:r>
      <w:r w:rsidR="00156AEA">
        <w:rPr>
          <w:lang w:val="fr-FR"/>
        </w:rPr>
        <w:t> </w:t>
      </w:r>
      <w:r w:rsidRPr="007D7E4B">
        <w:rPr>
          <w:lang w:val="fr-FR"/>
        </w:rPr>
        <w:t>6, 8, 12 et 13) prévues par différentes normes, et les résultats obtenus ont été supérieurs aux exigences. Une épreuve en particulier avait les mêmes paramètres que ceux prévus par la disposition spécia</w:t>
      </w:r>
      <w:r w:rsidRPr="007D7E4B">
        <w:rPr>
          <w:lang w:val="fr-FR"/>
        </w:rPr>
        <w:t>le 238 relative à la classification des accumulateurs</w:t>
      </w:r>
      <w:r w:rsidR="00156AEA">
        <w:rPr>
          <w:lang w:val="fr-FR"/>
        </w:rPr>
        <w:t xml:space="preserve"> « </w:t>
      </w:r>
      <w:r w:rsidRPr="007D7E4B">
        <w:rPr>
          <w:lang w:val="fr-FR"/>
        </w:rPr>
        <w:t>inversables</w:t>
      </w:r>
      <w:r w:rsidR="00156AEA">
        <w:rPr>
          <w:lang w:val="fr-FR"/>
        </w:rPr>
        <w:t> </w:t>
      </w:r>
      <w:r w:rsidR="009C5D6A">
        <w:rPr>
          <w:lang w:val="fr-FR"/>
        </w:rPr>
        <w:t>». Les batteries « </w:t>
      </w:r>
      <w:r w:rsidRPr="007D7E4B">
        <w:rPr>
          <w:lang w:val="fr-FR"/>
        </w:rPr>
        <w:t>inversables</w:t>
      </w:r>
      <w:r w:rsidR="009C5D6A">
        <w:rPr>
          <w:lang w:val="fr-FR"/>
        </w:rPr>
        <w:t> </w:t>
      </w:r>
      <w:r w:rsidRPr="007D7E4B">
        <w:rPr>
          <w:lang w:val="fr-FR"/>
        </w:rPr>
        <w:t>» ne sont pas soumises à la réglementation du transport des marchandises dangereuses lorsqu</w:t>
      </w:r>
      <w:r w:rsidR="007D7E4B">
        <w:rPr>
          <w:lang w:val="fr-FR"/>
        </w:rPr>
        <w:t>’</w:t>
      </w:r>
      <w:r w:rsidRPr="007D7E4B">
        <w:rPr>
          <w:lang w:val="fr-FR"/>
        </w:rPr>
        <w:t>elles subissent avec succès les épreuves de vibration et de press</w:t>
      </w:r>
      <w:r w:rsidRPr="007D7E4B">
        <w:rPr>
          <w:lang w:val="fr-FR"/>
        </w:rPr>
        <w:t>ion différentielle et qu</w:t>
      </w:r>
      <w:r w:rsidR="007D7E4B">
        <w:rPr>
          <w:lang w:val="fr-FR"/>
        </w:rPr>
        <w:t>’</w:t>
      </w:r>
      <w:r w:rsidRPr="007D7E4B">
        <w:rPr>
          <w:lang w:val="fr-FR"/>
        </w:rPr>
        <w:t>aucun liquide ne s</w:t>
      </w:r>
      <w:r w:rsidR="007D7E4B">
        <w:rPr>
          <w:lang w:val="fr-FR"/>
        </w:rPr>
        <w:t>’</w:t>
      </w:r>
      <w:r w:rsidRPr="007D7E4B">
        <w:rPr>
          <w:lang w:val="fr-FR"/>
        </w:rPr>
        <w:t>échappe du boîtier endommagé.</w:t>
      </w:r>
    </w:p>
    <w:p w:rsidR="000720B4" w:rsidRPr="007D7E4B" w:rsidRDefault="00B510EB" w:rsidP="00156AEA">
      <w:pPr>
        <w:pStyle w:val="H1G"/>
      </w:pPr>
      <w:r w:rsidRPr="007D7E4B">
        <w:rPr>
          <w:lang w:val="fr-FR"/>
        </w:rPr>
        <w:tab/>
      </w:r>
      <w:r w:rsidRPr="007D7E4B">
        <w:rPr>
          <w:lang w:val="fr-FR"/>
        </w:rPr>
        <w:tab/>
        <w:t>Comparaisons avec d</w:t>
      </w:r>
      <w:r w:rsidR="007D7E4B">
        <w:rPr>
          <w:lang w:val="fr-FR"/>
        </w:rPr>
        <w:t>’</w:t>
      </w:r>
      <w:r w:rsidRPr="007D7E4B">
        <w:rPr>
          <w:lang w:val="fr-FR"/>
        </w:rPr>
        <w:t>autres types de batterie</w:t>
      </w:r>
    </w:p>
    <w:p w:rsidR="000720B4" w:rsidRPr="007D7E4B" w:rsidRDefault="00B510EB" w:rsidP="00156AEA">
      <w:pPr>
        <w:pStyle w:val="H23G"/>
      </w:pPr>
      <w:r w:rsidRPr="007D7E4B">
        <w:rPr>
          <w:lang w:val="fr-FR"/>
        </w:rPr>
        <w:tab/>
      </w:r>
      <w:r w:rsidRPr="007D7E4B">
        <w:rPr>
          <w:lang w:val="fr-FR"/>
        </w:rPr>
        <w:tab/>
        <w:t>Batteries inversables</w:t>
      </w:r>
    </w:p>
    <w:p w:rsidR="000720B4" w:rsidRPr="007D7E4B" w:rsidRDefault="00B510EB" w:rsidP="00156AEA">
      <w:pPr>
        <w:pStyle w:val="SingleTxtG"/>
      </w:pPr>
      <w:r w:rsidRPr="007D7E4B">
        <w:rPr>
          <w:lang w:val="fr-FR"/>
        </w:rPr>
        <w:t>17.</w:t>
      </w:r>
      <w:r w:rsidRPr="007D7E4B">
        <w:rPr>
          <w:lang w:val="fr-FR"/>
        </w:rPr>
        <w:tab/>
        <w:t>Les batteries au sodium-chlorure de nickel ont subi avec succès l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épreuve de vibration prévue pour les </w:t>
      </w:r>
      <w:r w:rsidRPr="007D7E4B">
        <w:rPr>
          <w:lang w:val="fr-FR"/>
        </w:rPr>
        <w:t>batteries « inversables » et aucune fuite de liquide n</w:t>
      </w:r>
      <w:r w:rsidR="007D7E4B">
        <w:rPr>
          <w:lang w:val="fr-FR"/>
        </w:rPr>
        <w:t>’</w:t>
      </w:r>
      <w:r w:rsidRPr="007D7E4B">
        <w:rPr>
          <w:lang w:val="fr-FR"/>
        </w:rPr>
        <w:t>a été constatée, comme le montre le tableau ci-dessous</w:t>
      </w:r>
      <w:r w:rsidR="00156AEA">
        <w:rPr>
          <w:lang w:val="fr-FR"/>
        </w:rPr>
        <w:t> </w:t>
      </w:r>
      <w:r w:rsidRPr="007D7E4B">
        <w:rPr>
          <w:lang w:val="fr-FR"/>
        </w:rPr>
        <w:t>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2409"/>
      </w:tblGrid>
      <w:tr w:rsidR="000720B4" w:rsidRPr="007D7E4B" w:rsidTr="00DC32DD"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Disposition spéciale 238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Épreuve n</w:t>
            </w:r>
            <w:r w:rsidRPr="007D7E4B">
              <w:rPr>
                <w:vertAlign w:val="superscript"/>
                <w:lang w:val="fr-FR"/>
              </w:rPr>
              <w:t>o</w:t>
            </w:r>
            <w:r w:rsidR="00156AEA">
              <w:rPr>
                <w:lang w:val="fr-FR"/>
              </w:rPr>
              <w:t> </w:t>
            </w:r>
            <w:r w:rsidRPr="007D7E4B">
              <w:rPr>
                <w:lang w:val="fr-FR"/>
              </w:rPr>
              <w:t>8, référence de l</w:t>
            </w:r>
            <w:r w:rsidR="007D7E4B">
              <w:rPr>
                <w:lang w:val="fr-FR"/>
              </w:rPr>
              <w:t>’</w:t>
            </w:r>
            <w:r w:rsidRPr="007D7E4B">
              <w:rPr>
                <w:lang w:val="fr-FR"/>
              </w:rPr>
              <w:t>épreuve dans la norme UL 1973, section B.2.2.2.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Résultat</w:t>
            </w:r>
          </w:p>
        </w:tc>
      </w:tr>
      <w:tr w:rsidR="000720B4" w:rsidRPr="007D7E4B" w:rsidTr="00DC32DD">
        <w:tc>
          <w:tcPr>
            <w:tcW w:w="4962" w:type="dxa"/>
            <w:gridSpan w:val="2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Une oscillation harmonique simpl</w:t>
            </w:r>
            <w:r w:rsidRPr="007D7E4B">
              <w:rPr>
                <w:lang w:val="fr-FR"/>
              </w:rPr>
              <w:t>e de 0,8</w:t>
            </w:r>
            <w:r w:rsidR="00156AEA">
              <w:rPr>
                <w:lang w:val="fr-FR"/>
              </w:rPr>
              <w:t> </w:t>
            </w:r>
            <w:r w:rsidRPr="007D7E4B">
              <w:rPr>
                <w:lang w:val="fr-FR"/>
              </w:rPr>
              <w:t>mm d</w:t>
            </w:r>
            <w:r w:rsidR="007D7E4B">
              <w:rPr>
                <w:lang w:val="fr-FR"/>
              </w:rPr>
              <w:t>’</w:t>
            </w:r>
            <w:r w:rsidRPr="007D7E4B">
              <w:rPr>
                <w:lang w:val="fr-FR"/>
              </w:rPr>
              <w:t>amplitude (1,6</w:t>
            </w:r>
            <w:r w:rsidR="009C5D6A">
              <w:rPr>
                <w:lang w:val="fr-FR"/>
              </w:rPr>
              <w:t> </w:t>
            </w:r>
            <w:r w:rsidRPr="007D7E4B">
              <w:rPr>
                <w:lang w:val="fr-FR"/>
              </w:rPr>
              <w:t>mm de course totale) est appliquée. On fait varier la fréquence, à raison de 1 Hz/min entre 10</w:t>
            </w:r>
            <w:r w:rsidR="00156AEA">
              <w:rPr>
                <w:lang w:val="fr-FR"/>
              </w:rPr>
              <w:t> </w:t>
            </w:r>
            <w:r w:rsidRPr="007D7E4B">
              <w:rPr>
                <w:lang w:val="fr-FR"/>
              </w:rPr>
              <w:t>Hz et 55</w:t>
            </w:r>
            <w:r w:rsidR="00156AEA">
              <w:rPr>
                <w:lang w:val="fr-FR"/>
              </w:rPr>
              <w:t> </w:t>
            </w:r>
            <w:r w:rsidRPr="007D7E4B">
              <w:rPr>
                <w:lang w:val="fr-FR"/>
              </w:rPr>
              <w:t xml:space="preserve">Hz. </w:t>
            </w:r>
            <w:r w:rsidR="00DC32DD">
              <w:rPr>
                <w:lang w:val="fr-FR"/>
              </w:rPr>
              <w:br/>
            </w:r>
            <w:r w:rsidRPr="007D7E4B">
              <w:rPr>
                <w:lang w:val="fr-FR"/>
              </w:rPr>
              <w:t>Toute la gamme des fréquences est traversée, dans les deux sens, en 95</w:t>
            </w:r>
            <w:r w:rsidR="00156AEA">
              <w:rPr>
                <w:lang w:val="fr-FR"/>
              </w:rPr>
              <w:t> </w:t>
            </w:r>
            <w:r w:rsidR="00156AEA">
              <w:rPr>
                <w:lang w:val="fr-FR"/>
              </w:rPr>
              <w:sym w:font="Symbol" w:char="F0B1"/>
            </w:r>
            <w:r w:rsidR="00156AEA">
              <w:rPr>
                <w:lang w:val="fr-FR"/>
              </w:rPr>
              <w:t> </w:t>
            </w:r>
            <w:r w:rsidRPr="007D7E4B">
              <w:rPr>
                <w:lang w:val="fr-FR"/>
              </w:rPr>
              <w:t xml:space="preserve">5 minutes pour chaque position de montage </w:t>
            </w:r>
            <w:r w:rsidR="00DC32DD">
              <w:rPr>
                <w:lang w:val="fr-FR"/>
              </w:rPr>
              <w:br/>
            </w:r>
            <w:r w:rsidRPr="007D7E4B">
              <w:rPr>
                <w:lang w:val="fr-FR"/>
              </w:rPr>
              <w:t>de</w:t>
            </w:r>
            <w:r w:rsidRPr="007D7E4B">
              <w:rPr>
                <w:lang w:val="fr-FR"/>
              </w:rPr>
              <w:t xml:space="preserve"> l</w:t>
            </w:r>
            <w:r w:rsidR="007D7E4B">
              <w:rPr>
                <w:lang w:val="fr-FR"/>
              </w:rPr>
              <w:t>’</w:t>
            </w:r>
            <w:r w:rsidRPr="007D7E4B">
              <w:rPr>
                <w:lang w:val="fr-FR"/>
              </w:rPr>
              <w:t>accumulateur (c</w:t>
            </w:r>
            <w:r w:rsidR="007D7E4B">
              <w:rPr>
                <w:lang w:val="fr-FR"/>
              </w:rPr>
              <w:t>’</w:t>
            </w:r>
            <w:r w:rsidRPr="007D7E4B">
              <w:rPr>
                <w:lang w:val="fr-FR"/>
              </w:rPr>
              <w:t>est-à-dire pour chaque direction des vibrations). Les épreuves sont faites sur un accumulateur placé en trois positions perpendiculaires les unes par rapport aux autres.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Réussi</w:t>
            </w:r>
          </w:p>
        </w:tc>
      </w:tr>
      <w:tr w:rsidR="000720B4" w:rsidRPr="007D7E4B" w:rsidTr="00DC32DD"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Pression différentielle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s.o.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 xml:space="preserve">Aucune soupape, la pile </w:t>
            </w:r>
            <w:r w:rsidR="00D856A6">
              <w:rPr>
                <w:lang w:val="fr-FR"/>
              </w:rPr>
              <w:br/>
            </w:r>
            <w:r w:rsidRPr="007D7E4B">
              <w:rPr>
                <w:lang w:val="fr-FR"/>
              </w:rPr>
              <w:t xml:space="preserve">est </w:t>
            </w:r>
            <w:r w:rsidRPr="007D7E4B">
              <w:rPr>
                <w:lang w:val="fr-FR"/>
              </w:rPr>
              <w:t>scellée</w:t>
            </w:r>
          </w:p>
        </w:tc>
      </w:tr>
      <w:tr w:rsidR="000720B4" w:rsidRPr="007D7E4B" w:rsidTr="00DC32DD">
        <w:tc>
          <w:tcPr>
            <w:tcW w:w="2127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156AEA" w:rsidP="00DC32DD">
            <w:pPr>
              <w:spacing w:before="60" w:after="60"/>
              <w:ind w:left="57"/>
            </w:pPr>
            <w:r>
              <w:rPr>
                <w:lang w:val="fr-FR"/>
              </w:rPr>
              <w:t>Fuite à 55° </w:t>
            </w:r>
            <w:r w:rsidR="00B510EB" w:rsidRPr="007D7E4B">
              <w:rPr>
                <w:lang w:val="fr-FR"/>
              </w:rPr>
              <w:t>C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s.o.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bottom"/>
          </w:tcPr>
          <w:p w:rsidR="000720B4" w:rsidRPr="007D7E4B" w:rsidRDefault="00B510EB" w:rsidP="00DC32DD">
            <w:pPr>
              <w:spacing w:before="60" w:after="60"/>
              <w:ind w:left="57"/>
            </w:pPr>
            <w:r w:rsidRPr="007D7E4B">
              <w:rPr>
                <w:lang w:val="fr-FR"/>
              </w:rPr>
              <w:t>Entièrement à l</w:t>
            </w:r>
            <w:r w:rsidR="007D7E4B">
              <w:rPr>
                <w:lang w:val="fr-FR"/>
              </w:rPr>
              <w:t>’</w:t>
            </w:r>
            <w:r w:rsidRPr="007D7E4B">
              <w:rPr>
                <w:lang w:val="fr-FR"/>
              </w:rPr>
              <w:t>état solide, aucun liquide</w:t>
            </w:r>
          </w:p>
        </w:tc>
      </w:tr>
    </w:tbl>
    <w:p w:rsidR="000720B4" w:rsidRPr="007D7E4B" w:rsidRDefault="00B510EB" w:rsidP="00156AEA">
      <w:pPr>
        <w:pStyle w:val="SingleTxtG"/>
        <w:spacing w:before="240"/>
      </w:pPr>
      <w:r w:rsidRPr="007D7E4B">
        <w:rPr>
          <w:lang w:val="fr-FR"/>
        </w:rPr>
        <w:t>18.</w:t>
      </w:r>
      <w:r w:rsidRPr="007D7E4B">
        <w:rPr>
          <w:lang w:val="fr-FR"/>
        </w:rPr>
        <w:tab/>
        <w:t>Il ressort de ce qui précède que, comme pour les batteries «</w:t>
      </w:r>
      <w:r w:rsidR="00156AEA">
        <w:rPr>
          <w:lang w:val="fr-FR"/>
        </w:rPr>
        <w:t> </w:t>
      </w:r>
      <w:r w:rsidRPr="007D7E4B">
        <w:rPr>
          <w:lang w:val="fr-FR"/>
        </w:rPr>
        <w:t>inversables</w:t>
      </w:r>
      <w:r w:rsidR="00156AEA">
        <w:rPr>
          <w:lang w:val="fr-FR"/>
        </w:rPr>
        <w:t> </w:t>
      </w:r>
      <w:r w:rsidRPr="007D7E4B">
        <w:rPr>
          <w:lang w:val="fr-FR"/>
        </w:rPr>
        <w:t>», l</w:t>
      </w:r>
      <w:r w:rsidR="007D7E4B">
        <w:rPr>
          <w:lang w:val="fr-FR"/>
        </w:rPr>
        <w:t>’</w:t>
      </w:r>
      <w:r w:rsidRPr="007D7E4B">
        <w:rPr>
          <w:lang w:val="fr-FR"/>
        </w:rPr>
        <w:t>absence de fuite de liquide lorsque le boîtier est abîmé après l</w:t>
      </w:r>
      <w:r w:rsidR="007D7E4B">
        <w:rPr>
          <w:lang w:val="fr-FR"/>
        </w:rPr>
        <w:t>’</w:t>
      </w:r>
      <w:r w:rsidRPr="007D7E4B">
        <w:rPr>
          <w:lang w:val="fr-FR"/>
        </w:rPr>
        <w:t>épreuve de vibration pourrait permett</w:t>
      </w:r>
      <w:r w:rsidRPr="007D7E4B">
        <w:rPr>
          <w:lang w:val="fr-FR"/>
        </w:rPr>
        <w:t>re d</w:t>
      </w:r>
      <w:r w:rsidR="007D7E4B">
        <w:rPr>
          <w:lang w:val="fr-FR"/>
        </w:rPr>
        <w:t>’</w:t>
      </w:r>
      <w:r w:rsidRPr="007D7E4B">
        <w:rPr>
          <w:lang w:val="fr-FR"/>
        </w:rPr>
        <w:t>exclure les batteries au sodium-chlorure de nickel du champ d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application des règlements de transport. </w:t>
      </w:r>
    </w:p>
    <w:p w:rsidR="000720B4" w:rsidRPr="007D7E4B" w:rsidRDefault="00B510EB" w:rsidP="009C5D6A">
      <w:pPr>
        <w:pStyle w:val="H23G"/>
      </w:pPr>
      <w:r w:rsidRPr="007D7E4B">
        <w:rPr>
          <w:lang w:val="fr-FR"/>
        </w:rPr>
        <w:tab/>
      </w:r>
      <w:r w:rsidRPr="007D7E4B">
        <w:rPr>
          <w:lang w:val="fr-FR"/>
        </w:rPr>
        <w:tab/>
        <w:t>Batteries au sodium-chlorure de soufre et batteries au sodium-chlorure de nickel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19.</w:t>
      </w:r>
      <w:r w:rsidRPr="007D7E4B">
        <w:rPr>
          <w:lang w:val="fr-FR"/>
        </w:rPr>
        <w:tab/>
        <w:t>Même si les deux technologies relèvent de la même rubrique O</w:t>
      </w:r>
      <w:r w:rsidRPr="007D7E4B">
        <w:rPr>
          <w:lang w:val="fr-FR"/>
        </w:rPr>
        <w:t>NU (</w:t>
      </w:r>
      <w:r w:rsidR="00156AEA">
        <w:rPr>
          <w:lang w:val="fr-FR"/>
        </w:rPr>
        <w:t>No ONU </w:t>
      </w:r>
      <w:r w:rsidRPr="007D7E4B">
        <w:rPr>
          <w:lang w:val="fr-FR"/>
        </w:rPr>
        <w:t>3292), les batteries au sodium-chlorure de soufre et les batteries au sodium-chlorure de nickel présentent des différences considérables en matière de réactivité chimique et de sûreté, dont il conviendrait de tenir compte afin d</w:t>
      </w:r>
      <w:r w:rsidR="007D7E4B">
        <w:rPr>
          <w:lang w:val="fr-FR"/>
        </w:rPr>
        <w:t>’</w:t>
      </w:r>
      <w:r w:rsidRPr="007D7E4B">
        <w:rPr>
          <w:lang w:val="fr-FR"/>
        </w:rPr>
        <w:t>établir si une e</w:t>
      </w:r>
      <w:r w:rsidRPr="007D7E4B">
        <w:rPr>
          <w:lang w:val="fr-FR"/>
        </w:rPr>
        <w:t xml:space="preserve">xemption doit être prévue sous certaines conditions. Par rapport à la technologie sodium-soufre, la technologie sodium-chlorure de nickel offre les avantages </w:t>
      </w:r>
      <w:r w:rsidR="00156AEA">
        <w:rPr>
          <w:lang w:val="fr-FR"/>
        </w:rPr>
        <w:t>suivants en matière de sécurité </w:t>
      </w:r>
      <w:r w:rsidRPr="007D7E4B">
        <w:rPr>
          <w:lang w:val="fr-FR"/>
        </w:rPr>
        <w:t>:</w:t>
      </w:r>
    </w:p>
    <w:p w:rsidR="000720B4" w:rsidRPr="007D7E4B" w:rsidRDefault="00B510EB" w:rsidP="00156AEA">
      <w:pPr>
        <w:pStyle w:val="SingleTxtG"/>
        <w:ind w:firstLine="567"/>
      </w:pPr>
      <w:r w:rsidRPr="007D7E4B">
        <w:rPr>
          <w:lang w:val="fr-FR"/>
        </w:rPr>
        <w:t>a)</w:t>
      </w:r>
      <w:r w:rsidRPr="007D7E4B">
        <w:rPr>
          <w:lang w:val="fr-FR"/>
        </w:rPr>
        <w:tab/>
        <w:t xml:space="preserve">Produit de </w:t>
      </w:r>
      <w:proofErr w:type="gramStart"/>
      <w:r w:rsidRPr="007D7E4B">
        <w:rPr>
          <w:lang w:val="fr-FR"/>
        </w:rPr>
        <w:t>réaction plus sûr</w:t>
      </w:r>
      <w:proofErr w:type="gramEnd"/>
      <w:r w:rsidRPr="007D7E4B">
        <w:rPr>
          <w:lang w:val="fr-FR"/>
        </w:rPr>
        <w:t>. La chaleur dégagée par les réac</w:t>
      </w:r>
      <w:r w:rsidRPr="007D7E4B">
        <w:rPr>
          <w:lang w:val="fr-FR"/>
        </w:rPr>
        <w:t>tions exothermiques est moins élevée et la pression de vapeur des réactants est inférieure à celle de l</w:t>
      </w:r>
      <w:r w:rsidR="007D7E4B">
        <w:rPr>
          <w:lang w:val="fr-FR"/>
        </w:rPr>
        <w:t>’</w:t>
      </w:r>
      <w:r w:rsidRPr="007D7E4B">
        <w:rPr>
          <w:lang w:val="fr-FR"/>
        </w:rPr>
        <w:t>atmosphère jusqu</w:t>
      </w:r>
      <w:r w:rsidR="007D7E4B">
        <w:rPr>
          <w:lang w:val="fr-FR"/>
        </w:rPr>
        <w:t>’</w:t>
      </w:r>
      <w:r w:rsidRPr="007D7E4B">
        <w:rPr>
          <w:lang w:val="fr-FR"/>
        </w:rPr>
        <w:t>à une température de 900</w:t>
      </w:r>
      <w:r w:rsidR="00DC32DD">
        <w:rPr>
          <w:lang w:val="fr-FR"/>
        </w:rPr>
        <w:t> </w:t>
      </w:r>
      <w:r w:rsidRPr="007D7E4B">
        <w:rPr>
          <w:lang w:val="fr-FR"/>
        </w:rPr>
        <w:t>°C</w:t>
      </w:r>
      <w:r w:rsidR="00156AEA">
        <w:rPr>
          <w:lang w:val="fr-FR"/>
        </w:rPr>
        <w:t> </w:t>
      </w:r>
      <w:r w:rsidRPr="007D7E4B">
        <w:rPr>
          <w:lang w:val="fr-FR"/>
        </w:rPr>
        <w:t>;</w:t>
      </w:r>
    </w:p>
    <w:p w:rsidR="000720B4" w:rsidRPr="007D7E4B" w:rsidRDefault="00B510EB" w:rsidP="00156AEA">
      <w:pPr>
        <w:pStyle w:val="SingleTxtG"/>
        <w:ind w:firstLine="567"/>
      </w:pPr>
      <w:r w:rsidRPr="007D7E4B">
        <w:rPr>
          <w:lang w:val="fr-FR"/>
        </w:rPr>
        <w:t>b)</w:t>
      </w:r>
      <w:r w:rsidRPr="007D7E4B">
        <w:rPr>
          <w:lang w:val="fr-FR"/>
        </w:rPr>
        <w:tab/>
        <w:t>Moins de corrosion des composants métalliques. La composition chimique de l</w:t>
      </w:r>
      <w:r w:rsidR="007D7E4B">
        <w:rPr>
          <w:lang w:val="fr-FR"/>
        </w:rPr>
        <w:t>’</w:t>
      </w:r>
      <w:r w:rsidRPr="007D7E4B">
        <w:rPr>
          <w:lang w:val="fr-FR"/>
        </w:rPr>
        <w:t>électrode positive est peu</w:t>
      </w:r>
      <w:r w:rsidRPr="007D7E4B">
        <w:rPr>
          <w:lang w:val="fr-FR"/>
        </w:rPr>
        <w:t xml:space="preserve"> agressive par</w:t>
      </w:r>
      <w:r w:rsidR="00156AEA">
        <w:rPr>
          <w:lang w:val="fr-FR"/>
        </w:rPr>
        <w:t xml:space="preserve"> rapport à celle du Na2Sx fondu </w:t>
      </w:r>
      <w:r w:rsidRPr="007D7E4B">
        <w:rPr>
          <w:lang w:val="fr-FR"/>
        </w:rPr>
        <w:t>;</w:t>
      </w:r>
    </w:p>
    <w:p w:rsidR="000720B4" w:rsidRPr="007D7E4B" w:rsidRDefault="00B510EB" w:rsidP="00156AEA">
      <w:pPr>
        <w:pStyle w:val="SingleTxtG"/>
        <w:ind w:firstLine="567"/>
      </w:pPr>
      <w:r w:rsidRPr="007D7E4B">
        <w:rPr>
          <w:lang w:val="fr-FR"/>
        </w:rPr>
        <w:t>c)</w:t>
      </w:r>
      <w:r w:rsidRPr="007D7E4B">
        <w:rPr>
          <w:lang w:val="fr-FR"/>
        </w:rPr>
        <w:tab/>
        <w:t>Montage à l</w:t>
      </w:r>
      <w:r w:rsidR="007D7E4B">
        <w:rPr>
          <w:lang w:val="fr-FR"/>
        </w:rPr>
        <w:t>’</w:t>
      </w:r>
      <w:r w:rsidRPr="007D7E4B">
        <w:rPr>
          <w:lang w:val="fr-FR"/>
        </w:rPr>
        <w:t>état entièrement déchargé sans ma</w:t>
      </w:r>
      <w:r w:rsidR="00156AEA">
        <w:rPr>
          <w:lang w:val="fr-FR"/>
        </w:rPr>
        <w:t xml:space="preserve">nipulation de sodium métallique </w:t>
      </w:r>
      <w:r w:rsidRPr="007D7E4B">
        <w:rPr>
          <w:lang w:val="fr-FR"/>
        </w:rPr>
        <w:t>;</w:t>
      </w:r>
    </w:p>
    <w:p w:rsidR="000720B4" w:rsidRPr="007D7E4B" w:rsidRDefault="00B510EB" w:rsidP="00156AEA">
      <w:pPr>
        <w:pStyle w:val="SingleTxtG"/>
        <w:ind w:firstLine="567"/>
      </w:pPr>
      <w:r w:rsidRPr="007D7E4B">
        <w:rPr>
          <w:lang w:val="fr-FR"/>
        </w:rPr>
        <w:lastRenderedPageBreak/>
        <w:t>d)</w:t>
      </w:r>
      <w:r w:rsidRPr="007D7E4B">
        <w:rPr>
          <w:lang w:val="fr-FR"/>
        </w:rPr>
        <w:tab/>
        <w:t>Mode de défaillance fiable. Lorsque l</w:t>
      </w:r>
      <w:r w:rsidR="007D7E4B">
        <w:rPr>
          <w:lang w:val="fr-FR"/>
        </w:rPr>
        <w:t>’</w:t>
      </w:r>
      <w:r w:rsidRPr="007D7E4B">
        <w:rPr>
          <w:lang w:val="fr-FR"/>
        </w:rPr>
        <w:t>électrolyte céramique n</w:t>
      </w:r>
      <w:r w:rsidR="007D7E4B">
        <w:rPr>
          <w:lang w:val="fr-FR"/>
        </w:rPr>
        <w:t>’</w:t>
      </w:r>
      <w:r w:rsidRPr="007D7E4B">
        <w:rPr>
          <w:lang w:val="fr-FR"/>
        </w:rPr>
        <w:t>agit plus, le sodium réagit avec l</w:t>
      </w:r>
      <w:r w:rsidR="007D7E4B">
        <w:rPr>
          <w:lang w:val="fr-FR"/>
        </w:rPr>
        <w:t>’</w:t>
      </w:r>
      <w:r w:rsidRPr="007D7E4B">
        <w:rPr>
          <w:lang w:val="fr-FR"/>
        </w:rPr>
        <w:t>électrolyte secondaire po</w:t>
      </w:r>
      <w:r w:rsidRPr="007D7E4B">
        <w:rPr>
          <w:lang w:val="fr-FR"/>
        </w:rPr>
        <w:t>ur court-circuiter la pile.</w:t>
      </w:r>
    </w:p>
    <w:p w:rsidR="000720B4" w:rsidRPr="007D7E4B" w:rsidRDefault="00B510EB" w:rsidP="009C5D6A">
      <w:pPr>
        <w:pStyle w:val="H23G"/>
      </w:pPr>
      <w:r w:rsidRPr="007D7E4B">
        <w:rPr>
          <w:lang w:val="fr-FR"/>
        </w:rPr>
        <w:tab/>
      </w:r>
      <w:r w:rsidRPr="007D7E4B">
        <w:rPr>
          <w:lang w:val="fr-FR"/>
        </w:rPr>
        <w:tab/>
        <w:t>Batteries aux lithium et batteries au sodium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20.</w:t>
      </w:r>
      <w:r w:rsidRPr="007D7E4B">
        <w:rPr>
          <w:lang w:val="fr-FR"/>
        </w:rPr>
        <w:tab/>
        <w:t>D</w:t>
      </w:r>
      <w:r w:rsidR="007D7E4B">
        <w:rPr>
          <w:lang w:val="fr-FR"/>
        </w:rPr>
        <w:t>’</w:t>
      </w:r>
      <w:r w:rsidRPr="007D7E4B">
        <w:rPr>
          <w:lang w:val="fr-FR"/>
        </w:rPr>
        <w:t>un point de vue chimique, le lithium métallique et le sodium métallique ont des comportements similaires mais, comme nous l</w:t>
      </w:r>
      <w:r w:rsidR="007D7E4B">
        <w:rPr>
          <w:lang w:val="fr-FR"/>
        </w:rPr>
        <w:t>’</w:t>
      </w:r>
      <w:r w:rsidRPr="007D7E4B">
        <w:rPr>
          <w:lang w:val="fr-FR"/>
        </w:rPr>
        <w:t>avons vu plus haut, les données d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accident en lien </w:t>
      </w:r>
      <w:r w:rsidRPr="007D7E4B">
        <w:rPr>
          <w:lang w:val="fr-FR"/>
        </w:rPr>
        <w:t>avec les batteries au lithium métallique et les batteries au sodium-chlorure de nickel attestent du niveau de sûreté plus élevé de ces dernières. Par conséquent, on peut considérer que, dans le cadre du transport des batteries au sodium-chlorure de nickel,</w:t>
      </w:r>
      <w:r w:rsidRPr="007D7E4B">
        <w:rPr>
          <w:lang w:val="fr-FR"/>
        </w:rPr>
        <w:t xml:space="preserve"> il convient de prendre en considération le risque réel.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21.</w:t>
      </w:r>
      <w:r w:rsidRPr="007D7E4B">
        <w:rPr>
          <w:lang w:val="fr-FR"/>
        </w:rPr>
        <w:tab/>
        <w:t>L</w:t>
      </w:r>
      <w:r w:rsidR="007D7E4B">
        <w:rPr>
          <w:lang w:val="fr-FR"/>
        </w:rPr>
        <w:t>’</w:t>
      </w:r>
      <w:r w:rsidRPr="007D7E4B">
        <w:rPr>
          <w:lang w:val="fr-FR"/>
        </w:rPr>
        <w:t>expérience montre qu</w:t>
      </w:r>
      <w:r w:rsidR="007D7E4B">
        <w:rPr>
          <w:lang w:val="fr-FR"/>
        </w:rPr>
        <w:t>’</w:t>
      </w:r>
      <w:r w:rsidRPr="007D7E4B">
        <w:rPr>
          <w:lang w:val="fr-FR"/>
        </w:rPr>
        <w:t>aucun accident impliquant des batteries au sodium-chlorure de nickel, qui sont utilisées depuis aussi longtemps que les batteries au lithium et dans des conditions de fonct</w:t>
      </w:r>
      <w:r w:rsidRPr="007D7E4B">
        <w:rPr>
          <w:lang w:val="fr-FR"/>
        </w:rPr>
        <w:t>ionnement extrêmes que ces dernières ne peuvent supporter, n</w:t>
      </w:r>
      <w:r w:rsidR="007D7E4B">
        <w:rPr>
          <w:lang w:val="fr-FR"/>
        </w:rPr>
        <w:t>’</w:t>
      </w:r>
      <w:r w:rsidRPr="007D7E4B">
        <w:rPr>
          <w:lang w:val="fr-FR"/>
        </w:rPr>
        <w:t xml:space="preserve">a été enregistré. 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22.</w:t>
      </w:r>
      <w:r w:rsidRPr="007D7E4B">
        <w:rPr>
          <w:lang w:val="fr-FR"/>
        </w:rPr>
        <w:tab/>
        <w:t>Les instructions d</w:t>
      </w:r>
      <w:r w:rsidR="007D7E4B">
        <w:rPr>
          <w:lang w:val="fr-FR"/>
        </w:rPr>
        <w:t>’</w:t>
      </w:r>
      <w:r w:rsidRPr="007D7E4B">
        <w:rPr>
          <w:lang w:val="fr-FR"/>
        </w:rPr>
        <w:t>emballage tiennent également compte de ces différences. En effet, les batteries au sodium, indépendamment de leur taille, sont considérées comme suffisam</w:t>
      </w:r>
      <w:r w:rsidRPr="007D7E4B">
        <w:rPr>
          <w:lang w:val="fr-FR"/>
        </w:rPr>
        <w:t>ment solides pour qu</w:t>
      </w:r>
      <w:r w:rsidR="007D7E4B">
        <w:rPr>
          <w:lang w:val="fr-FR"/>
        </w:rPr>
        <w:t>’</w:t>
      </w:r>
      <w:r w:rsidRPr="007D7E4B">
        <w:rPr>
          <w:lang w:val="fr-FR"/>
        </w:rPr>
        <w:t>elles puissent être transportées sans emballage ou dans des emballages ne satisfaisant pas aux dispositions du paragraphe 4.1.1.3 (instruction d</w:t>
      </w:r>
      <w:r w:rsidR="007D7E4B">
        <w:rPr>
          <w:lang w:val="fr-FR"/>
        </w:rPr>
        <w:t>’</w:t>
      </w:r>
      <w:r w:rsidRPr="007D7E4B">
        <w:rPr>
          <w:lang w:val="fr-FR"/>
        </w:rPr>
        <w:t>emballage P408, point 2). En revanche, cela ne semble être le cas que pour les batteries a</w:t>
      </w:r>
      <w:r w:rsidRPr="007D7E4B">
        <w:rPr>
          <w:lang w:val="fr-FR"/>
        </w:rPr>
        <w:t>u lithium de plus de 12</w:t>
      </w:r>
      <w:r w:rsidR="00156AEA">
        <w:rPr>
          <w:lang w:val="fr-FR"/>
        </w:rPr>
        <w:t> </w:t>
      </w:r>
      <w:r w:rsidRPr="007D7E4B">
        <w:rPr>
          <w:lang w:val="fr-FR"/>
        </w:rPr>
        <w:t>kg (instruction d</w:t>
      </w:r>
      <w:r w:rsidR="007D7E4B">
        <w:rPr>
          <w:lang w:val="fr-FR"/>
        </w:rPr>
        <w:t>’</w:t>
      </w:r>
      <w:r w:rsidRPr="007D7E4B">
        <w:rPr>
          <w:lang w:val="fr-FR"/>
        </w:rPr>
        <w:t>emballage P903, point 2).</w:t>
      </w:r>
    </w:p>
    <w:p w:rsidR="000720B4" w:rsidRPr="007D7E4B" w:rsidRDefault="00B510EB" w:rsidP="009C5D6A">
      <w:pPr>
        <w:pStyle w:val="HChG"/>
      </w:pPr>
      <w:r w:rsidRPr="007D7E4B">
        <w:rPr>
          <w:lang w:val="fr-FR"/>
        </w:rPr>
        <w:tab/>
      </w:r>
      <w:r w:rsidRPr="007D7E4B">
        <w:rPr>
          <w:lang w:val="fr-FR"/>
        </w:rPr>
        <w:tab/>
        <w:t>Proposition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23.</w:t>
      </w:r>
      <w:r w:rsidRPr="007D7E4B">
        <w:rPr>
          <w:lang w:val="fr-FR"/>
        </w:rPr>
        <w:tab/>
        <w:t>Sur la base de cette longue expérience, des caractéristiques de la batterie à froid décrites ci-dessus et des épreuves exécutées récemment, il est proposé de revoir la cl</w:t>
      </w:r>
      <w:r w:rsidRPr="007D7E4B">
        <w:rPr>
          <w:lang w:val="fr-FR"/>
        </w:rPr>
        <w:t>assification des batteries au sodium-chlorure métallique (</w:t>
      </w:r>
      <w:r w:rsidR="00156AEA">
        <w:rPr>
          <w:lang w:val="fr-FR"/>
        </w:rPr>
        <w:t>No ONU 3292, dernier document examiné </w:t>
      </w:r>
      <w:r w:rsidRPr="007D7E4B">
        <w:rPr>
          <w:lang w:val="fr-FR"/>
        </w:rPr>
        <w:t>: ST/SG/AC.10/C.3/2010/30) afin d</w:t>
      </w:r>
      <w:r w:rsidR="007D7E4B">
        <w:rPr>
          <w:lang w:val="fr-FR"/>
        </w:rPr>
        <w:t>’</w:t>
      </w:r>
      <w:r w:rsidRPr="007D7E4B">
        <w:rPr>
          <w:lang w:val="fr-FR"/>
        </w:rPr>
        <w:t>appliquer des conditions de transport moins restrictives que celles requises par la classification actuelle.</w:t>
      </w:r>
    </w:p>
    <w:p w:rsidR="000720B4" w:rsidRPr="007D7E4B" w:rsidRDefault="00B510EB" w:rsidP="007D7E4B">
      <w:pPr>
        <w:pStyle w:val="SingleTxtG"/>
      </w:pPr>
      <w:r w:rsidRPr="007D7E4B">
        <w:rPr>
          <w:lang w:val="fr-FR"/>
        </w:rPr>
        <w:t>24.</w:t>
      </w:r>
      <w:r w:rsidRPr="007D7E4B">
        <w:rPr>
          <w:lang w:val="fr-FR"/>
        </w:rPr>
        <w:tab/>
        <w:t>Ajouter la ph</w:t>
      </w:r>
      <w:r w:rsidRPr="007D7E4B">
        <w:rPr>
          <w:lang w:val="fr-FR"/>
        </w:rPr>
        <w:t>rase suivante à la fin</w:t>
      </w:r>
      <w:r w:rsidR="00156AEA">
        <w:rPr>
          <w:lang w:val="fr-FR"/>
        </w:rPr>
        <w:t xml:space="preserve"> de la disposition spéciale 239 </w:t>
      </w:r>
      <w:r w:rsidRPr="007D7E4B">
        <w:rPr>
          <w:lang w:val="fr-FR"/>
        </w:rPr>
        <w:t>:</w:t>
      </w:r>
    </w:p>
    <w:p w:rsidR="007D7E4B" w:rsidRDefault="00B510EB" w:rsidP="007D7E4B">
      <w:pPr>
        <w:pStyle w:val="SingleTxtG"/>
        <w:rPr>
          <w:lang w:val="fr-FR"/>
        </w:rPr>
      </w:pPr>
      <w:r w:rsidRPr="007D7E4B">
        <w:rPr>
          <w:lang w:val="fr-FR"/>
        </w:rPr>
        <w:t>«</w:t>
      </w:r>
      <w:r w:rsidR="00156AEA">
        <w:rPr>
          <w:lang w:val="fr-FR"/>
        </w:rPr>
        <w:t> </w:t>
      </w:r>
      <w:r w:rsidRPr="007D7E4B">
        <w:rPr>
          <w:lang w:val="fr-FR"/>
        </w:rPr>
        <w:t>Les accumulateurs et les éléments d</w:t>
      </w:r>
      <w:r w:rsidR="007D7E4B">
        <w:rPr>
          <w:lang w:val="fr-FR"/>
        </w:rPr>
        <w:t>’</w:t>
      </w:r>
      <w:r w:rsidRPr="007D7E4B">
        <w:rPr>
          <w:lang w:val="fr-FR"/>
        </w:rPr>
        <w:t>accumulateur contenant du tétrachlorure d</w:t>
      </w:r>
      <w:r w:rsidR="007D7E4B">
        <w:rPr>
          <w:lang w:val="fr-FR"/>
        </w:rPr>
        <w:t>’</w:t>
      </w:r>
      <w:r w:rsidRPr="007D7E4B">
        <w:rPr>
          <w:lang w:val="fr-FR"/>
        </w:rPr>
        <w:t>aluminium et du sodium ne sont pas soumis au présent Règlement lorsqu</w:t>
      </w:r>
      <w:r w:rsidR="007D7E4B">
        <w:rPr>
          <w:lang w:val="fr-FR"/>
        </w:rPr>
        <w:t>’</w:t>
      </w:r>
      <w:r w:rsidRPr="007D7E4B">
        <w:rPr>
          <w:lang w:val="fr-FR"/>
        </w:rPr>
        <w:t>ils sont transportés à froid, soit à une températu</w:t>
      </w:r>
      <w:r w:rsidRPr="007D7E4B">
        <w:rPr>
          <w:lang w:val="fr-FR"/>
        </w:rPr>
        <w:t>re inférieure à 98</w:t>
      </w:r>
      <w:r w:rsidR="009C5D6A">
        <w:rPr>
          <w:lang w:val="fr-FR"/>
        </w:rPr>
        <w:t> </w:t>
      </w:r>
      <w:r w:rsidRPr="007D7E4B">
        <w:rPr>
          <w:lang w:val="fr-FR"/>
        </w:rPr>
        <w:t>°C.</w:t>
      </w:r>
      <w:r w:rsidR="00156AEA">
        <w:rPr>
          <w:lang w:val="fr-FR"/>
        </w:rPr>
        <w:t> </w:t>
      </w:r>
      <w:r w:rsidRPr="007D7E4B">
        <w:rPr>
          <w:lang w:val="fr-FR"/>
        </w:rPr>
        <w:t>»</w:t>
      </w:r>
      <w:r w:rsidR="00156AEA">
        <w:rPr>
          <w:lang w:val="fr-FR"/>
        </w:rPr>
        <w:t>.</w:t>
      </w:r>
    </w:p>
    <w:p w:rsidR="007D7E4B" w:rsidRPr="007D7E4B" w:rsidRDefault="007D7E4B" w:rsidP="007D7E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7E4B" w:rsidRPr="007D7E4B" w:rsidSect="007D7E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EE" w:rsidRDefault="00F863EE" w:rsidP="00F95C08">
      <w:pPr>
        <w:spacing w:line="240" w:lineRule="auto"/>
      </w:pPr>
    </w:p>
  </w:endnote>
  <w:endnote w:type="continuationSeparator" w:id="0">
    <w:p w:rsidR="00F863EE" w:rsidRPr="00AC3823" w:rsidRDefault="00F863EE" w:rsidP="00AC3823">
      <w:pPr>
        <w:pStyle w:val="Footer"/>
      </w:pPr>
    </w:p>
  </w:endnote>
  <w:endnote w:type="continuationNotice" w:id="1">
    <w:p w:rsidR="00F863EE" w:rsidRDefault="00F863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4B" w:rsidRPr="007D7E4B" w:rsidRDefault="007D7E4B" w:rsidP="007D7E4B">
    <w:pPr>
      <w:pStyle w:val="Footer"/>
      <w:tabs>
        <w:tab w:val="right" w:pos="9638"/>
      </w:tabs>
    </w:pPr>
    <w:r w:rsidRPr="007D7E4B">
      <w:rPr>
        <w:b/>
        <w:sz w:val="18"/>
      </w:rPr>
      <w:fldChar w:fldCharType="begin"/>
    </w:r>
    <w:r w:rsidRPr="007D7E4B">
      <w:rPr>
        <w:b/>
        <w:sz w:val="18"/>
      </w:rPr>
      <w:instrText xml:space="preserve"> PAGE  \* MERGEFORMAT </w:instrText>
    </w:r>
    <w:r w:rsidRPr="007D7E4B">
      <w:rPr>
        <w:b/>
        <w:sz w:val="18"/>
      </w:rPr>
      <w:fldChar w:fldCharType="separate"/>
    </w:r>
    <w:r w:rsidR="006878B2">
      <w:rPr>
        <w:b/>
        <w:noProof/>
        <w:sz w:val="18"/>
      </w:rPr>
      <w:t>4</w:t>
    </w:r>
    <w:r w:rsidRPr="007D7E4B">
      <w:rPr>
        <w:b/>
        <w:sz w:val="18"/>
      </w:rPr>
      <w:fldChar w:fldCharType="end"/>
    </w:r>
    <w:r>
      <w:rPr>
        <w:b/>
        <w:sz w:val="18"/>
      </w:rPr>
      <w:tab/>
    </w:r>
    <w:r>
      <w:t>GE.18-14726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4B" w:rsidRPr="007D7E4B" w:rsidRDefault="007D7E4B" w:rsidP="007D7E4B">
    <w:pPr>
      <w:pStyle w:val="Footer"/>
      <w:tabs>
        <w:tab w:val="right" w:pos="9638"/>
      </w:tabs>
      <w:rPr>
        <w:b/>
        <w:sz w:val="18"/>
      </w:rPr>
    </w:pPr>
    <w:r>
      <w:t>GE.18-14726</w:t>
    </w:r>
    <w:r>
      <w:tab/>
    </w:r>
    <w:r w:rsidRPr="007D7E4B">
      <w:rPr>
        <w:b/>
        <w:sz w:val="18"/>
      </w:rPr>
      <w:fldChar w:fldCharType="begin"/>
    </w:r>
    <w:r w:rsidRPr="007D7E4B">
      <w:rPr>
        <w:b/>
        <w:sz w:val="18"/>
      </w:rPr>
      <w:instrText xml:space="preserve"> PAGE  \* MERGEFORMAT </w:instrText>
    </w:r>
    <w:r w:rsidRPr="007D7E4B">
      <w:rPr>
        <w:b/>
        <w:sz w:val="18"/>
      </w:rPr>
      <w:fldChar w:fldCharType="separate"/>
    </w:r>
    <w:r w:rsidR="006878B2">
      <w:rPr>
        <w:b/>
        <w:noProof/>
        <w:sz w:val="18"/>
      </w:rPr>
      <w:t>3</w:t>
    </w:r>
    <w:r w:rsidRPr="007D7E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7D7E4B" w:rsidRDefault="007D7E4B" w:rsidP="007D7E4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14726  (</w:t>
    </w:r>
    <w:proofErr w:type="gramEnd"/>
    <w:r>
      <w:rPr>
        <w:sz w:val="20"/>
      </w:rPr>
      <w:t>F)    011018    101018</w:t>
    </w:r>
    <w:r>
      <w:rPr>
        <w:sz w:val="20"/>
      </w:rPr>
      <w:br/>
    </w:r>
    <w:r w:rsidRPr="007D7E4B">
      <w:rPr>
        <w:rFonts w:ascii="C39T30Lfz" w:hAnsi="C39T30Lfz"/>
        <w:sz w:val="56"/>
      </w:rPr>
      <w:t></w:t>
    </w:r>
    <w:r w:rsidRPr="007D7E4B">
      <w:rPr>
        <w:rFonts w:ascii="C39T30Lfz" w:hAnsi="C39T30Lfz"/>
        <w:sz w:val="56"/>
      </w:rPr>
      <w:t></w:t>
    </w:r>
    <w:r w:rsidRPr="007D7E4B">
      <w:rPr>
        <w:rFonts w:ascii="C39T30Lfz" w:hAnsi="C39T30Lfz"/>
        <w:sz w:val="56"/>
      </w:rPr>
      <w:t></w:t>
    </w:r>
    <w:r w:rsidRPr="007D7E4B">
      <w:rPr>
        <w:rFonts w:ascii="C39T30Lfz" w:hAnsi="C39T30Lfz"/>
        <w:sz w:val="56"/>
      </w:rPr>
      <w:t></w:t>
    </w:r>
    <w:r w:rsidRPr="007D7E4B">
      <w:rPr>
        <w:rFonts w:ascii="C39T30Lfz" w:hAnsi="C39T30Lfz"/>
        <w:sz w:val="56"/>
      </w:rPr>
      <w:t></w:t>
    </w:r>
    <w:r w:rsidRPr="007D7E4B">
      <w:rPr>
        <w:rFonts w:ascii="C39T30Lfz" w:hAnsi="C39T30Lfz"/>
        <w:sz w:val="56"/>
      </w:rPr>
      <w:t></w:t>
    </w:r>
    <w:r w:rsidRPr="007D7E4B">
      <w:rPr>
        <w:rFonts w:ascii="C39T30Lfz" w:hAnsi="C39T30Lfz"/>
        <w:sz w:val="56"/>
      </w:rPr>
      <w:t></w:t>
    </w:r>
    <w:r w:rsidRPr="007D7E4B">
      <w:rPr>
        <w:rFonts w:ascii="C39T30Lfz" w:hAnsi="C39T30Lfz"/>
        <w:sz w:val="56"/>
      </w:rPr>
      <w:t></w:t>
    </w:r>
    <w:r w:rsidRPr="007D7E4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EE" w:rsidRPr="00AC3823" w:rsidRDefault="00F863E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63EE" w:rsidRPr="00AC3823" w:rsidRDefault="00F863E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63EE" w:rsidRPr="00AC3823" w:rsidRDefault="00F863EE">
      <w:pPr>
        <w:spacing w:line="240" w:lineRule="auto"/>
        <w:rPr>
          <w:sz w:val="2"/>
          <w:szCs w:val="2"/>
        </w:rPr>
      </w:pPr>
    </w:p>
  </w:footnote>
  <w:footnote w:id="2">
    <w:p w:rsidR="007D7E4B" w:rsidRPr="007D7E4B" w:rsidRDefault="007D7E4B">
      <w:pPr>
        <w:pStyle w:val="FootnoteText"/>
      </w:pPr>
      <w:r>
        <w:rPr>
          <w:rStyle w:val="FootnoteReference"/>
        </w:rPr>
        <w:tab/>
      </w:r>
      <w:r w:rsidRPr="007D7E4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approuvé par le Comité à sa huitième session (voir ST/SG/AC.10/C.3/100, par.</w:t>
      </w:r>
      <w:r w:rsidR="00BD6AD1">
        <w:rPr>
          <w:lang w:val="fr-FR"/>
        </w:rPr>
        <w:t> 98, et ST/SG/</w:t>
      </w:r>
      <w:r w:rsidR="00DC32DD">
        <w:rPr>
          <w:lang w:val="fr-FR"/>
        </w:rPr>
        <w:t xml:space="preserve"> </w:t>
      </w:r>
      <w:r w:rsidR="00BD6AD1">
        <w:rPr>
          <w:lang w:val="fr-FR"/>
        </w:rPr>
        <w:t>AC.10/44, par. </w:t>
      </w:r>
      <w:r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4B" w:rsidRPr="007D7E4B" w:rsidRDefault="00B510E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4B" w:rsidRPr="007D7E4B" w:rsidRDefault="00B510EB" w:rsidP="007D7E4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EE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56AEA"/>
    <w:rsid w:val="00176178"/>
    <w:rsid w:val="001F525A"/>
    <w:rsid w:val="00223272"/>
    <w:rsid w:val="0024779E"/>
    <w:rsid w:val="00283190"/>
    <w:rsid w:val="002832AC"/>
    <w:rsid w:val="002D7C93"/>
    <w:rsid w:val="003E5E82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6878B2"/>
    <w:rsid w:val="0071601D"/>
    <w:rsid w:val="007A62E6"/>
    <w:rsid w:val="007D7E4B"/>
    <w:rsid w:val="0080684C"/>
    <w:rsid w:val="00840A8E"/>
    <w:rsid w:val="00871C75"/>
    <w:rsid w:val="008776DC"/>
    <w:rsid w:val="008B40CD"/>
    <w:rsid w:val="0093368F"/>
    <w:rsid w:val="009705C8"/>
    <w:rsid w:val="009C1CF4"/>
    <w:rsid w:val="009C5D6A"/>
    <w:rsid w:val="00A30353"/>
    <w:rsid w:val="00AC13A0"/>
    <w:rsid w:val="00AC3823"/>
    <w:rsid w:val="00AE323C"/>
    <w:rsid w:val="00B00181"/>
    <w:rsid w:val="00B00B0D"/>
    <w:rsid w:val="00B510EB"/>
    <w:rsid w:val="00B765F7"/>
    <w:rsid w:val="00BA0CA9"/>
    <w:rsid w:val="00BD6AD1"/>
    <w:rsid w:val="00C02897"/>
    <w:rsid w:val="00D3439C"/>
    <w:rsid w:val="00D856A6"/>
    <w:rsid w:val="00DB1831"/>
    <w:rsid w:val="00DC32DD"/>
    <w:rsid w:val="00DD3BFD"/>
    <w:rsid w:val="00DF6678"/>
    <w:rsid w:val="00EC04A7"/>
    <w:rsid w:val="00EF2E22"/>
    <w:rsid w:val="00F01738"/>
    <w:rsid w:val="00F660DF"/>
    <w:rsid w:val="00F730C8"/>
    <w:rsid w:val="00F863E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F3601E-5C96-42C6-A3F8-0262491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D7E4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ST/SG/AC.10/C.3/2018/110</vt:lpstr>
      <vt:lpstr>ST/SG/AC.10/C.3/2018/110</vt:lpstr>
    </vt:vector>
  </TitlesOfParts>
  <Company>DCM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ST/SG/AC.10/C.3/2018/110</dc:title>
  <dc:subject/>
  <dc:creator>Fabienne CRELIER</dc:creator>
  <cp:keywords/>
  <cp:lastModifiedBy>Laurence Berthet</cp:lastModifiedBy>
  <cp:revision>3</cp:revision>
  <cp:lastPrinted>2018-10-10T14:42:00Z</cp:lastPrinted>
  <dcterms:created xsi:type="dcterms:W3CDTF">2018-10-10T14:42:00Z</dcterms:created>
  <dcterms:modified xsi:type="dcterms:W3CDTF">2018-10-10T14:42:00Z</dcterms:modified>
</cp:coreProperties>
</file>