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323CDB">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23CDB" w:rsidP="00323CDB">
            <w:pPr>
              <w:jc w:val="right"/>
            </w:pPr>
            <w:r w:rsidRPr="00323CDB">
              <w:rPr>
                <w:sz w:val="40"/>
              </w:rPr>
              <w:t>ST</w:t>
            </w:r>
            <w:r>
              <w:t>/SG/AC.10/C.3/2018/102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23CDB" w:rsidP="00F01738">
            <w:pPr>
              <w:spacing w:before="240"/>
            </w:pPr>
            <w:proofErr w:type="spellStart"/>
            <w:r>
              <w:t>Distr</w:t>
            </w:r>
            <w:proofErr w:type="spellEnd"/>
            <w:r>
              <w:t xml:space="preserve">. </w:t>
            </w:r>
            <w:proofErr w:type="gramStart"/>
            <w:r>
              <w:t>générale</w:t>
            </w:r>
            <w:proofErr w:type="gramEnd"/>
          </w:p>
          <w:p w:rsidR="00323CDB" w:rsidRDefault="00323CDB" w:rsidP="00323CDB">
            <w:pPr>
              <w:spacing w:line="240" w:lineRule="exact"/>
            </w:pPr>
            <w:r>
              <w:t>5 septembre 2018</w:t>
            </w:r>
          </w:p>
          <w:p w:rsidR="00323CDB" w:rsidRDefault="00323CDB" w:rsidP="00323CDB">
            <w:pPr>
              <w:spacing w:line="240" w:lineRule="exact"/>
            </w:pPr>
            <w:r>
              <w:t>Français</w:t>
            </w:r>
          </w:p>
          <w:p w:rsidR="00323CDB" w:rsidRPr="00DB58B5" w:rsidRDefault="00323CDB" w:rsidP="00323CDB">
            <w:pPr>
              <w:spacing w:line="240" w:lineRule="exact"/>
            </w:pPr>
            <w:r>
              <w:t>Original : anglais</w:t>
            </w:r>
          </w:p>
        </w:tc>
      </w:tr>
    </w:tbl>
    <w:p w:rsidR="00323CDB" w:rsidRPr="00CA0680" w:rsidRDefault="00323CDB"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323CDB" w:rsidRPr="00CA0680" w:rsidRDefault="00323CDB"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323CDB" w:rsidRDefault="00323CDB" w:rsidP="000305D3">
      <w:pPr>
        <w:spacing w:before="120"/>
        <w:rPr>
          <w:b/>
        </w:rPr>
      </w:pPr>
      <w:r w:rsidRPr="00323CDB">
        <w:rPr>
          <w:b/>
          <w:lang w:val="fr-FR"/>
        </w:rPr>
        <w:t xml:space="preserve">Cinquante-quatrième </w:t>
      </w:r>
      <w:r w:rsidRPr="00CA0680">
        <w:rPr>
          <w:b/>
        </w:rPr>
        <w:t>session</w:t>
      </w:r>
    </w:p>
    <w:p w:rsidR="00323CDB" w:rsidRDefault="00323CDB" w:rsidP="000305D3">
      <w:r>
        <w:t xml:space="preserve">Genève, </w:t>
      </w:r>
      <w:r w:rsidRPr="005B4BC1">
        <w:rPr>
          <w:rFonts w:asciiTheme="majorBidi" w:hAnsiTheme="majorBidi" w:cstheme="majorBidi"/>
          <w:color w:val="333333"/>
          <w:lang w:val="fr-FR" w:eastAsia="it-IT"/>
        </w:rPr>
        <w:t>26</w:t>
      </w:r>
      <w:r>
        <w:rPr>
          <w:rFonts w:asciiTheme="majorBidi" w:hAnsiTheme="majorBidi" w:cstheme="majorBidi"/>
          <w:color w:val="333333"/>
          <w:lang w:val="fr-FR" w:eastAsia="it-IT"/>
        </w:rPr>
        <w:t> </w:t>
      </w:r>
      <w:r w:rsidRPr="005B4BC1">
        <w:rPr>
          <w:rFonts w:asciiTheme="majorBidi" w:hAnsiTheme="majorBidi" w:cstheme="majorBidi"/>
          <w:color w:val="333333"/>
          <w:lang w:val="fr-FR" w:eastAsia="it-IT"/>
        </w:rPr>
        <w:t>novembre</w:t>
      </w:r>
      <w:r>
        <w:rPr>
          <w:rFonts w:asciiTheme="majorBidi" w:hAnsiTheme="majorBidi" w:cstheme="majorBidi"/>
          <w:color w:val="333333"/>
          <w:lang w:val="fr-FR" w:eastAsia="it-IT"/>
        </w:rPr>
        <w:t>-4 </w:t>
      </w:r>
      <w:r w:rsidRPr="005B4BC1">
        <w:rPr>
          <w:rFonts w:asciiTheme="majorBidi" w:hAnsiTheme="majorBidi" w:cstheme="majorBidi"/>
          <w:color w:val="333333"/>
          <w:lang w:val="fr-FR" w:eastAsia="it-IT"/>
        </w:rPr>
        <w:t>décembre 2018</w:t>
      </w:r>
    </w:p>
    <w:p w:rsidR="00323CDB" w:rsidRDefault="00323CDB" w:rsidP="00323CDB">
      <w:r>
        <w:t>Point 6 de l’ordre du jour provisoire</w:t>
      </w:r>
    </w:p>
    <w:p w:rsidR="00323CDB" w:rsidRPr="005B4BC1" w:rsidRDefault="00323CDB" w:rsidP="00323CDB">
      <w:pPr>
        <w:pStyle w:val="NormalWeb"/>
        <w:spacing w:line="240" w:lineRule="auto"/>
        <w:rPr>
          <w:rFonts w:asciiTheme="majorBidi" w:hAnsiTheme="majorBidi" w:cstheme="majorBidi"/>
          <w:b/>
          <w:bCs/>
          <w:sz w:val="20"/>
          <w:szCs w:val="20"/>
          <w:lang w:val="fr-FR"/>
        </w:rPr>
      </w:pPr>
      <w:r w:rsidRPr="005B4BC1">
        <w:rPr>
          <w:rFonts w:asciiTheme="majorBidi" w:hAnsiTheme="majorBidi" w:cstheme="majorBidi"/>
          <w:b/>
          <w:bCs/>
          <w:sz w:val="20"/>
          <w:szCs w:val="20"/>
          <w:lang w:val="fr-FR"/>
        </w:rPr>
        <w:t>Nouvelles propositions d</w:t>
      </w:r>
      <w:r>
        <w:rPr>
          <w:rFonts w:asciiTheme="majorBidi" w:hAnsiTheme="majorBidi" w:cstheme="majorBidi"/>
          <w:b/>
          <w:bCs/>
          <w:sz w:val="20"/>
          <w:szCs w:val="20"/>
          <w:lang w:val="fr-FR"/>
        </w:rPr>
        <w:t>’</w:t>
      </w:r>
      <w:r w:rsidR="00C52926">
        <w:rPr>
          <w:rFonts w:asciiTheme="majorBidi" w:hAnsiTheme="majorBidi" w:cstheme="majorBidi"/>
          <w:b/>
          <w:bCs/>
          <w:sz w:val="20"/>
          <w:szCs w:val="20"/>
          <w:lang w:val="fr-FR"/>
        </w:rPr>
        <w:t>amendements au Règlement type</w:t>
      </w:r>
      <w:r>
        <w:rPr>
          <w:rFonts w:asciiTheme="majorBidi" w:hAnsiTheme="majorBidi" w:cstheme="majorBidi"/>
          <w:b/>
          <w:bCs/>
          <w:sz w:val="20"/>
          <w:szCs w:val="20"/>
          <w:lang w:val="fr-FR"/>
        </w:rPr>
        <w:br/>
      </w:r>
      <w:r w:rsidRPr="005B4BC1">
        <w:rPr>
          <w:rFonts w:asciiTheme="majorBidi" w:hAnsiTheme="majorBidi" w:cstheme="majorBidi"/>
          <w:b/>
          <w:bCs/>
          <w:sz w:val="20"/>
          <w:szCs w:val="20"/>
          <w:lang w:val="fr-FR"/>
        </w:rPr>
        <w:t>pour le transport des marchandises dangereuses</w:t>
      </w:r>
    </w:p>
    <w:p w:rsidR="00323CDB" w:rsidRPr="005B4BC1" w:rsidRDefault="00323CDB" w:rsidP="00323CDB">
      <w:pPr>
        <w:pStyle w:val="HChG"/>
      </w:pPr>
      <w:r w:rsidRPr="005B4BC1">
        <w:tab/>
      </w:r>
      <w:r w:rsidRPr="005B4BC1">
        <w:tab/>
        <w:t>Différenciation visuelle des étiquettes relatives aux gaz</w:t>
      </w:r>
    </w:p>
    <w:p w:rsidR="00323CDB" w:rsidRPr="005B4BC1" w:rsidRDefault="00323CDB" w:rsidP="00323CDB">
      <w:pPr>
        <w:pStyle w:val="H1G"/>
        <w:spacing w:before="240" w:line="240" w:lineRule="auto"/>
        <w:rPr>
          <w:rFonts w:asciiTheme="majorBidi" w:hAnsiTheme="majorBidi" w:cstheme="majorBidi"/>
        </w:rPr>
      </w:pPr>
      <w:r w:rsidRPr="005B4BC1">
        <w:rPr>
          <w:rFonts w:asciiTheme="majorBidi" w:hAnsiTheme="majorBidi" w:cstheme="majorBidi"/>
        </w:rPr>
        <w:tab/>
      </w:r>
      <w:r w:rsidRPr="005B4BC1">
        <w:rPr>
          <w:rFonts w:asciiTheme="majorBidi" w:hAnsiTheme="majorBidi" w:cstheme="majorBidi"/>
        </w:rPr>
        <w:tab/>
        <w:t>Communication de l</w:t>
      </w:r>
      <w:r>
        <w:rPr>
          <w:rFonts w:asciiTheme="majorBidi" w:hAnsiTheme="majorBidi" w:cstheme="majorBidi"/>
        </w:rPr>
        <w:t>’</w:t>
      </w:r>
      <w:r w:rsidRPr="005B4BC1">
        <w:rPr>
          <w:rFonts w:asciiTheme="majorBidi" w:hAnsiTheme="majorBidi" w:cstheme="majorBidi"/>
        </w:rPr>
        <w:t>expert de l</w:t>
      </w:r>
      <w:r>
        <w:rPr>
          <w:rFonts w:asciiTheme="majorBidi" w:hAnsiTheme="majorBidi" w:cstheme="majorBidi"/>
        </w:rPr>
        <w:t>’</w:t>
      </w:r>
      <w:r w:rsidRPr="005B4BC1">
        <w:rPr>
          <w:rFonts w:asciiTheme="majorBidi" w:hAnsiTheme="majorBidi" w:cstheme="majorBidi"/>
        </w:rPr>
        <w:t>Espagne</w:t>
      </w:r>
      <w:r w:rsidR="006E1634" w:rsidRPr="006E1634">
        <w:rPr>
          <w:rStyle w:val="FootnoteReference"/>
          <w:rFonts w:cstheme="majorBidi"/>
          <w:b w:val="0"/>
          <w:sz w:val="20"/>
          <w:vertAlign w:val="baseline"/>
        </w:rPr>
        <w:footnoteReference w:customMarkFollows="1" w:id="2"/>
        <w:t>*</w:t>
      </w:r>
    </w:p>
    <w:p w:rsidR="00323CDB" w:rsidRPr="005B4BC1" w:rsidRDefault="00323CDB" w:rsidP="00323CDB">
      <w:pPr>
        <w:pStyle w:val="HChG"/>
        <w:spacing w:before="240" w:line="240" w:lineRule="auto"/>
        <w:rPr>
          <w:rFonts w:asciiTheme="majorBidi" w:hAnsiTheme="majorBidi" w:cstheme="majorBidi"/>
        </w:rPr>
      </w:pPr>
      <w:r w:rsidRPr="005B4BC1">
        <w:rPr>
          <w:rFonts w:asciiTheme="majorBidi" w:hAnsiTheme="majorBidi" w:cstheme="majorBidi"/>
        </w:rPr>
        <w:tab/>
      </w:r>
      <w:r w:rsidRPr="005B4BC1">
        <w:rPr>
          <w:rFonts w:asciiTheme="majorBidi" w:hAnsiTheme="majorBidi" w:cstheme="majorBidi"/>
        </w:rPr>
        <w:tab/>
        <w:t>Introduction</w:t>
      </w:r>
    </w:p>
    <w:p w:rsidR="00323CDB" w:rsidRDefault="00323CDB" w:rsidP="00323CDB">
      <w:pPr>
        <w:pStyle w:val="SingleTxtG"/>
      </w:pPr>
      <w:r w:rsidRPr="005B4BC1">
        <w:t>1.</w:t>
      </w:r>
      <w:r w:rsidRPr="005B4BC1">
        <w:tab/>
        <w:t>Plusieurs étiquettes correspondant à différentes classes ne se différencient que par le chiffre inscrit dans la partie inférieure de l</w:t>
      </w:r>
      <w:r>
        <w:t>’</w:t>
      </w:r>
      <w:r w:rsidRPr="005B4BC1">
        <w:t>étiquette. Il en va ainsi pour les étiquettes n</w:t>
      </w:r>
      <w:r w:rsidRPr="00323CDB">
        <w:rPr>
          <w:vertAlign w:val="superscript"/>
        </w:rPr>
        <w:t>os</w:t>
      </w:r>
      <w:r>
        <w:t> </w:t>
      </w:r>
      <w:r w:rsidRPr="005B4BC1">
        <w:t>2.1 et 3 et n</w:t>
      </w:r>
      <w:r w:rsidRPr="00323CDB">
        <w:rPr>
          <w:vertAlign w:val="superscript"/>
        </w:rPr>
        <w:t>os</w:t>
      </w:r>
      <w:r>
        <w:t> </w:t>
      </w:r>
      <w:r w:rsidRPr="005B4BC1">
        <w:t>2.3 et 6</w:t>
      </w:r>
      <w:r>
        <w:t> </w:t>
      </w:r>
      <w:r w:rsidRPr="005B4BC1">
        <w:t>:</w:t>
      </w:r>
    </w:p>
    <w:p w:rsidR="00323CDB" w:rsidRPr="005B4BC1" w:rsidRDefault="00323CDB" w:rsidP="006E1634">
      <w:pPr>
        <w:pStyle w:val="SingleTxtG"/>
        <w:spacing w:before="240" w:line="240" w:lineRule="auto"/>
        <w:ind w:right="1416"/>
        <w:jc w:val="center"/>
        <w:rPr>
          <w:rFonts w:asciiTheme="majorBidi" w:hAnsiTheme="majorBidi" w:cstheme="majorBidi"/>
          <w:lang w:eastAsia="es-ES"/>
        </w:rPr>
      </w:pPr>
      <w:r w:rsidRPr="005B4BC1">
        <w:rPr>
          <w:rFonts w:asciiTheme="majorBidi" w:hAnsiTheme="majorBidi" w:cstheme="majorBidi"/>
          <w:noProof/>
          <w:lang w:eastAsia="fr-CH"/>
        </w:rPr>
        <w:drawing>
          <wp:inline distT="0" distB="0" distL="0" distR="0" wp14:anchorId="1C6D6BDE" wp14:editId="2CCFE86F">
            <wp:extent cx="1114425" cy="1114425"/>
            <wp:effectExtent l="0" t="0" r="9525" b="9525"/>
            <wp:docPr id="8" name="Imagen 8" descr="http://www.unece.org/fileadmin/DAM/trans/danger/publi/ghs/TDGpictograms/ro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TDGpictograms/rouge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32" cy="1113732"/>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3F14BA6C" wp14:editId="1940A1BF">
            <wp:extent cx="1095375" cy="1095375"/>
            <wp:effectExtent l="0" t="0" r="9525" b="9525"/>
            <wp:docPr id="9" name="Imagen 9" descr="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TDGpictograms/rouge2_noi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694" cy="1094694"/>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5F89CE10" wp14:editId="44B32610">
            <wp:extent cx="1104900" cy="1104900"/>
            <wp:effectExtent l="0" t="0" r="0" b="0"/>
            <wp:docPr id="10" name="Imagen 10"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27C7FD05" wp14:editId="3E426E0D">
            <wp:extent cx="1104900" cy="1104900"/>
            <wp:effectExtent l="0" t="0" r="0" b="0"/>
            <wp:docPr id="12" name="Imagen 12"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p>
    <w:p w:rsidR="00323CDB" w:rsidRDefault="00323CDB" w:rsidP="006E1634">
      <w:pPr>
        <w:pStyle w:val="SingleTxtG"/>
        <w:spacing w:before="240" w:after="240" w:line="240" w:lineRule="auto"/>
        <w:jc w:val="left"/>
        <w:rPr>
          <w:rFonts w:asciiTheme="majorBidi" w:hAnsiTheme="majorBidi" w:cstheme="majorBidi"/>
          <w:lang w:eastAsia="es-ES"/>
        </w:rPr>
      </w:pPr>
      <w:r w:rsidRPr="005B4BC1">
        <w:rPr>
          <w:rFonts w:asciiTheme="majorBidi" w:hAnsiTheme="majorBidi" w:cstheme="majorBidi"/>
          <w:noProof/>
          <w:lang w:eastAsia="fr-CH"/>
        </w:rPr>
        <w:drawing>
          <wp:inline distT="0" distB="0" distL="0" distR="0" wp14:anchorId="1584BC45" wp14:editId="20376ADA">
            <wp:extent cx="1047750" cy="1083486"/>
            <wp:effectExtent l="0" t="0" r="0" b="2540"/>
            <wp:docPr id="5" name="Picture 13" descr="clase 2 clv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3" name="Picture 13" descr="clase 2 clvr"/>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2803" cy="1109393"/>
                    </a:xfrm>
                    <a:prstGeom prst="rect">
                      <a:avLst/>
                    </a:prstGeom>
                    <a:noFill/>
                    <a:ln>
                      <a:noFill/>
                    </a:ln>
                    <a:effectLst/>
                    <a:extLst/>
                  </pic:spPr>
                </pic:pic>
              </a:graphicData>
            </a:graphic>
          </wp:inline>
        </w:drawing>
      </w:r>
      <w:r w:rsidRPr="005B4BC1">
        <w:rPr>
          <w:rFonts w:asciiTheme="majorBidi" w:hAnsiTheme="majorBidi" w:cstheme="majorBidi"/>
          <w:noProof/>
          <w:lang w:eastAsia="fr-CH"/>
        </w:rPr>
        <w:drawing>
          <wp:inline distT="0" distB="0" distL="0" distR="0" wp14:anchorId="090AE120" wp14:editId="016B3762">
            <wp:extent cx="1114425" cy="1114426"/>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355" cy="1120356"/>
                    </a:xfrm>
                    <a:prstGeom prst="rect">
                      <a:avLst/>
                    </a:prstGeom>
                    <a:noFill/>
                    <a:ln>
                      <a:noFill/>
                    </a:ln>
                    <a:extLst/>
                  </pic:spPr>
                </pic:pic>
              </a:graphicData>
            </a:graphic>
          </wp:inline>
        </w:drawing>
      </w:r>
    </w:p>
    <w:p w:rsidR="00323CDB" w:rsidRPr="005B4BC1" w:rsidRDefault="00323CDB" w:rsidP="00FC18B7">
      <w:pPr>
        <w:pStyle w:val="SingleTxtG"/>
        <w:keepNext/>
        <w:keepLines/>
      </w:pPr>
      <w:r w:rsidRPr="005B4BC1">
        <w:lastRenderedPageBreak/>
        <w:t>2.</w:t>
      </w:r>
      <w:r w:rsidRPr="005B4BC1">
        <w:tab/>
        <w:t>Cette situation peut créer des difficultés pour les services d</w:t>
      </w:r>
      <w:r>
        <w:t>’</w:t>
      </w:r>
      <w:r w:rsidRPr="005B4BC1">
        <w:t>urgence (police, pompiers, etc</w:t>
      </w:r>
      <w:r>
        <w:t>.</w:t>
      </w:r>
      <w:r w:rsidRPr="005B4BC1">
        <w:t>), qui devraient pouvoir distinguer facilement les étiquettes l</w:t>
      </w:r>
      <w:r>
        <w:t>’</w:t>
      </w:r>
      <w:r w:rsidRPr="005B4BC1">
        <w:t>une de l</w:t>
      </w:r>
      <w:r>
        <w:t>’</w:t>
      </w:r>
      <w:r w:rsidRPr="005B4BC1">
        <w:t>autre. L</w:t>
      </w:r>
      <w:r>
        <w:t>’</w:t>
      </w:r>
      <w:r w:rsidRPr="005B4BC1">
        <w:t>incapacité à y parvenir pourrait entraîner une intervention inadaptée sur le lieu de l</w:t>
      </w:r>
      <w:r>
        <w:t>’</w:t>
      </w:r>
      <w:r w:rsidRPr="005B4BC1">
        <w:t>accident. Les interventions en cas d</w:t>
      </w:r>
      <w:r>
        <w:t>’</w:t>
      </w:r>
      <w:r w:rsidRPr="005B4BC1">
        <w:t>accident impliquant des gaz inflammables sont très différentes de celles qui doivent être menées face à des liquides inflammables, et se trouver en présence d</w:t>
      </w:r>
      <w:r>
        <w:t>’</w:t>
      </w:r>
      <w:r w:rsidRPr="005B4BC1">
        <w:t>un gaz toxique ou d</w:t>
      </w:r>
      <w:r>
        <w:t>’</w:t>
      </w:r>
      <w:r w:rsidRPr="005B4BC1">
        <w:t>une autre substance toxique, liquide ou solide, n</w:t>
      </w:r>
      <w:r>
        <w:t>’</w:t>
      </w:r>
      <w:r w:rsidRPr="005B4BC1">
        <w:t>est pas la même chose.</w:t>
      </w:r>
    </w:p>
    <w:p w:rsidR="00323CDB" w:rsidRPr="005B4BC1" w:rsidRDefault="00323CDB" w:rsidP="00323CDB">
      <w:pPr>
        <w:pStyle w:val="HChG"/>
      </w:pPr>
      <w:r>
        <w:tab/>
      </w:r>
      <w:r>
        <w:tab/>
      </w:r>
      <w:r w:rsidRPr="005B4BC1">
        <w:t>Analyse</w:t>
      </w:r>
    </w:p>
    <w:p w:rsidR="00323CDB" w:rsidRPr="005B4BC1" w:rsidRDefault="00323CDB" w:rsidP="00323CDB">
      <w:pPr>
        <w:pStyle w:val="SingleTxtG"/>
      </w:pPr>
      <w:r w:rsidRPr="005B4BC1">
        <w:t>3.</w:t>
      </w:r>
      <w:r w:rsidRPr="005B4BC1">
        <w:tab/>
        <w:t xml:space="preserve">Les étiquettes reproduites ci-dessus sont de la même couleur et affichent le même symbole, la seule différence entre </w:t>
      </w:r>
      <w:r>
        <w:t>elles</w:t>
      </w:r>
      <w:r w:rsidRPr="005B4BC1">
        <w:t xml:space="preserve"> étant le numéro de la classe figurant dans la partie inférieure.</w:t>
      </w:r>
    </w:p>
    <w:p w:rsidR="00323CDB" w:rsidRPr="005B4BC1" w:rsidRDefault="00323CDB" w:rsidP="00323CDB">
      <w:pPr>
        <w:pStyle w:val="SingleTxtG"/>
      </w:pPr>
      <w:r w:rsidRPr="005B4BC1">
        <w:t>4.</w:t>
      </w:r>
      <w:r w:rsidRPr="005B4BC1">
        <w:tab/>
        <w:t>La couleur de l</w:t>
      </w:r>
      <w:r>
        <w:t>’</w:t>
      </w:r>
      <w:r w:rsidRPr="005B4BC1">
        <w:t>étiquette donne une indication claire et incontestable permettant de différencier les étiquettes de loin et d</w:t>
      </w:r>
      <w:r>
        <w:t>’</w:t>
      </w:r>
      <w:r w:rsidRPr="005B4BC1">
        <w:t>indiquer aux p</w:t>
      </w:r>
      <w:r w:rsidR="00963943">
        <w:t>remiers secours à quel problème</w:t>
      </w:r>
      <w:r w:rsidRPr="005B4BC1">
        <w:t xml:space="preserve"> ils sont confrontés.</w:t>
      </w:r>
    </w:p>
    <w:p w:rsidR="00323CDB" w:rsidRPr="005B4BC1" w:rsidRDefault="00323CDB" w:rsidP="00323CDB">
      <w:pPr>
        <w:pStyle w:val="SingleTxtG"/>
      </w:pPr>
      <w:r w:rsidRPr="005B4BC1">
        <w:t>5.</w:t>
      </w:r>
      <w:r w:rsidRPr="005B4BC1">
        <w:tab/>
        <w:t>L</w:t>
      </w:r>
      <w:r>
        <w:t>’</w:t>
      </w:r>
      <w:r w:rsidRPr="005B4BC1">
        <w:t xml:space="preserve">étiquette </w:t>
      </w:r>
      <w:r>
        <w:t>correspondant au modèle</w:t>
      </w:r>
      <w:r w:rsidRPr="005B4BC1">
        <w:t xml:space="preserve"> </w:t>
      </w:r>
      <w:r w:rsidRPr="002D76F4">
        <w:rPr>
          <w:rFonts w:eastAsia="MS Mincho"/>
          <w:szCs w:val="22"/>
        </w:rPr>
        <w:t>n</w:t>
      </w:r>
      <w:r w:rsidRPr="002D76F4">
        <w:rPr>
          <w:rFonts w:eastAsia="MS Mincho"/>
          <w:szCs w:val="22"/>
          <w:vertAlign w:val="superscript"/>
        </w:rPr>
        <w:t>o</w:t>
      </w:r>
      <w:r>
        <w:t> </w:t>
      </w:r>
      <w:r w:rsidRPr="005B4BC1">
        <w:t>2.2 est verte et donc facile à identifier de loin</w:t>
      </w:r>
      <w:r>
        <w:t> </w:t>
      </w:r>
      <w:r w:rsidRPr="005B4BC1">
        <w:t>:</w:t>
      </w:r>
    </w:p>
    <w:p w:rsidR="00323CDB" w:rsidRPr="005B4BC1" w:rsidRDefault="00323CDB" w:rsidP="00E151BA">
      <w:pPr>
        <w:pStyle w:val="SingleTxtG"/>
        <w:spacing w:before="240" w:after="240" w:line="240" w:lineRule="auto"/>
        <w:jc w:val="left"/>
        <w:rPr>
          <w:rFonts w:asciiTheme="majorBidi" w:hAnsiTheme="majorBidi" w:cstheme="majorBidi"/>
        </w:rPr>
      </w:pPr>
      <w:r w:rsidRPr="005B4BC1">
        <w:rPr>
          <w:rFonts w:asciiTheme="majorBidi" w:hAnsiTheme="majorBidi" w:cstheme="majorBidi"/>
          <w:noProof/>
          <w:lang w:eastAsia="fr-CH"/>
        </w:rPr>
        <w:drawing>
          <wp:inline distT="0" distB="0" distL="0" distR="0" wp14:anchorId="5905DCCB" wp14:editId="50F432B5">
            <wp:extent cx="1152525" cy="1152525"/>
            <wp:effectExtent l="0" t="0" r="9525" b="9525"/>
            <wp:docPr id="21" name="Imagen 21"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08" cy="1151808"/>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434A3739" wp14:editId="11356E03">
            <wp:extent cx="1162050" cy="1162050"/>
            <wp:effectExtent l="0" t="0" r="0" b="0"/>
            <wp:docPr id="29" name="Imagen 29"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p>
    <w:p w:rsidR="00323CDB" w:rsidRPr="005B4BC1" w:rsidRDefault="00323CDB" w:rsidP="00323CDB">
      <w:pPr>
        <w:pStyle w:val="SingleTxtG"/>
      </w:pPr>
      <w:r w:rsidRPr="005B4BC1">
        <w:t>6.</w:t>
      </w:r>
      <w:r w:rsidRPr="005B4BC1">
        <w:tab/>
        <w:t xml:space="preserve">Il pourrait être utile de modifier les étiquettes </w:t>
      </w:r>
      <w:r w:rsidRPr="002D76F4">
        <w:rPr>
          <w:rFonts w:eastAsia="MS Mincho"/>
          <w:szCs w:val="22"/>
        </w:rPr>
        <w:t>n</w:t>
      </w:r>
      <w:r w:rsidRPr="002D76F4">
        <w:rPr>
          <w:rFonts w:eastAsia="MS Mincho"/>
          <w:szCs w:val="22"/>
          <w:vertAlign w:val="superscript"/>
        </w:rPr>
        <w:t>o</w:t>
      </w:r>
      <w:r>
        <w:t> </w:t>
      </w:r>
      <w:r w:rsidRPr="005B4BC1">
        <w:t xml:space="preserve">2.1 et </w:t>
      </w:r>
      <w:r w:rsidRPr="002D76F4">
        <w:rPr>
          <w:rFonts w:eastAsia="MS Mincho"/>
          <w:szCs w:val="22"/>
        </w:rPr>
        <w:t>n</w:t>
      </w:r>
      <w:r w:rsidRPr="002D76F4">
        <w:rPr>
          <w:rFonts w:eastAsia="MS Mincho"/>
          <w:szCs w:val="22"/>
          <w:vertAlign w:val="superscript"/>
        </w:rPr>
        <w:t>o</w:t>
      </w:r>
      <w:r>
        <w:t> </w:t>
      </w:r>
      <w:r w:rsidRPr="005B4BC1">
        <w:t>2.3 en y introduisant une partie verte, ce qui permettrait de communiquer facilement l</w:t>
      </w:r>
      <w:r>
        <w:t>’</w:t>
      </w:r>
      <w:r w:rsidRPr="005B4BC1">
        <w:t>information selon laquelle le produit est non seulement inflammable ou toxique, mais qu</w:t>
      </w:r>
      <w:r>
        <w:t>’</w:t>
      </w:r>
      <w:r w:rsidRPr="005B4BC1">
        <w:t>il s</w:t>
      </w:r>
      <w:r>
        <w:t>’</w:t>
      </w:r>
      <w:r w:rsidRPr="005B4BC1">
        <w:t>agit d</w:t>
      </w:r>
      <w:r>
        <w:t>’</w:t>
      </w:r>
      <w:r w:rsidRPr="005B4BC1">
        <w:t xml:space="preserve">un gaz. Le dessin </w:t>
      </w:r>
      <w:r>
        <w:t>ci</w:t>
      </w:r>
      <w:r>
        <w:noBreakHyphen/>
      </w:r>
      <w:r w:rsidRPr="005B4BC1">
        <w:t>après est une proposition qui va dans ce sens</w:t>
      </w:r>
      <w:r>
        <w:t> </w:t>
      </w:r>
      <w:r w:rsidRPr="005B4BC1">
        <w:t>:</w:t>
      </w:r>
    </w:p>
    <w:p w:rsidR="00323CDB" w:rsidRPr="005B4BC1" w:rsidRDefault="00323CDB" w:rsidP="00323CDB">
      <w:pPr>
        <w:pStyle w:val="SingleTxtG"/>
        <w:ind w:firstLine="567"/>
      </w:pPr>
      <w:r>
        <w:t>a)</w:t>
      </w:r>
      <w:r>
        <w:tab/>
      </w:r>
      <w:r w:rsidRPr="005B4BC1">
        <w:t xml:space="preserve">Étiquette </w:t>
      </w:r>
      <w:r w:rsidRPr="002D76F4">
        <w:rPr>
          <w:rFonts w:eastAsia="MS Mincho"/>
          <w:szCs w:val="22"/>
        </w:rPr>
        <w:t>n</w:t>
      </w:r>
      <w:r w:rsidRPr="002D76F4">
        <w:rPr>
          <w:rFonts w:eastAsia="MS Mincho"/>
          <w:szCs w:val="22"/>
          <w:vertAlign w:val="superscript"/>
        </w:rPr>
        <w:t>o</w:t>
      </w:r>
      <w:r>
        <w:t> </w:t>
      </w:r>
      <w:r w:rsidRPr="005B4BC1">
        <w:t>2.1, gaz inflammables</w:t>
      </w:r>
      <w:r>
        <w:t> </w:t>
      </w:r>
      <w:r w:rsidRPr="005B4BC1">
        <w:t>:</w:t>
      </w:r>
    </w:p>
    <w:p w:rsidR="00323CDB" w:rsidRDefault="00323CDB" w:rsidP="00963943">
      <w:pPr>
        <w:pStyle w:val="SingleTxtG"/>
        <w:spacing w:after="240"/>
        <w:ind w:left="2268"/>
        <w:jc w:val="left"/>
        <w:rPr>
          <w:lang w:eastAsia="es-ES"/>
        </w:rPr>
      </w:pPr>
      <w:r w:rsidRPr="005B4BC1">
        <w:rPr>
          <w:rFonts w:asciiTheme="majorBidi" w:hAnsiTheme="majorBidi" w:cstheme="majorBidi"/>
          <w:noProof/>
          <w:lang w:eastAsia="fr-CH"/>
        </w:rPr>
        <w:drawing>
          <wp:inline distT="0" distB="0" distL="0" distR="0" wp14:anchorId="49CA1692" wp14:editId="68D0C2B1">
            <wp:extent cx="1104900" cy="1114945"/>
            <wp:effectExtent l="0" t="0" r="0" b="9525"/>
            <wp:docPr id="22" name="Imagen 22"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695" t="18054" r="18319" b="19396"/>
                    <a:stretch/>
                  </pic:blipFill>
                  <pic:spPr bwMode="auto">
                    <a:xfrm>
                      <a:off x="0" y="0"/>
                      <a:ext cx="1104212" cy="1114251"/>
                    </a:xfrm>
                    <a:prstGeom prst="rect">
                      <a:avLst/>
                    </a:prstGeom>
                    <a:noFill/>
                    <a:ln>
                      <a:noFill/>
                    </a:ln>
                    <a:extLst>
                      <a:ext uri="{53640926-AAD7-44D8-BBD7-CCE9431645EC}">
                        <a14:shadowObscured xmlns:a14="http://schemas.microsoft.com/office/drawing/2010/main"/>
                      </a:ext>
                    </a:extLst>
                  </pic:spPr>
                </pic:pic>
              </a:graphicData>
            </a:graphic>
          </wp:inline>
        </w:drawing>
      </w:r>
      <w:r w:rsidRPr="005B4BC1">
        <w:rPr>
          <w:rFonts w:asciiTheme="majorBidi" w:hAnsiTheme="majorBidi" w:cstheme="majorBidi"/>
          <w:noProof/>
          <w:lang w:eastAsia="fr-CH"/>
        </w:rPr>
        <w:drawing>
          <wp:inline distT="0" distB="0" distL="0" distR="0" wp14:anchorId="2BC9F078" wp14:editId="7D1B0235">
            <wp:extent cx="1162050" cy="1129002"/>
            <wp:effectExtent l="0" t="0" r="0" b="0"/>
            <wp:docPr id="23" name="Imagen 23"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80" t="20447" r="19353" b="19932"/>
                    <a:stretch/>
                  </pic:blipFill>
                  <pic:spPr bwMode="auto">
                    <a:xfrm>
                      <a:off x="0" y="0"/>
                      <a:ext cx="1168933" cy="1135689"/>
                    </a:xfrm>
                    <a:prstGeom prst="rect">
                      <a:avLst/>
                    </a:prstGeom>
                    <a:noFill/>
                    <a:ln>
                      <a:noFill/>
                    </a:ln>
                    <a:extLst>
                      <a:ext uri="{53640926-AAD7-44D8-BBD7-CCE9431645EC}">
                        <a14:shadowObscured xmlns:a14="http://schemas.microsoft.com/office/drawing/2010/main"/>
                      </a:ext>
                    </a:extLst>
                  </pic:spPr>
                </pic:pic>
              </a:graphicData>
            </a:graphic>
          </wp:inline>
        </w:drawing>
      </w:r>
    </w:p>
    <w:p w:rsidR="00323CDB" w:rsidRPr="005B4BC1" w:rsidRDefault="00323CDB" w:rsidP="00323CDB">
      <w:pPr>
        <w:pStyle w:val="SingleTxtG"/>
        <w:ind w:firstLine="567"/>
      </w:pPr>
      <w:r>
        <w:t>b)</w:t>
      </w:r>
      <w:r>
        <w:tab/>
      </w:r>
      <w:r w:rsidRPr="005B4BC1">
        <w:t xml:space="preserve">Étiquette </w:t>
      </w:r>
      <w:r w:rsidR="00963943" w:rsidRPr="002D76F4">
        <w:rPr>
          <w:rFonts w:eastAsia="MS Mincho"/>
          <w:szCs w:val="22"/>
        </w:rPr>
        <w:t>n</w:t>
      </w:r>
      <w:r w:rsidR="00963943" w:rsidRPr="002D76F4">
        <w:rPr>
          <w:rFonts w:eastAsia="MS Mincho"/>
          <w:szCs w:val="22"/>
          <w:vertAlign w:val="superscript"/>
        </w:rPr>
        <w:t>o</w:t>
      </w:r>
      <w:r w:rsidR="00963943">
        <w:t> </w:t>
      </w:r>
      <w:r w:rsidRPr="005B4BC1">
        <w:t>2.3, gaz toxiques</w:t>
      </w:r>
      <w:r>
        <w:t> </w:t>
      </w:r>
      <w:r w:rsidRPr="005B4BC1">
        <w:t>:</w:t>
      </w:r>
    </w:p>
    <w:p w:rsidR="00323CDB" w:rsidRPr="005B4BC1" w:rsidRDefault="00323CDB" w:rsidP="006E1634">
      <w:pPr>
        <w:pStyle w:val="SingleTxtG"/>
        <w:spacing w:after="240" w:line="240" w:lineRule="auto"/>
        <w:ind w:left="2268"/>
        <w:jc w:val="left"/>
        <w:rPr>
          <w:rFonts w:asciiTheme="majorBidi" w:hAnsiTheme="majorBidi" w:cstheme="majorBidi"/>
        </w:rPr>
      </w:pPr>
      <w:r w:rsidRPr="005B4BC1">
        <w:rPr>
          <w:rFonts w:asciiTheme="majorBidi" w:hAnsiTheme="majorBidi" w:cstheme="majorBidi"/>
          <w:noProof/>
          <w:lang w:eastAsia="fr-CH"/>
        </w:rPr>
        <w:drawing>
          <wp:inline distT="0" distB="0" distL="0" distR="0" wp14:anchorId="7234D4D2" wp14:editId="6FD577B2">
            <wp:extent cx="1143000" cy="1190625"/>
            <wp:effectExtent l="0" t="0" r="0" b="9525"/>
            <wp:docPr id="13" name="Imagen 13"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229" t="15638" r="19595" b="19595"/>
                    <a:stretch/>
                  </pic:blipFill>
                  <pic:spPr bwMode="auto">
                    <a:xfrm>
                      <a:off x="0" y="0"/>
                      <a:ext cx="1142289" cy="1189884"/>
                    </a:xfrm>
                    <a:prstGeom prst="rect">
                      <a:avLst/>
                    </a:prstGeom>
                    <a:noFill/>
                    <a:ln>
                      <a:noFill/>
                    </a:ln>
                    <a:extLst>
                      <a:ext uri="{53640926-AAD7-44D8-BBD7-CCE9431645EC}">
                        <a14:shadowObscured xmlns:a14="http://schemas.microsoft.com/office/drawing/2010/main"/>
                      </a:ext>
                    </a:extLst>
                  </pic:spPr>
                </pic:pic>
              </a:graphicData>
            </a:graphic>
          </wp:inline>
        </w:drawing>
      </w:r>
    </w:p>
    <w:p w:rsidR="00323CDB" w:rsidRPr="005B4BC1" w:rsidRDefault="00323CDB" w:rsidP="00E151BA">
      <w:pPr>
        <w:pStyle w:val="SingleTxtG"/>
        <w:keepNext/>
      </w:pPr>
      <w:r w:rsidRPr="005B4BC1">
        <w:lastRenderedPageBreak/>
        <w:t>7.</w:t>
      </w:r>
      <w:r w:rsidRPr="005B4BC1">
        <w:tab/>
        <w:t>Sur ce dessin, la partie supérieure de l</w:t>
      </w:r>
      <w:r>
        <w:t>’</w:t>
      </w:r>
      <w:r w:rsidRPr="005B4BC1">
        <w:t>étiquette reste inchangée et la couleur verte, déjà associée aux gaz, occupe la partie inférieure. Toutes les étiquettes relatives aux gaz seraient en partie vertes, ce qui permettrait de les identifier facilement de loin.</w:t>
      </w:r>
    </w:p>
    <w:p w:rsidR="00323CDB" w:rsidRPr="005B4BC1" w:rsidRDefault="00323CDB" w:rsidP="00E151BA">
      <w:pPr>
        <w:pStyle w:val="SingleTxtG"/>
        <w:spacing w:before="240" w:after="240" w:line="240" w:lineRule="auto"/>
        <w:rPr>
          <w:rFonts w:asciiTheme="majorBidi" w:hAnsiTheme="majorBidi" w:cstheme="majorBidi"/>
        </w:rPr>
      </w:pPr>
      <w:r w:rsidRPr="005B4BC1">
        <w:rPr>
          <w:rFonts w:asciiTheme="majorBidi" w:hAnsiTheme="majorBidi" w:cstheme="majorBidi"/>
          <w:noProof/>
          <w:lang w:eastAsia="fr-CH"/>
        </w:rPr>
        <w:drawing>
          <wp:inline distT="0" distB="0" distL="0" distR="0" wp14:anchorId="6B5DC7CB" wp14:editId="07C6B8C0">
            <wp:extent cx="1104900" cy="1114945"/>
            <wp:effectExtent l="0" t="0" r="0" b="9525"/>
            <wp:docPr id="14" name="Imagen 3"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695" t="18054" r="18319" b="19396"/>
                    <a:stretch/>
                  </pic:blipFill>
                  <pic:spPr bwMode="auto">
                    <a:xfrm>
                      <a:off x="0" y="0"/>
                      <a:ext cx="1104212" cy="1114251"/>
                    </a:xfrm>
                    <a:prstGeom prst="rect">
                      <a:avLst/>
                    </a:prstGeom>
                    <a:noFill/>
                    <a:ln>
                      <a:noFill/>
                    </a:ln>
                    <a:extLst>
                      <a:ext uri="{53640926-AAD7-44D8-BBD7-CCE9431645EC}">
                        <a14:shadowObscured xmlns:a14="http://schemas.microsoft.com/office/drawing/2010/main"/>
                      </a:ext>
                    </a:extLst>
                  </pic:spPr>
                </pic:pic>
              </a:graphicData>
            </a:graphic>
          </wp:inline>
        </w:drawing>
      </w:r>
      <w:r w:rsidRPr="005B4BC1">
        <w:rPr>
          <w:rFonts w:asciiTheme="majorBidi" w:hAnsiTheme="majorBidi" w:cstheme="majorBidi"/>
          <w:noProof/>
          <w:lang w:eastAsia="fr-CH"/>
        </w:rPr>
        <w:drawing>
          <wp:inline distT="0" distB="0" distL="0" distR="0" wp14:anchorId="6DAA56EB" wp14:editId="3AD565EA">
            <wp:extent cx="1162050" cy="1129002"/>
            <wp:effectExtent l="0" t="0" r="0" b="0"/>
            <wp:docPr id="4" name="Imagen 4"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80" t="20447" r="19353" b="19932"/>
                    <a:stretch/>
                  </pic:blipFill>
                  <pic:spPr bwMode="auto">
                    <a:xfrm>
                      <a:off x="0" y="0"/>
                      <a:ext cx="1168933" cy="1135689"/>
                    </a:xfrm>
                    <a:prstGeom prst="rect">
                      <a:avLst/>
                    </a:prstGeom>
                    <a:noFill/>
                    <a:ln>
                      <a:noFill/>
                    </a:ln>
                    <a:extLst>
                      <a:ext uri="{53640926-AAD7-44D8-BBD7-CCE9431645EC}">
                        <a14:shadowObscured xmlns:a14="http://schemas.microsoft.com/office/drawing/2010/main"/>
                      </a:ext>
                    </a:extLst>
                  </pic:spPr>
                </pic:pic>
              </a:graphicData>
            </a:graphic>
          </wp:inline>
        </w:drawing>
      </w:r>
      <w:r w:rsidRPr="005B4BC1">
        <w:rPr>
          <w:rFonts w:asciiTheme="majorBidi" w:hAnsiTheme="majorBidi" w:cstheme="majorBidi"/>
          <w:noProof/>
          <w:lang w:eastAsia="fr-CH"/>
        </w:rPr>
        <w:drawing>
          <wp:inline distT="0" distB="0" distL="0" distR="0" wp14:anchorId="27B39541" wp14:editId="2F71B0E3">
            <wp:extent cx="1104900" cy="1104900"/>
            <wp:effectExtent l="0" t="0" r="0" b="0"/>
            <wp:docPr id="7" name="Imagen 7"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379BB8E0" wp14:editId="6C103CFE">
            <wp:extent cx="1162050" cy="1162050"/>
            <wp:effectExtent l="0" t="0" r="0" b="0"/>
            <wp:docPr id="11" name="Imagen 11"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r w:rsidRPr="005B4BC1">
        <w:rPr>
          <w:rFonts w:asciiTheme="majorBidi" w:hAnsiTheme="majorBidi" w:cstheme="majorBidi"/>
          <w:lang w:eastAsia="es-ES"/>
        </w:rPr>
        <w:t xml:space="preserve"> </w:t>
      </w:r>
      <w:r w:rsidRPr="005B4BC1">
        <w:rPr>
          <w:rFonts w:asciiTheme="majorBidi" w:hAnsiTheme="majorBidi" w:cstheme="majorBidi"/>
          <w:noProof/>
          <w:lang w:eastAsia="fr-CH"/>
        </w:rPr>
        <w:drawing>
          <wp:inline distT="0" distB="0" distL="0" distR="0" wp14:anchorId="4600D163" wp14:editId="286D9936">
            <wp:extent cx="1143000" cy="1190625"/>
            <wp:effectExtent l="0" t="0" r="0" b="9525"/>
            <wp:docPr id="15" name="Imagen 1"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229" t="15638" r="19595" b="19595"/>
                    <a:stretch/>
                  </pic:blipFill>
                  <pic:spPr bwMode="auto">
                    <a:xfrm>
                      <a:off x="0" y="0"/>
                      <a:ext cx="1142289" cy="1189884"/>
                    </a:xfrm>
                    <a:prstGeom prst="rect">
                      <a:avLst/>
                    </a:prstGeom>
                    <a:noFill/>
                    <a:ln>
                      <a:noFill/>
                    </a:ln>
                    <a:extLst>
                      <a:ext uri="{53640926-AAD7-44D8-BBD7-CCE9431645EC}">
                        <a14:shadowObscured xmlns:a14="http://schemas.microsoft.com/office/drawing/2010/main"/>
                      </a:ext>
                    </a:extLst>
                  </pic:spPr>
                </pic:pic>
              </a:graphicData>
            </a:graphic>
          </wp:inline>
        </w:drawing>
      </w:r>
    </w:p>
    <w:p w:rsidR="00323CDB" w:rsidRPr="005B4BC1" w:rsidRDefault="00323CDB" w:rsidP="00E151BA">
      <w:pPr>
        <w:pStyle w:val="SingleTxtG"/>
      </w:pPr>
      <w:r w:rsidRPr="005B4BC1">
        <w:t>8.</w:t>
      </w:r>
      <w:r w:rsidRPr="005B4BC1">
        <w:tab/>
        <w:t>Une modification similaire a déjà été apportée à l</w:t>
      </w:r>
      <w:r>
        <w:t>’</w:t>
      </w:r>
      <w:r w:rsidRPr="005B4BC1">
        <w:t xml:space="preserve">étiquette </w:t>
      </w:r>
      <w:r w:rsidR="00963943" w:rsidRPr="002D76F4">
        <w:rPr>
          <w:rFonts w:eastAsia="MS Mincho"/>
          <w:szCs w:val="22"/>
        </w:rPr>
        <w:t>n</w:t>
      </w:r>
      <w:r w:rsidR="00963943" w:rsidRPr="002D76F4">
        <w:rPr>
          <w:rFonts w:eastAsia="MS Mincho"/>
          <w:szCs w:val="22"/>
          <w:vertAlign w:val="superscript"/>
        </w:rPr>
        <w:t>o</w:t>
      </w:r>
      <w:r w:rsidR="00963943">
        <w:t> </w:t>
      </w:r>
      <w:r w:rsidRPr="005B4BC1">
        <w:t>5.2 pour différencier facilement les peroxydes organiques, la partie supérieure et la partie inférieure de l</w:t>
      </w:r>
      <w:r>
        <w:t>’</w:t>
      </w:r>
      <w:r w:rsidRPr="005B4BC1">
        <w:t>étiquette ayant deux couleurs différentes</w:t>
      </w:r>
      <w:r w:rsidR="00E151BA">
        <w:t> </w:t>
      </w:r>
      <w:r w:rsidRPr="005B4BC1">
        <w:t>:</w:t>
      </w:r>
    </w:p>
    <w:p w:rsidR="00323CDB" w:rsidRPr="005B4BC1" w:rsidRDefault="00323CDB" w:rsidP="00E151BA">
      <w:pPr>
        <w:pStyle w:val="SingleTxtG"/>
        <w:spacing w:before="240" w:line="240" w:lineRule="auto"/>
        <w:rPr>
          <w:rFonts w:asciiTheme="majorBidi" w:hAnsiTheme="majorBidi" w:cstheme="majorBidi"/>
          <w:lang w:eastAsia="es-ES"/>
        </w:rPr>
      </w:pPr>
      <w:r w:rsidRPr="005B4BC1">
        <w:rPr>
          <w:rFonts w:asciiTheme="majorBidi" w:hAnsiTheme="majorBidi" w:cstheme="majorBidi"/>
          <w:noProof/>
          <w:lang w:eastAsia="fr-CH"/>
        </w:rPr>
        <w:drawing>
          <wp:inline distT="0" distB="0" distL="0" distR="0" wp14:anchorId="0F9B62B8" wp14:editId="5726E5DD">
            <wp:extent cx="1104900" cy="1104900"/>
            <wp:effectExtent l="0" t="0" r="0" b="0"/>
            <wp:docPr id="16" name="Imagen 16"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0A4D31E5" wp14:editId="4E7FD32A">
            <wp:extent cx="1104900" cy="1104900"/>
            <wp:effectExtent l="0" t="0" r="0" b="0"/>
            <wp:docPr id="17" name="Imagen 17"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18D4DC36" wp14:editId="3910B0F3">
            <wp:extent cx="1143000" cy="1143000"/>
            <wp:effectExtent l="0" t="0" r="0" b="0"/>
            <wp:docPr id="18" name="Imagen 18" descr="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2288" cy="1142288"/>
                    </a:xfrm>
                    <a:prstGeom prst="rect">
                      <a:avLst/>
                    </a:prstGeom>
                    <a:noFill/>
                    <a:ln>
                      <a:noFill/>
                    </a:ln>
                  </pic:spPr>
                </pic:pic>
              </a:graphicData>
            </a:graphic>
          </wp:inline>
        </w:drawing>
      </w:r>
    </w:p>
    <w:p w:rsidR="00323CDB" w:rsidRPr="005B4BC1" w:rsidRDefault="00323CDB" w:rsidP="00323CDB">
      <w:pPr>
        <w:pStyle w:val="SingleTxtG"/>
        <w:spacing w:before="240" w:line="240" w:lineRule="auto"/>
        <w:rPr>
          <w:rFonts w:asciiTheme="majorBidi" w:hAnsiTheme="majorBidi" w:cstheme="majorBidi"/>
        </w:rPr>
      </w:pPr>
      <w:r w:rsidRPr="005B4BC1">
        <w:rPr>
          <w:rFonts w:asciiTheme="majorBidi" w:hAnsiTheme="majorBidi" w:cstheme="majorBidi"/>
          <w:noProof/>
          <w:lang w:eastAsia="fr-CH"/>
        </w:rPr>
        <w:drawing>
          <wp:inline distT="0" distB="0" distL="0" distR="0" wp14:anchorId="50612FFF" wp14:editId="3B7B1BAF">
            <wp:extent cx="1152525" cy="1150922"/>
            <wp:effectExtent l="0" t="0" r="0" b="0"/>
            <wp:docPr id="19" name="Imagen 19" descr="http://www.unece.org/fileadmin/DAM/trans/danger/publi/ghs/TDGpictograms/5-2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ece.org/fileadmin/DAM/trans/danger/publi/ghs/TDGpictograms/5-2red.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1190" cy="1149589"/>
                    </a:xfrm>
                    <a:prstGeom prst="rect">
                      <a:avLst/>
                    </a:prstGeom>
                    <a:noFill/>
                    <a:ln>
                      <a:noFill/>
                    </a:ln>
                  </pic:spPr>
                </pic:pic>
              </a:graphicData>
            </a:graphic>
          </wp:inline>
        </w:drawing>
      </w:r>
      <w:r w:rsidRPr="005B4BC1">
        <w:rPr>
          <w:rFonts w:asciiTheme="majorBidi" w:hAnsiTheme="majorBidi" w:cstheme="majorBidi"/>
          <w:noProof/>
          <w:lang w:eastAsia="fr-CH"/>
        </w:rPr>
        <w:drawing>
          <wp:inline distT="0" distB="0" distL="0" distR="0" wp14:anchorId="7CE1DE70" wp14:editId="001F750A">
            <wp:extent cx="1152525" cy="1150924"/>
            <wp:effectExtent l="0" t="0" r="0" b="0"/>
            <wp:docPr id="20" name="Imagen 20" descr="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ece.org/fileadmin/DAM/trans/danger/publi/ghs/TDGpictograms/5-2red_noir.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3093" cy="1151492"/>
                    </a:xfrm>
                    <a:prstGeom prst="rect">
                      <a:avLst/>
                    </a:prstGeom>
                    <a:noFill/>
                    <a:ln>
                      <a:noFill/>
                    </a:ln>
                  </pic:spPr>
                </pic:pic>
              </a:graphicData>
            </a:graphic>
          </wp:inline>
        </w:drawing>
      </w:r>
    </w:p>
    <w:p w:rsidR="00323CDB" w:rsidRPr="005B4BC1" w:rsidRDefault="00323CDB" w:rsidP="00E151BA">
      <w:pPr>
        <w:pStyle w:val="HChG"/>
      </w:pPr>
      <w:r w:rsidRPr="005B4BC1">
        <w:lastRenderedPageBreak/>
        <w:tab/>
      </w:r>
      <w:r w:rsidRPr="005B4BC1">
        <w:tab/>
        <w:t>Proposition</w:t>
      </w:r>
    </w:p>
    <w:p w:rsidR="00323CDB" w:rsidRPr="005B4BC1" w:rsidRDefault="00323CDB" w:rsidP="00FC18B7">
      <w:pPr>
        <w:pStyle w:val="SingleTxtG"/>
        <w:keepNext/>
      </w:pPr>
      <w:r w:rsidRPr="005B4BC1">
        <w:t>9.</w:t>
      </w:r>
      <w:r w:rsidRPr="005B4BC1">
        <w:tab/>
        <w:t>L</w:t>
      </w:r>
      <w:r>
        <w:t>’</w:t>
      </w:r>
      <w:r w:rsidRPr="005B4BC1">
        <w:t xml:space="preserve">Espagne propose de modifier les étiquettes </w:t>
      </w:r>
      <w:r>
        <w:t xml:space="preserve">correspondant aux modèles </w:t>
      </w:r>
      <w:r w:rsidRPr="005B4BC1">
        <w:t>n</w:t>
      </w:r>
      <w:r w:rsidRPr="00E151BA">
        <w:rPr>
          <w:vertAlign w:val="superscript"/>
        </w:rPr>
        <w:t>os</w:t>
      </w:r>
      <w:r w:rsidR="00E151BA">
        <w:t> </w:t>
      </w:r>
      <w:r w:rsidRPr="005B4BC1">
        <w:t>2.1 et</w:t>
      </w:r>
      <w:r w:rsidR="00E151BA">
        <w:t> </w:t>
      </w:r>
      <w:r w:rsidRPr="005B4BC1">
        <w:t>2.3 pour que leur partie inférieure devienne verte. L</w:t>
      </w:r>
      <w:r>
        <w:t>’</w:t>
      </w:r>
      <w:r w:rsidRPr="005B4BC1">
        <w:t>expert de l</w:t>
      </w:r>
      <w:r>
        <w:t>’</w:t>
      </w:r>
      <w:r w:rsidRPr="005B4BC1">
        <w:t xml:space="preserve">Espagne propose donc de modifier le 5.2.2.2.2 pour les </w:t>
      </w:r>
      <w:r>
        <w:t>modèles n</w:t>
      </w:r>
      <w:r w:rsidRPr="00E151BA">
        <w:rPr>
          <w:vertAlign w:val="superscript"/>
        </w:rPr>
        <w:t>os</w:t>
      </w:r>
      <w:r w:rsidR="00E151BA">
        <w:t> </w:t>
      </w:r>
      <w:r w:rsidRPr="005B4BC1">
        <w:t>2.1 et 2.3. Le texte supprimé est biffé et le nouveau texte apparaît en caractères gras. Pour les modèles n</w:t>
      </w:r>
      <w:r w:rsidRPr="00E151BA">
        <w:rPr>
          <w:vertAlign w:val="superscript"/>
        </w:rPr>
        <w:t>os</w:t>
      </w:r>
      <w:r w:rsidR="00E151BA">
        <w:t> </w:t>
      </w:r>
      <w:r w:rsidRPr="005B4BC1">
        <w:t>2.1 et 2.3, seule la nouvelle version apparaît car il n</w:t>
      </w:r>
      <w:r>
        <w:t>’</w:t>
      </w:r>
      <w:r w:rsidRPr="005B4BC1">
        <w:t xml:space="preserve">est pas possible de biffer ou de souligner les </w:t>
      </w:r>
      <w:r>
        <w:t>illustrations</w:t>
      </w:r>
      <w:r w:rsidRPr="005B4BC1">
        <w:t>.</w:t>
      </w:r>
    </w:p>
    <w:tbl>
      <w:tblPr>
        <w:tblStyle w:val="TableNormal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1399"/>
        <w:gridCol w:w="1272"/>
        <w:gridCol w:w="1159"/>
        <w:gridCol w:w="1134"/>
        <w:gridCol w:w="1417"/>
        <w:gridCol w:w="1559"/>
        <w:gridCol w:w="701"/>
      </w:tblGrid>
      <w:tr w:rsidR="00323CDB" w:rsidRPr="00E151BA" w:rsidTr="00963943">
        <w:trPr>
          <w:trHeight w:val="918"/>
        </w:trPr>
        <w:tc>
          <w:tcPr>
            <w:tcW w:w="998" w:type="dxa"/>
            <w:tcMar>
              <w:top w:w="57" w:type="dxa"/>
              <w:bottom w:w="57" w:type="dxa"/>
            </w:tcMar>
            <w:vAlign w:val="center"/>
          </w:tcPr>
          <w:p w:rsidR="00323CDB" w:rsidRPr="00E151BA" w:rsidRDefault="00323CDB" w:rsidP="00963943">
            <w:pPr>
              <w:pStyle w:val="TableParagraph"/>
              <w:keepNext/>
              <w:keepLines/>
              <w:widowControl/>
              <w:spacing w:before="4" w:after="4"/>
              <w:ind w:left="57" w:right="57" w:firstLine="16"/>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N</w:t>
            </w:r>
            <w:r w:rsidRPr="00E151BA">
              <w:rPr>
                <w:rFonts w:asciiTheme="majorBidi" w:hAnsiTheme="majorBidi" w:cstheme="majorBidi"/>
                <w:b/>
                <w:sz w:val="18"/>
                <w:szCs w:val="18"/>
                <w:vertAlign w:val="superscript"/>
                <w:lang w:val="fr-FR"/>
              </w:rPr>
              <w:t>o</w:t>
            </w:r>
            <w:r w:rsidRPr="00E151BA">
              <w:rPr>
                <w:rFonts w:asciiTheme="majorBidi" w:hAnsiTheme="majorBidi" w:cstheme="majorBidi"/>
                <w:b/>
                <w:sz w:val="18"/>
                <w:szCs w:val="18"/>
                <w:lang w:val="fr-FR"/>
              </w:rPr>
              <w:t xml:space="preserve"> du modèle d’étiquette</w:t>
            </w:r>
          </w:p>
        </w:tc>
        <w:tc>
          <w:tcPr>
            <w:tcW w:w="1399" w:type="dxa"/>
            <w:tcMar>
              <w:top w:w="57" w:type="dxa"/>
              <w:bottom w:w="57" w:type="dxa"/>
            </w:tcMar>
            <w:vAlign w:val="center"/>
          </w:tcPr>
          <w:p w:rsidR="00323CDB" w:rsidRPr="00E151BA" w:rsidRDefault="00323CDB" w:rsidP="00963943">
            <w:pPr>
              <w:pStyle w:val="TableParagraph"/>
              <w:keepNext/>
              <w:keepLines/>
              <w:widowControl/>
              <w:spacing w:before="4"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Division ou Catégorie</w:t>
            </w:r>
          </w:p>
        </w:tc>
        <w:tc>
          <w:tcPr>
            <w:tcW w:w="1272" w:type="dxa"/>
            <w:tcMar>
              <w:top w:w="57" w:type="dxa"/>
              <w:bottom w:w="57" w:type="dxa"/>
            </w:tcMar>
            <w:vAlign w:val="center"/>
          </w:tcPr>
          <w:p w:rsidR="00323CDB" w:rsidRPr="00E151BA" w:rsidRDefault="00323CDB" w:rsidP="00963943">
            <w:pPr>
              <w:pStyle w:val="TableParagraph"/>
              <w:keepNext/>
              <w:keepLines/>
              <w:widowControl/>
              <w:spacing w:before="4"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 xml:space="preserve">Signe conventionnel </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 xml:space="preserve">et couleur </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du signe</w:t>
            </w:r>
          </w:p>
        </w:tc>
        <w:tc>
          <w:tcPr>
            <w:tcW w:w="1159" w:type="dxa"/>
            <w:tcMar>
              <w:top w:w="57" w:type="dxa"/>
              <w:bottom w:w="57" w:type="dxa"/>
            </w:tcMar>
            <w:vAlign w:val="center"/>
          </w:tcPr>
          <w:p w:rsidR="00323CDB" w:rsidRPr="00E151BA" w:rsidRDefault="00323CDB" w:rsidP="00963943">
            <w:pPr>
              <w:pStyle w:val="TableParagraph"/>
              <w:keepNext/>
              <w:keepLines/>
              <w:widowControl/>
              <w:spacing w:before="4"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Fond</w:t>
            </w:r>
          </w:p>
        </w:tc>
        <w:tc>
          <w:tcPr>
            <w:tcW w:w="1134" w:type="dxa"/>
            <w:tcMar>
              <w:top w:w="57" w:type="dxa"/>
              <w:bottom w:w="57" w:type="dxa"/>
            </w:tcMar>
            <w:vAlign w:val="center"/>
          </w:tcPr>
          <w:p w:rsidR="00323CDB" w:rsidRPr="00E151BA" w:rsidRDefault="00323CDB" w:rsidP="00963943">
            <w:pPr>
              <w:pStyle w:val="TableParagraph"/>
              <w:keepNext/>
              <w:keepLines/>
              <w:widowControl/>
              <w:spacing w:before="10"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 xml:space="preserve">Chiffre figurant </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dans le coin inférieur</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 xml:space="preserve">(et couleur </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du chiffre)</w:t>
            </w:r>
          </w:p>
        </w:tc>
        <w:tc>
          <w:tcPr>
            <w:tcW w:w="2976" w:type="dxa"/>
            <w:gridSpan w:val="2"/>
            <w:tcMar>
              <w:top w:w="57" w:type="dxa"/>
              <w:bottom w:w="57" w:type="dxa"/>
            </w:tcMar>
            <w:vAlign w:val="center"/>
          </w:tcPr>
          <w:p w:rsidR="00323CDB" w:rsidRPr="00E151BA" w:rsidRDefault="00323CDB" w:rsidP="00963943">
            <w:pPr>
              <w:pStyle w:val="TableParagraph"/>
              <w:keepNext/>
              <w:keepLines/>
              <w:widowControl/>
              <w:spacing w:before="4"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Modèles d’étiquettes</w:t>
            </w:r>
          </w:p>
        </w:tc>
        <w:tc>
          <w:tcPr>
            <w:tcW w:w="701" w:type="dxa"/>
            <w:tcMar>
              <w:top w:w="57" w:type="dxa"/>
              <w:bottom w:w="57" w:type="dxa"/>
            </w:tcMar>
            <w:vAlign w:val="center"/>
          </w:tcPr>
          <w:p w:rsidR="00323CDB" w:rsidRPr="00E151BA" w:rsidRDefault="00323CDB" w:rsidP="00963943">
            <w:pPr>
              <w:pStyle w:val="TableParagraph"/>
              <w:keepNext/>
              <w:keepLines/>
              <w:widowControl/>
              <w:spacing w:before="4" w:after="4"/>
              <w:ind w:left="57" w:right="57"/>
              <w:jc w:val="center"/>
              <w:rPr>
                <w:rFonts w:asciiTheme="majorBidi" w:hAnsiTheme="majorBidi" w:cstheme="majorBidi"/>
                <w:b/>
                <w:sz w:val="18"/>
                <w:szCs w:val="18"/>
                <w:lang w:val="fr-FR"/>
              </w:rPr>
            </w:pPr>
            <w:r w:rsidRPr="00E151BA">
              <w:rPr>
                <w:rFonts w:asciiTheme="majorBidi" w:hAnsiTheme="majorBidi" w:cstheme="majorBidi"/>
                <w:b/>
                <w:sz w:val="18"/>
                <w:szCs w:val="18"/>
                <w:lang w:val="fr-FR"/>
              </w:rPr>
              <w:t>Nota</w:t>
            </w:r>
          </w:p>
        </w:tc>
      </w:tr>
      <w:tr w:rsidR="00323CDB" w:rsidRPr="005B4BC1" w:rsidTr="00E151BA">
        <w:trPr>
          <w:trHeight w:val="351"/>
        </w:trPr>
        <w:tc>
          <w:tcPr>
            <w:tcW w:w="9639" w:type="dxa"/>
            <w:gridSpan w:val="8"/>
          </w:tcPr>
          <w:p w:rsidR="00323CDB" w:rsidRPr="005B4BC1" w:rsidRDefault="00323CDB" w:rsidP="00701570">
            <w:pPr>
              <w:pStyle w:val="TableParagraph"/>
              <w:keepNext/>
              <w:keepLines/>
              <w:widowControl/>
              <w:spacing w:before="240" w:after="2"/>
              <w:ind w:left="57" w:right="57" w:firstLine="2"/>
              <w:jc w:val="center"/>
              <w:rPr>
                <w:rFonts w:asciiTheme="majorBidi" w:hAnsiTheme="majorBidi" w:cstheme="majorBidi"/>
                <w:b/>
                <w:sz w:val="20"/>
                <w:lang w:val="fr-FR"/>
              </w:rPr>
            </w:pPr>
            <w:r w:rsidRPr="005B4BC1">
              <w:rPr>
                <w:rFonts w:asciiTheme="majorBidi" w:hAnsiTheme="majorBidi" w:cstheme="majorBidi"/>
                <w:b/>
                <w:sz w:val="20"/>
                <w:lang w:val="fr-FR"/>
              </w:rPr>
              <w:t>Class</w:t>
            </w:r>
            <w:r>
              <w:rPr>
                <w:rFonts w:asciiTheme="majorBidi" w:hAnsiTheme="majorBidi" w:cstheme="majorBidi"/>
                <w:b/>
                <w:sz w:val="20"/>
                <w:lang w:val="fr-FR"/>
              </w:rPr>
              <w:t>e</w:t>
            </w:r>
            <w:r w:rsidRPr="005B4BC1">
              <w:rPr>
                <w:rFonts w:asciiTheme="majorBidi" w:hAnsiTheme="majorBidi" w:cstheme="majorBidi"/>
                <w:b/>
                <w:sz w:val="20"/>
                <w:lang w:val="fr-FR"/>
              </w:rPr>
              <w:t xml:space="preserve"> 2</w:t>
            </w:r>
            <w:r w:rsidR="00810902">
              <w:rPr>
                <w:rFonts w:asciiTheme="majorBidi" w:hAnsiTheme="majorBidi" w:cstheme="majorBidi"/>
                <w:b/>
                <w:sz w:val="20"/>
                <w:lang w:val="fr-FR"/>
              </w:rPr>
              <w:t> </w:t>
            </w:r>
            <w:r w:rsidRPr="005B4BC1">
              <w:rPr>
                <w:rFonts w:asciiTheme="majorBidi" w:hAnsiTheme="majorBidi" w:cstheme="majorBidi"/>
                <w:b/>
                <w:sz w:val="20"/>
                <w:lang w:val="fr-FR"/>
              </w:rPr>
              <w:t>: Ga</w:t>
            </w:r>
            <w:r>
              <w:rPr>
                <w:rFonts w:asciiTheme="majorBidi" w:hAnsiTheme="majorBidi" w:cstheme="majorBidi"/>
                <w:b/>
                <w:sz w:val="20"/>
                <w:lang w:val="fr-FR"/>
              </w:rPr>
              <w:t>z</w:t>
            </w:r>
          </w:p>
        </w:tc>
      </w:tr>
      <w:tr w:rsidR="00323CDB" w:rsidRPr="005B4BC1" w:rsidTr="00FC18B7">
        <w:trPr>
          <w:trHeight w:val="1366"/>
        </w:trPr>
        <w:tc>
          <w:tcPr>
            <w:tcW w:w="998"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2.1</w:t>
            </w:r>
          </w:p>
        </w:tc>
        <w:tc>
          <w:tcPr>
            <w:tcW w:w="1399" w:type="dxa"/>
            <w:tcMar>
              <w:bottom w:w="57" w:type="dxa"/>
            </w:tcMar>
          </w:tcPr>
          <w:p w:rsidR="00323CDB" w:rsidRPr="00E151BA" w:rsidRDefault="00323CDB" w:rsidP="00701570">
            <w:pPr>
              <w:pStyle w:val="TableParagraph"/>
              <w:keepNext/>
              <w:keepLines/>
              <w:widowControl/>
              <w:spacing w:before="240" w:after="2"/>
              <w:ind w:left="57" w:right="57" w:firstLine="3"/>
              <w:jc w:val="center"/>
              <w:rPr>
                <w:rFonts w:asciiTheme="majorBidi" w:hAnsiTheme="majorBidi" w:cstheme="majorBidi"/>
                <w:sz w:val="18"/>
                <w:szCs w:val="18"/>
                <w:lang w:val="fr-FR"/>
              </w:rPr>
            </w:pPr>
            <w:r w:rsidRPr="00E151BA">
              <w:rPr>
                <w:rFonts w:asciiTheme="majorBidi" w:hAnsiTheme="majorBidi" w:cstheme="majorBidi"/>
                <w:sz w:val="18"/>
                <w:szCs w:val="18"/>
                <w:lang w:val="fr-FR"/>
              </w:rPr>
              <w:t>Division 2.1</w:t>
            </w:r>
            <w:r w:rsidR="00E151BA" w:rsidRPr="00E151BA">
              <w:rPr>
                <w:rFonts w:asciiTheme="majorBidi" w:hAnsiTheme="majorBidi" w:cstheme="majorBidi"/>
                <w:sz w:val="18"/>
                <w:szCs w:val="18"/>
                <w:lang w:val="fr-FR"/>
              </w:rPr>
              <w:t> </w:t>
            </w:r>
            <w:r w:rsidRPr="00E151BA">
              <w:rPr>
                <w:rFonts w:asciiTheme="majorBidi" w:hAnsiTheme="majorBidi" w:cstheme="majorBidi"/>
                <w:sz w:val="18"/>
                <w:szCs w:val="18"/>
                <w:lang w:val="fr-FR"/>
              </w:rPr>
              <w:t xml:space="preserve">: </w:t>
            </w:r>
            <w:r w:rsidR="00E151BA">
              <w:rPr>
                <w:rFonts w:asciiTheme="majorBidi" w:hAnsiTheme="majorBidi" w:cstheme="majorBidi"/>
                <w:sz w:val="18"/>
                <w:szCs w:val="18"/>
                <w:lang w:val="fr-FR"/>
              </w:rPr>
              <w:br/>
            </w:r>
            <w:r w:rsidRPr="00E151BA">
              <w:rPr>
                <w:rFonts w:asciiTheme="majorBidi" w:hAnsiTheme="majorBidi" w:cstheme="majorBidi"/>
                <w:sz w:val="18"/>
                <w:szCs w:val="18"/>
                <w:lang w:val="fr-FR"/>
              </w:rPr>
              <w:t>Gaz inflammables (sauf selon 5.2.2.2.1.6 d))</w:t>
            </w:r>
          </w:p>
        </w:tc>
        <w:tc>
          <w:tcPr>
            <w:tcW w:w="1272"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Flamme</w:t>
            </w:r>
            <w:r w:rsidR="00701570">
              <w:rPr>
                <w:rFonts w:asciiTheme="majorBidi" w:hAnsiTheme="majorBidi" w:cstheme="majorBidi"/>
                <w:sz w:val="18"/>
                <w:szCs w:val="18"/>
                <w:lang w:val="fr-FR"/>
              </w:rPr>
              <w:t> </w:t>
            </w:r>
            <w:r w:rsidRPr="00E151BA">
              <w:rPr>
                <w:rFonts w:asciiTheme="majorBidi" w:hAnsiTheme="majorBidi" w:cstheme="majorBidi"/>
                <w:sz w:val="18"/>
                <w:szCs w:val="18"/>
                <w:lang w:val="fr-FR"/>
              </w:rPr>
              <w:t xml:space="preserve">: </w:t>
            </w:r>
            <w:r w:rsidR="00E151BA">
              <w:rPr>
                <w:rFonts w:asciiTheme="majorBidi" w:hAnsiTheme="majorBidi" w:cstheme="majorBidi"/>
                <w:sz w:val="18"/>
                <w:szCs w:val="18"/>
                <w:lang w:val="fr-FR"/>
              </w:rPr>
              <w:br/>
            </w:r>
            <w:r w:rsidRPr="00E151BA">
              <w:rPr>
                <w:rFonts w:asciiTheme="majorBidi" w:hAnsiTheme="majorBidi" w:cstheme="majorBidi"/>
                <w:sz w:val="18"/>
                <w:szCs w:val="18"/>
                <w:lang w:val="fr-FR"/>
              </w:rPr>
              <w:t>noir ou blanc</w:t>
            </w:r>
          </w:p>
        </w:tc>
        <w:tc>
          <w:tcPr>
            <w:tcW w:w="1159"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trike/>
                <w:sz w:val="18"/>
                <w:szCs w:val="18"/>
                <w:lang w:val="fr-FR"/>
              </w:rPr>
              <w:t xml:space="preserve">Rouge </w:t>
            </w:r>
            <w:r w:rsidRPr="00E151BA">
              <w:rPr>
                <w:rFonts w:asciiTheme="majorBidi" w:hAnsiTheme="majorBidi" w:cstheme="majorBidi"/>
                <w:b/>
                <w:sz w:val="18"/>
                <w:szCs w:val="18"/>
                <w:lang w:val="fr-FR"/>
              </w:rPr>
              <w:t xml:space="preserve">Moitié supérieure rouge, moitié inférieure </w:t>
            </w:r>
            <w:r w:rsidR="00E151BA">
              <w:rPr>
                <w:rFonts w:asciiTheme="majorBidi" w:hAnsiTheme="majorBidi" w:cstheme="majorBidi"/>
                <w:b/>
                <w:sz w:val="18"/>
                <w:szCs w:val="18"/>
                <w:lang w:val="fr-FR"/>
              </w:rPr>
              <w:br/>
            </w:r>
            <w:r w:rsidRPr="00E151BA">
              <w:rPr>
                <w:rFonts w:asciiTheme="majorBidi" w:hAnsiTheme="majorBidi" w:cstheme="majorBidi"/>
                <w:b/>
                <w:sz w:val="18"/>
                <w:szCs w:val="18"/>
                <w:lang w:val="fr-FR"/>
              </w:rPr>
              <w:t xml:space="preserve">vert </w:t>
            </w:r>
          </w:p>
        </w:tc>
        <w:tc>
          <w:tcPr>
            <w:tcW w:w="1134" w:type="dxa"/>
            <w:tcMar>
              <w:bottom w:w="57" w:type="dxa"/>
            </w:tcMar>
          </w:tcPr>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2</w:t>
            </w:r>
          </w:p>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sz w:val="18"/>
                <w:szCs w:val="18"/>
                <w:lang w:val="fr-FR"/>
              </w:rPr>
              <w:t>(</w:t>
            </w:r>
            <w:proofErr w:type="gramStart"/>
            <w:r w:rsidRPr="00E151BA">
              <w:rPr>
                <w:rFonts w:asciiTheme="majorBidi" w:hAnsiTheme="majorBidi" w:cstheme="majorBidi"/>
                <w:sz w:val="18"/>
                <w:szCs w:val="18"/>
                <w:lang w:val="fr-FR"/>
              </w:rPr>
              <w:t>noir</w:t>
            </w:r>
            <w:proofErr w:type="gramEnd"/>
            <w:r w:rsidRPr="00E151BA">
              <w:rPr>
                <w:rFonts w:asciiTheme="majorBidi" w:hAnsiTheme="majorBidi" w:cstheme="majorBidi"/>
                <w:sz w:val="18"/>
                <w:szCs w:val="18"/>
                <w:lang w:val="fr-FR"/>
              </w:rPr>
              <w:t xml:space="preserve"> </w:t>
            </w:r>
            <w:r w:rsidR="00421EFB">
              <w:rPr>
                <w:rFonts w:asciiTheme="majorBidi" w:hAnsiTheme="majorBidi" w:cstheme="majorBidi"/>
                <w:sz w:val="18"/>
                <w:szCs w:val="18"/>
                <w:lang w:val="fr-FR"/>
              </w:rPr>
              <w:br/>
            </w:r>
            <w:r w:rsidRPr="00E151BA">
              <w:rPr>
                <w:rFonts w:asciiTheme="majorBidi" w:hAnsiTheme="majorBidi" w:cstheme="majorBidi"/>
                <w:sz w:val="18"/>
                <w:szCs w:val="18"/>
                <w:lang w:val="fr-FR"/>
              </w:rPr>
              <w:t>ou blanc)</w:t>
            </w:r>
          </w:p>
        </w:tc>
        <w:tc>
          <w:tcPr>
            <w:tcW w:w="1417" w:type="dxa"/>
            <w:tcMar>
              <w:bottom w:w="57" w:type="dxa"/>
            </w:tcMar>
          </w:tcPr>
          <w:p w:rsidR="00323CDB" w:rsidRPr="005B4BC1" w:rsidRDefault="00323CDB" w:rsidP="00701570">
            <w:pPr>
              <w:pStyle w:val="TableParagraph"/>
              <w:keepNext/>
              <w:keepLines/>
              <w:widowControl/>
              <w:spacing w:before="240" w:after="2"/>
              <w:ind w:left="57" w:right="57"/>
              <w:rPr>
                <w:rFonts w:asciiTheme="majorBidi" w:hAnsiTheme="majorBidi" w:cstheme="majorBidi"/>
                <w:sz w:val="20"/>
                <w:lang w:val="fr-FR"/>
              </w:rPr>
            </w:pPr>
            <w:r w:rsidRPr="005B4BC1">
              <w:rPr>
                <w:rFonts w:asciiTheme="majorBidi" w:hAnsiTheme="majorBidi" w:cstheme="majorBidi"/>
                <w:noProof/>
                <w:lang w:val="fr-CH" w:eastAsia="fr-CH" w:bidi="ar-SA"/>
              </w:rPr>
              <w:drawing>
                <wp:inline distT="0" distB="0" distL="0" distR="0" wp14:anchorId="51D9A7F8" wp14:editId="260DBCCC">
                  <wp:extent cx="864000" cy="842400"/>
                  <wp:effectExtent l="0" t="0" r="0" b="0"/>
                  <wp:docPr id="28" name="Imagen 28"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280" t="20447" r="19353" b="19932"/>
                          <a:stretch/>
                        </pic:blipFill>
                        <pic:spPr bwMode="auto">
                          <a:xfrm>
                            <a:off x="0" y="0"/>
                            <a:ext cx="864000" cy="84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Mar>
              <w:bottom w:w="57" w:type="dxa"/>
            </w:tcMar>
          </w:tcPr>
          <w:p w:rsidR="00323CDB" w:rsidRPr="005B4BC1" w:rsidRDefault="00323CDB" w:rsidP="00701570">
            <w:pPr>
              <w:pStyle w:val="TableParagraph"/>
              <w:keepNext/>
              <w:keepLines/>
              <w:widowControl/>
              <w:spacing w:before="240" w:after="2"/>
              <w:ind w:left="57" w:right="57"/>
              <w:rPr>
                <w:rFonts w:asciiTheme="majorBidi" w:hAnsiTheme="majorBidi" w:cstheme="majorBidi"/>
                <w:sz w:val="20"/>
                <w:lang w:val="fr-FR"/>
              </w:rPr>
            </w:pPr>
            <w:r w:rsidRPr="005B4BC1">
              <w:rPr>
                <w:rFonts w:asciiTheme="majorBidi" w:hAnsiTheme="majorBidi" w:cstheme="majorBidi"/>
                <w:noProof/>
                <w:lang w:val="fr-CH" w:eastAsia="fr-CH" w:bidi="ar-SA"/>
              </w:rPr>
              <w:drawing>
                <wp:inline distT="0" distB="0" distL="0" distR="0" wp14:anchorId="7810AEF4" wp14:editId="3314C678">
                  <wp:extent cx="835200" cy="846000"/>
                  <wp:effectExtent l="0" t="0" r="3175" b="0"/>
                  <wp:docPr id="30" name="Imagen 30"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9695" t="18054" r="18319" b="19396"/>
                          <a:stretch/>
                        </pic:blipFill>
                        <pic:spPr bwMode="auto">
                          <a:xfrm>
                            <a:off x="0" y="0"/>
                            <a:ext cx="835200" cy="84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w:t>
            </w:r>
          </w:p>
        </w:tc>
      </w:tr>
      <w:tr w:rsidR="00323CDB" w:rsidRPr="005B4BC1" w:rsidTr="00FC18B7">
        <w:trPr>
          <w:trHeight w:val="1362"/>
        </w:trPr>
        <w:tc>
          <w:tcPr>
            <w:tcW w:w="998"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2.2</w:t>
            </w:r>
          </w:p>
        </w:tc>
        <w:tc>
          <w:tcPr>
            <w:tcW w:w="1399" w:type="dxa"/>
            <w:tcMar>
              <w:bottom w:w="57" w:type="dxa"/>
            </w:tcMar>
          </w:tcPr>
          <w:p w:rsidR="00323CDB" w:rsidRPr="00E151BA" w:rsidRDefault="00323CDB" w:rsidP="00810902">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Division 2.2</w:t>
            </w:r>
            <w:r w:rsidR="00810902">
              <w:rPr>
                <w:rFonts w:asciiTheme="majorBidi" w:hAnsiTheme="majorBidi" w:cstheme="majorBidi"/>
                <w:sz w:val="18"/>
                <w:szCs w:val="18"/>
                <w:lang w:val="fr-FR"/>
              </w:rPr>
              <w:t> </w:t>
            </w:r>
            <w:r w:rsidRPr="00E151BA">
              <w:rPr>
                <w:rFonts w:asciiTheme="majorBidi" w:hAnsiTheme="majorBidi" w:cstheme="majorBidi"/>
                <w:sz w:val="18"/>
                <w:szCs w:val="18"/>
                <w:lang w:val="fr-FR"/>
              </w:rPr>
              <w:t>:</w:t>
            </w:r>
            <w:r w:rsidR="00810902">
              <w:rPr>
                <w:rFonts w:asciiTheme="majorBidi" w:hAnsiTheme="majorBidi" w:cstheme="majorBidi"/>
                <w:sz w:val="18"/>
                <w:szCs w:val="18"/>
                <w:lang w:val="fr-FR"/>
              </w:rPr>
              <w:t xml:space="preserve"> </w:t>
            </w:r>
            <w:r w:rsidRPr="00E151BA">
              <w:rPr>
                <w:rFonts w:asciiTheme="majorBidi" w:hAnsiTheme="majorBidi" w:cstheme="majorBidi"/>
                <w:sz w:val="18"/>
                <w:szCs w:val="18"/>
                <w:lang w:val="fr-FR"/>
              </w:rPr>
              <w:t>Gaz inflammables, non toxiques</w:t>
            </w:r>
          </w:p>
        </w:tc>
        <w:tc>
          <w:tcPr>
            <w:tcW w:w="1272" w:type="dxa"/>
            <w:tcMar>
              <w:bottom w:w="57" w:type="dxa"/>
            </w:tcMar>
          </w:tcPr>
          <w:p w:rsidR="00323CDB" w:rsidRPr="00E151BA" w:rsidRDefault="00323CDB" w:rsidP="00810902">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Bouteille à</w:t>
            </w:r>
            <w:r w:rsidR="00810902">
              <w:rPr>
                <w:rFonts w:asciiTheme="majorBidi" w:hAnsiTheme="majorBidi" w:cstheme="majorBidi"/>
                <w:sz w:val="18"/>
                <w:szCs w:val="18"/>
                <w:lang w:val="fr-FR"/>
              </w:rPr>
              <w:t> </w:t>
            </w:r>
            <w:r w:rsidRPr="00E151BA">
              <w:rPr>
                <w:rFonts w:asciiTheme="majorBidi" w:hAnsiTheme="majorBidi" w:cstheme="majorBidi"/>
                <w:sz w:val="18"/>
                <w:szCs w:val="18"/>
                <w:lang w:val="fr-FR"/>
              </w:rPr>
              <w:t>gaz</w:t>
            </w:r>
            <w:r w:rsidR="00810902">
              <w:rPr>
                <w:rFonts w:asciiTheme="majorBidi" w:hAnsiTheme="majorBidi" w:cstheme="majorBidi"/>
                <w:sz w:val="18"/>
                <w:szCs w:val="18"/>
                <w:lang w:val="fr-FR"/>
              </w:rPr>
              <w:t> </w:t>
            </w:r>
            <w:r w:rsidRPr="00E151BA">
              <w:rPr>
                <w:rFonts w:asciiTheme="majorBidi" w:hAnsiTheme="majorBidi" w:cstheme="majorBidi"/>
                <w:sz w:val="18"/>
                <w:szCs w:val="18"/>
                <w:lang w:val="fr-FR"/>
              </w:rPr>
              <w:t>: noir ou</w:t>
            </w:r>
            <w:r w:rsidR="00810902">
              <w:rPr>
                <w:rFonts w:asciiTheme="majorBidi" w:hAnsiTheme="majorBidi" w:cstheme="majorBidi"/>
                <w:sz w:val="18"/>
                <w:szCs w:val="18"/>
                <w:lang w:val="fr-FR"/>
              </w:rPr>
              <w:t> </w:t>
            </w:r>
            <w:r w:rsidRPr="00E151BA">
              <w:rPr>
                <w:rFonts w:asciiTheme="majorBidi" w:hAnsiTheme="majorBidi" w:cstheme="majorBidi"/>
                <w:sz w:val="18"/>
                <w:szCs w:val="18"/>
                <w:lang w:val="fr-FR"/>
              </w:rPr>
              <w:t>blanc</w:t>
            </w:r>
          </w:p>
        </w:tc>
        <w:tc>
          <w:tcPr>
            <w:tcW w:w="1159"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Vert</w:t>
            </w:r>
          </w:p>
        </w:tc>
        <w:tc>
          <w:tcPr>
            <w:tcW w:w="1134" w:type="dxa"/>
            <w:tcMar>
              <w:bottom w:w="57" w:type="dxa"/>
            </w:tcMar>
          </w:tcPr>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2</w:t>
            </w:r>
          </w:p>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sz w:val="18"/>
                <w:szCs w:val="18"/>
                <w:lang w:val="fr-FR"/>
              </w:rPr>
              <w:t>(</w:t>
            </w:r>
            <w:proofErr w:type="gramStart"/>
            <w:r w:rsidRPr="00E151BA">
              <w:rPr>
                <w:rFonts w:asciiTheme="majorBidi" w:hAnsiTheme="majorBidi" w:cstheme="majorBidi"/>
                <w:sz w:val="18"/>
                <w:szCs w:val="18"/>
                <w:lang w:val="fr-FR"/>
              </w:rPr>
              <w:t>noir</w:t>
            </w:r>
            <w:proofErr w:type="gramEnd"/>
            <w:r w:rsidRPr="00E151BA">
              <w:rPr>
                <w:rFonts w:asciiTheme="majorBidi" w:hAnsiTheme="majorBidi" w:cstheme="majorBidi"/>
                <w:sz w:val="18"/>
                <w:szCs w:val="18"/>
                <w:lang w:val="fr-FR"/>
              </w:rPr>
              <w:t xml:space="preserve"> </w:t>
            </w:r>
            <w:r w:rsidR="00421EFB">
              <w:rPr>
                <w:rFonts w:asciiTheme="majorBidi" w:hAnsiTheme="majorBidi" w:cstheme="majorBidi"/>
                <w:sz w:val="18"/>
                <w:szCs w:val="18"/>
                <w:lang w:val="fr-FR"/>
              </w:rPr>
              <w:br/>
            </w:r>
            <w:r w:rsidRPr="00E151BA">
              <w:rPr>
                <w:rFonts w:asciiTheme="majorBidi" w:hAnsiTheme="majorBidi" w:cstheme="majorBidi"/>
                <w:sz w:val="18"/>
                <w:szCs w:val="18"/>
                <w:lang w:val="fr-FR"/>
              </w:rPr>
              <w:t>ou blanc)</w:t>
            </w:r>
          </w:p>
        </w:tc>
        <w:tc>
          <w:tcPr>
            <w:tcW w:w="1417" w:type="dxa"/>
            <w:tcMar>
              <w:bottom w:w="57" w:type="dxa"/>
            </w:tcMar>
          </w:tcPr>
          <w:p w:rsidR="00323CDB" w:rsidRPr="005B4BC1" w:rsidRDefault="00323CDB" w:rsidP="00701570">
            <w:pPr>
              <w:pStyle w:val="TableParagraph"/>
              <w:keepNext/>
              <w:keepLines/>
              <w:widowControl/>
              <w:spacing w:before="240" w:after="2"/>
              <w:ind w:left="57" w:right="57"/>
              <w:rPr>
                <w:rFonts w:asciiTheme="majorBidi" w:hAnsiTheme="majorBidi" w:cstheme="majorBidi"/>
                <w:sz w:val="20"/>
                <w:lang w:val="fr-FR"/>
              </w:rPr>
            </w:pPr>
            <w:r w:rsidRPr="005B4BC1">
              <w:rPr>
                <w:rFonts w:asciiTheme="majorBidi" w:hAnsiTheme="majorBidi" w:cstheme="majorBidi"/>
                <w:noProof/>
                <w:sz w:val="20"/>
                <w:lang w:val="fr-CH" w:eastAsia="fr-CH" w:bidi="ar-SA"/>
              </w:rPr>
              <w:drawing>
                <wp:inline distT="0" distB="0" distL="0" distR="0" wp14:anchorId="3F0EBEF0" wp14:editId="33BFD2C2">
                  <wp:extent cx="865632" cy="865632"/>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865632" cy="865632"/>
                          </a:xfrm>
                          <a:prstGeom prst="rect">
                            <a:avLst/>
                          </a:prstGeom>
                        </pic:spPr>
                      </pic:pic>
                    </a:graphicData>
                  </a:graphic>
                </wp:inline>
              </w:drawing>
            </w:r>
          </w:p>
        </w:tc>
        <w:tc>
          <w:tcPr>
            <w:tcW w:w="1559" w:type="dxa"/>
            <w:tcMar>
              <w:bottom w:w="57" w:type="dxa"/>
            </w:tcMar>
          </w:tcPr>
          <w:p w:rsidR="00323CDB" w:rsidRPr="005B4BC1" w:rsidRDefault="00323CDB" w:rsidP="00701570">
            <w:pPr>
              <w:pStyle w:val="TableParagraph"/>
              <w:keepNext/>
              <w:keepLines/>
              <w:widowControl/>
              <w:spacing w:before="240" w:after="2"/>
              <w:ind w:left="57" w:right="57"/>
              <w:rPr>
                <w:rFonts w:asciiTheme="majorBidi" w:hAnsiTheme="majorBidi" w:cstheme="majorBidi"/>
                <w:sz w:val="20"/>
                <w:lang w:val="fr-FR"/>
              </w:rPr>
            </w:pPr>
            <w:r w:rsidRPr="005B4BC1">
              <w:rPr>
                <w:rFonts w:asciiTheme="majorBidi" w:hAnsiTheme="majorBidi" w:cstheme="majorBidi"/>
                <w:noProof/>
                <w:sz w:val="20"/>
                <w:lang w:val="fr-CH" w:eastAsia="fr-CH" w:bidi="ar-SA"/>
              </w:rPr>
              <w:drawing>
                <wp:inline distT="0" distB="0" distL="0" distR="0" wp14:anchorId="61052096" wp14:editId="1CBFF89B">
                  <wp:extent cx="865632" cy="865632"/>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5" cstate="print"/>
                          <a:stretch>
                            <a:fillRect/>
                          </a:stretch>
                        </pic:blipFill>
                        <pic:spPr>
                          <a:xfrm>
                            <a:off x="0" y="0"/>
                            <a:ext cx="865632" cy="865632"/>
                          </a:xfrm>
                          <a:prstGeom prst="rect">
                            <a:avLst/>
                          </a:prstGeom>
                        </pic:spPr>
                      </pic:pic>
                    </a:graphicData>
                  </a:graphic>
                </wp:inline>
              </w:drawing>
            </w:r>
          </w:p>
        </w:tc>
        <w:tc>
          <w:tcPr>
            <w:tcW w:w="701"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w:t>
            </w:r>
          </w:p>
        </w:tc>
      </w:tr>
      <w:tr w:rsidR="00323CDB" w:rsidRPr="005B4BC1" w:rsidTr="00FC18B7">
        <w:trPr>
          <w:trHeight w:val="1614"/>
        </w:trPr>
        <w:tc>
          <w:tcPr>
            <w:tcW w:w="998"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2.3</w:t>
            </w:r>
          </w:p>
        </w:tc>
        <w:tc>
          <w:tcPr>
            <w:tcW w:w="1399"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Division 2.3</w:t>
            </w:r>
            <w:r w:rsidR="00E151BA" w:rsidRPr="00E151BA">
              <w:rPr>
                <w:rFonts w:asciiTheme="majorBidi" w:hAnsiTheme="majorBidi" w:cstheme="majorBidi"/>
                <w:sz w:val="18"/>
                <w:szCs w:val="18"/>
                <w:lang w:val="fr-FR"/>
              </w:rPr>
              <w:t> </w:t>
            </w:r>
            <w:r w:rsidRPr="00E151BA">
              <w:rPr>
                <w:rFonts w:asciiTheme="majorBidi" w:hAnsiTheme="majorBidi" w:cstheme="majorBidi"/>
                <w:sz w:val="18"/>
                <w:szCs w:val="18"/>
                <w:lang w:val="fr-FR"/>
              </w:rPr>
              <w:t xml:space="preserve">: </w:t>
            </w:r>
            <w:r w:rsidR="00421EFB">
              <w:rPr>
                <w:rFonts w:asciiTheme="majorBidi" w:hAnsiTheme="majorBidi" w:cstheme="majorBidi"/>
                <w:sz w:val="18"/>
                <w:szCs w:val="18"/>
                <w:lang w:val="fr-FR"/>
              </w:rPr>
              <w:br/>
            </w:r>
            <w:r w:rsidRPr="00E151BA">
              <w:rPr>
                <w:rFonts w:asciiTheme="majorBidi" w:hAnsiTheme="majorBidi" w:cstheme="majorBidi"/>
                <w:sz w:val="18"/>
                <w:szCs w:val="18"/>
                <w:lang w:val="fr-FR"/>
              </w:rPr>
              <w:t xml:space="preserve">Gaz toxiques </w:t>
            </w:r>
          </w:p>
        </w:tc>
        <w:tc>
          <w:tcPr>
            <w:tcW w:w="1272"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z w:val="18"/>
                <w:szCs w:val="18"/>
                <w:lang w:val="fr-FR"/>
              </w:rPr>
              <w:t xml:space="preserve">Tête de mort </w:t>
            </w:r>
            <w:r w:rsidR="00421EFB">
              <w:rPr>
                <w:rFonts w:asciiTheme="majorBidi" w:hAnsiTheme="majorBidi" w:cstheme="majorBidi"/>
                <w:sz w:val="18"/>
                <w:szCs w:val="18"/>
                <w:lang w:val="fr-FR"/>
              </w:rPr>
              <w:br/>
            </w:r>
            <w:r w:rsidRPr="00E151BA">
              <w:rPr>
                <w:rFonts w:asciiTheme="majorBidi" w:hAnsiTheme="majorBidi" w:cstheme="majorBidi"/>
                <w:sz w:val="18"/>
                <w:szCs w:val="18"/>
                <w:lang w:val="fr-FR"/>
              </w:rPr>
              <w:t>sur deux tibias</w:t>
            </w:r>
            <w:r w:rsidR="00E151BA" w:rsidRPr="00E151BA">
              <w:rPr>
                <w:rFonts w:asciiTheme="majorBidi" w:hAnsiTheme="majorBidi" w:cstheme="majorBidi"/>
                <w:sz w:val="18"/>
                <w:szCs w:val="18"/>
                <w:lang w:val="fr-FR"/>
              </w:rPr>
              <w:t> </w:t>
            </w:r>
            <w:r w:rsidRPr="00E151BA">
              <w:rPr>
                <w:rFonts w:asciiTheme="majorBidi" w:hAnsiTheme="majorBidi" w:cstheme="majorBidi"/>
                <w:sz w:val="18"/>
                <w:szCs w:val="18"/>
                <w:lang w:val="fr-FR"/>
              </w:rPr>
              <w:t>: noir</w:t>
            </w:r>
          </w:p>
        </w:tc>
        <w:tc>
          <w:tcPr>
            <w:tcW w:w="1159"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strike/>
                <w:sz w:val="18"/>
                <w:szCs w:val="18"/>
                <w:lang w:val="fr-FR"/>
              </w:rPr>
              <w:t>Blanc</w:t>
            </w:r>
            <w:r w:rsidRPr="00E151BA">
              <w:rPr>
                <w:rFonts w:asciiTheme="majorBidi" w:hAnsiTheme="majorBidi" w:cstheme="majorBidi"/>
                <w:sz w:val="18"/>
                <w:szCs w:val="18"/>
                <w:lang w:val="fr-FR"/>
              </w:rPr>
              <w:t xml:space="preserve"> </w:t>
            </w:r>
            <w:r w:rsidRPr="00E151BA">
              <w:rPr>
                <w:rFonts w:asciiTheme="majorBidi" w:hAnsiTheme="majorBidi" w:cstheme="majorBidi"/>
                <w:b/>
                <w:sz w:val="18"/>
                <w:szCs w:val="18"/>
                <w:lang w:val="fr-FR"/>
              </w:rPr>
              <w:t xml:space="preserve">Moitié supérieure blanc, moitié inférieure </w:t>
            </w:r>
            <w:r w:rsidR="00421EFB">
              <w:rPr>
                <w:rFonts w:asciiTheme="majorBidi" w:hAnsiTheme="majorBidi" w:cstheme="majorBidi"/>
                <w:b/>
                <w:sz w:val="18"/>
                <w:szCs w:val="18"/>
                <w:lang w:val="fr-FR"/>
              </w:rPr>
              <w:br/>
            </w:r>
            <w:r w:rsidRPr="00E151BA">
              <w:rPr>
                <w:rFonts w:asciiTheme="majorBidi" w:hAnsiTheme="majorBidi" w:cstheme="majorBidi"/>
                <w:b/>
                <w:sz w:val="18"/>
                <w:szCs w:val="18"/>
                <w:lang w:val="fr-FR"/>
              </w:rPr>
              <w:t>vert</w:t>
            </w:r>
          </w:p>
        </w:tc>
        <w:tc>
          <w:tcPr>
            <w:tcW w:w="1134" w:type="dxa"/>
            <w:tcMar>
              <w:bottom w:w="57" w:type="dxa"/>
            </w:tcMar>
          </w:tcPr>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2</w:t>
            </w:r>
          </w:p>
          <w:p w:rsidR="00323CDB" w:rsidRPr="00E151BA" w:rsidRDefault="00323CDB" w:rsidP="00701570">
            <w:pPr>
              <w:pStyle w:val="TableParagraph"/>
              <w:keepNext/>
              <w:keepLines/>
              <w:widowControl/>
              <w:spacing w:before="240" w:after="2"/>
              <w:ind w:left="57" w:right="57" w:firstLine="2"/>
              <w:jc w:val="center"/>
              <w:rPr>
                <w:rFonts w:asciiTheme="majorBidi" w:hAnsiTheme="majorBidi" w:cstheme="majorBidi"/>
                <w:sz w:val="18"/>
                <w:szCs w:val="18"/>
                <w:lang w:val="fr-FR"/>
              </w:rPr>
            </w:pPr>
            <w:r w:rsidRPr="00E151BA">
              <w:rPr>
                <w:rFonts w:asciiTheme="majorBidi" w:hAnsiTheme="majorBidi" w:cstheme="majorBidi"/>
                <w:sz w:val="18"/>
                <w:szCs w:val="18"/>
                <w:lang w:val="fr-FR"/>
              </w:rPr>
              <w:t>(</w:t>
            </w:r>
            <w:proofErr w:type="gramStart"/>
            <w:r w:rsidRPr="00E151BA">
              <w:rPr>
                <w:rFonts w:asciiTheme="majorBidi" w:hAnsiTheme="majorBidi" w:cstheme="majorBidi"/>
                <w:sz w:val="18"/>
                <w:szCs w:val="18"/>
                <w:lang w:val="fr-FR"/>
              </w:rPr>
              <w:t>noir</w:t>
            </w:r>
            <w:proofErr w:type="gramEnd"/>
            <w:r w:rsidRPr="00E151BA">
              <w:rPr>
                <w:rFonts w:asciiTheme="majorBidi" w:hAnsiTheme="majorBidi" w:cstheme="majorBidi"/>
                <w:sz w:val="18"/>
                <w:szCs w:val="18"/>
                <w:lang w:val="fr-FR"/>
              </w:rPr>
              <w:t>)</w:t>
            </w:r>
          </w:p>
        </w:tc>
        <w:tc>
          <w:tcPr>
            <w:tcW w:w="2976" w:type="dxa"/>
            <w:gridSpan w:val="2"/>
            <w:tcMar>
              <w:bottom w:w="57" w:type="dxa"/>
            </w:tcMar>
          </w:tcPr>
          <w:p w:rsidR="00323CDB" w:rsidRPr="005B4BC1" w:rsidRDefault="00323CDB" w:rsidP="00701570">
            <w:pPr>
              <w:pStyle w:val="TableParagraph"/>
              <w:keepNext/>
              <w:keepLines/>
              <w:widowControl/>
              <w:spacing w:before="240" w:after="2"/>
              <w:ind w:left="57" w:right="57"/>
              <w:jc w:val="center"/>
              <w:rPr>
                <w:rFonts w:asciiTheme="majorBidi" w:hAnsiTheme="majorBidi" w:cstheme="majorBidi"/>
                <w:sz w:val="20"/>
                <w:lang w:val="fr-FR"/>
              </w:rPr>
            </w:pPr>
            <w:r w:rsidRPr="005B4BC1">
              <w:rPr>
                <w:rFonts w:asciiTheme="majorBidi" w:hAnsiTheme="majorBidi" w:cstheme="majorBidi"/>
                <w:noProof/>
                <w:lang w:val="fr-CH" w:eastAsia="fr-CH" w:bidi="ar-SA"/>
              </w:rPr>
              <w:drawing>
                <wp:inline distT="0" distB="0" distL="0" distR="0" wp14:anchorId="0BB10B2F" wp14:editId="2206B862">
                  <wp:extent cx="931968" cy="952500"/>
                  <wp:effectExtent l="0" t="0" r="1905" b="0"/>
                  <wp:docPr id="27" name="Imagen 27"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8229" t="15638" r="19595" b="19595"/>
                          <a:stretch/>
                        </pic:blipFill>
                        <pic:spPr bwMode="auto">
                          <a:xfrm>
                            <a:off x="0" y="0"/>
                            <a:ext cx="937494" cy="9581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 w:type="dxa"/>
            <w:tcMar>
              <w:bottom w:w="57" w:type="dxa"/>
            </w:tcMar>
          </w:tcPr>
          <w:p w:rsidR="00323CDB" w:rsidRPr="00E151BA" w:rsidRDefault="00323CDB" w:rsidP="00701570">
            <w:pPr>
              <w:pStyle w:val="TableParagraph"/>
              <w:keepNext/>
              <w:keepLines/>
              <w:widowControl/>
              <w:spacing w:before="240" w:after="2"/>
              <w:ind w:left="57" w:right="57"/>
              <w:jc w:val="center"/>
              <w:rPr>
                <w:rFonts w:asciiTheme="majorBidi" w:hAnsiTheme="majorBidi" w:cstheme="majorBidi"/>
                <w:sz w:val="18"/>
                <w:szCs w:val="18"/>
                <w:lang w:val="fr-FR"/>
              </w:rPr>
            </w:pPr>
            <w:r w:rsidRPr="00E151BA">
              <w:rPr>
                <w:rFonts w:asciiTheme="majorBidi" w:hAnsiTheme="majorBidi" w:cstheme="majorBidi"/>
                <w:w w:val="99"/>
                <w:sz w:val="18"/>
                <w:szCs w:val="18"/>
                <w:lang w:val="fr-FR"/>
              </w:rPr>
              <w:t>-</w:t>
            </w:r>
          </w:p>
        </w:tc>
      </w:tr>
    </w:tbl>
    <w:p w:rsidR="00323CDB" w:rsidRDefault="00323CDB" w:rsidP="00E151BA">
      <w:pPr>
        <w:pStyle w:val="SingleTxtG"/>
        <w:spacing w:before="240"/>
      </w:pPr>
      <w:r w:rsidRPr="005B4BC1">
        <w:t>10.</w:t>
      </w:r>
      <w:r w:rsidRPr="005B4BC1">
        <w:tab/>
        <w:t>En outre, une période transitoire d</w:t>
      </w:r>
      <w:r>
        <w:t>’</w:t>
      </w:r>
      <w:r w:rsidRPr="005B4BC1">
        <w:t xml:space="preserve">au moins quatre ans </w:t>
      </w:r>
      <w:proofErr w:type="gramStart"/>
      <w:r w:rsidRPr="005B4BC1">
        <w:t>devrait</w:t>
      </w:r>
      <w:proofErr w:type="gramEnd"/>
      <w:r w:rsidRPr="005B4BC1">
        <w:t xml:space="preserve"> être prévue pour la mise en place de cette mesure dans les différents règlements modaux, pendant laquelle les anciens modèles d</w:t>
      </w:r>
      <w:r>
        <w:t>’</w:t>
      </w:r>
      <w:r w:rsidRPr="005B4BC1">
        <w:t>étiquette continuer</w:t>
      </w:r>
      <w:r>
        <w:t>aie</w:t>
      </w:r>
      <w:r w:rsidRPr="005B4BC1">
        <w:t>nt à être utilisés.</w:t>
      </w:r>
    </w:p>
    <w:p w:rsidR="00E151BA" w:rsidRPr="00E151BA" w:rsidRDefault="00E151BA" w:rsidP="00E151BA">
      <w:pPr>
        <w:pStyle w:val="SingleTxtG"/>
        <w:spacing w:before="240" w:after="0"/>
        <w:jc w:val="center"/>
        <w:rPr>
          <w:u w:val="single"/>
          <w:lang w:eastAsia="es-ES"/>
        </w:rPr>
      </w:pPr>
      <w:r>
        <w:rPr>
          <w:u w:val="single"/>
          <w:lang w:eastAsia="es-ES"/>
        </w:rPr>
        <w:tab/>
      </w:r>
      <w:r>
        <w:rPr>
          <w:u w:val="single"/>
          <w:lang w:eastAsia="es-ES"/>
        </w:rPr>
        <w:tab/>
      </w:r>
      <w:r>
        <w:rPr>
          <w:u w:val="single"/>
          <w:lang w:eastAsia="es-ES"/>
        </w:rPr>
        <w:tab/>
      </w:r>
    </w:p>
    <w:sectPr w:rsidR="00E151BA" w:rsidRPr="00E151BA" w:rsidSect="00323CDB">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B8" w:rsidRDefault="001572B8" w:rsidP="00F95C08">
      <w:pPr>
        <w:spacing w:line="240" w:lineRule="auto"/>
      </w:pPr>
    </w:p>
  </w:endnote>
  <w:endnote w:type="continuationSeparator" w:id="0">
    <w:p w:rsidR="001572B8" w:rsidRPr="00AC3823" w:rsidRDefault="001572B8" w:rsidP="00AC3823">
      <w:pPr>
        <w:pStyle w:val="Footer"/>
      </w:pPr>
    </w:p>
  </w:endnote>
  <w:endnote w:type="continuationNotice" w:id="1">
    <w:p w:rsidR="001572B8" w:rsidRDefault="001572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B" w:rsidRPr="00323CDB" w:rsidRDefault="00323CDB" w:rsidP="00323CDB">
    <w:pPr>
      <w:pStyle w:val="Footer"/>
      <w:tabs>
        <w:tab w:val="right" w:pos="9638"/>
      </w:tabs>
    </w:pPr>
    <w:r w:rsidRPr="00323CDB">
      <w:rPr>
        <w:b/>
        <w:sz w:val="18"/>
      </w:rPr>
      <w:fldChar w:fldCharType="begin"/>
    </w:r>
    <w:r w:rsidRPr="00323CDB">
      <w:rPr>
        <w:b/>
        <w:sz w:val="18"/>
      </w:rPr>
      <w:instrText xml:space="preserve"> PAGE  \* MERGEFORMAT </w:instrText>
    </w:r>
    <w:r w:rsidRPr="00323CDB">
      <w:rPr>
        <w:b/>
        <w:sz w:val="18"/>
      </w:rPr>
      <w:fldChar w:fldCharType="separate"/>
    </w:r>
    <w:r w:rsidR="000A06F0">
      <w:rPr>
        <w:b/>
        <w:noProof/>
        <w:sz w:val="18"/>
      </w:rPr>
      <w:t>2</w:t>
    </w:r>
    <w:r w:rsidRPr="00323CDB">
      <w:rPr>
        <w:b/>
        <w:sz w:val="18"/>
      </w:rPr>
      <w:fldChar w:fldCharType="end"/>
    </w:r>
    <w:r>
      <w:rPr>
        <w:b/>
        <w:sz w:val="18"/>
      </w:rPr>
      <w:tab/>
    </w:r>
    <w:r>
      <w:t>GE.18-14693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B" w:rsidRPr="00323CDB" w:rsidRDefault="00323CDB" w:rsidP="00323CDB">
    <w:pPr>
      <w:pStyle w:val="Footer"/>
      <w:tabs>
        <w:tab w:val="right" w:pos="9638"/>
      </w:tabs>
      <w:rPr>
        <w:b/>
        <w:sz w:val="18"/>
      </w:rPr>
    </w:pPr>
    <w:r>
      <w:t>GE.18-14693</w:t>
    </w:r>
    <w:r>
      <w:tab/>
    </w:r>
    <w:r w:rsidRPr="00323CDB">
      <w:rPr>
        <w:b/>
        <w:sz w:val="18"/>
      </w:rPr>
      <w:fldChar w:fldCharType="begin"/>
    </w:r>
    <w:r w:rsidRPr="00323CDB">
      <w:rPr>
        <w:b/>
        <w:sz w:val="18"/>
      </w:rPr>
      <w:instrText xml:space="preserve"> PAGE  \* MERGEFORMAT </w:instrText>
    </w:r>
    <w:r w:rsidRPr="00323CDB">
      <w:rPr>
        <w:b/>
        <w:sz w:val="18"/>
      </w:rPr>
      <w:fldChar w:fldCharType="separate"/>
    </w:r>
    <w:r w:rsidR="000A06F0">
      <w:rPr>
        <w:b/>
        <w:noProof/>
        <w:sz w:val="18"/>
      </w:rPr>
      <w:t>3</w:t>
    </w:r>
    <w:r w:rsidRPr="00323C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323CDB" w:rsidRDefault="00323CDB" w:rsidP="00323CD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14693  (</w:t>
    </w:r>
    <w:proofErr w:type="gramEnd"/>
    <w:r>
      <w:rPr>
        <w:sz w:val="20"/>
      </w:rPr>
      <w:t>F)    051018    111018</w:t>
    </w:r>
    <w:r>
      <w:rPr>
        <w:sz w:val="20"/>
      </w:rPr>
      <w:br/>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sidRPr="00323CD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B8" w:rsidRPr="00AC3823" w:rsidRDefault="001572B8" w:rsidP="00AC3823">
      <w:pPr>
        <w:pStyle w:val="Footer"/>
        <w:tabs>
          <w:tab w:val="right" w:pos="2155"/>
        </w:tabs>
        <w:spacing w:after="80" w:line="240" w:lineRule="atLeast"/>
        <w:ind w:left="680"/>
        <w:rPr>
          <w:u w:val="single"/>
        </w:rPr>
      </w:pPr>
      <w:r>
        <w:rPr>
          <w:u w:val="single"/>
        </w:rPr>
        <w:tab/>
      </w:r>
    </w:p>
  </w:footnote>
  <w:footnote w:type="continuationSeparator" w:id="0">
    <w:p w:rsidR="001572B8" w:rsidRPr="00AC3823" w:rsidRDefault="001572B8" w:rsidP="00AC3823">
      <w:pPr>
        <w:pStyle w:val="Footer"/>
        <w:tabs>
          <w:tab w:val="right" w:pos="2155"/>
        </w:tabs>
        <w:spacing w:after="80" w:line="240" w:lineRule="atLeast"/>
        <w:ind w:left="680"/>
        <w:rPr>
          <w:u w:val="single"/>
        </w:rPr>
      </w:pPr>
      <w:r>
        <w:rPr>
          <w:u w:val="single"/>
        </w:rPr>
        <w:tab/>
      </w:r>
    </w:p>
  </w:footnote>
  <w:footnote w:type="continuationNotice" w:id="1">
    <w:p w:rsidR="001572B8" w:rsidRPr="00AC3823" w:rsidRDefault="001572B8">
      <w:pPr>
        <w:spacing w:line="240" w:lineRule="auto"/>
        <w:rPr>
          <w:sz w:val="2"/>
          <w:szCs w:val="2"/>
        </w:rPr>
      </w:pPr>
    </w:p>
  </w:footnote>
  <w:footnote w:id="2">
    <w:p w:rsidR="006E1634" w:rsidRPr="006E1634" w:rsidRDefault="006E1634">
      <w:pPr>
        <w:pStyle w:val="FootnoteText"/>
      </w:pPr>
      <w:r>
        <w:rPr>
          <w:rStyle w:val="FootnoteReference"/>
        </w:rPr>
        <w:tab/>
      </w:r>
      <w:r w:rsidRPr="006E1634">
        <w:rPr>
          <w:rStyle w:val="FootnoteReference"/>
          <w:sz w:val="20"/>
          <w:vertAlign w:val="baseline"/>
        </w:rPr>
        <w:t>*</w:t>
      </w:r>
      <w:r>
        <w:rPr>
          <w:rStyle w:val="FootnoteReference"/>
          <w:sz w:val="20"/>
          <w:vertAlign w:val="baseline"/>
        </w:rPr>
        <w:tab/>
      </w:r>
      <w:r w:rsidRPr="00323CDB">
        <w:t>Conformément au programme de travail du Sous-Comité pour 2017</w:t>
      </w:r>
      <w:r>
        <w:t>-</w:t>
      </w:r>
      <w:r w:rsidRPr="00323CDB">
        <w:t>2018 approuvé par le Comité à</w:t>
      </w:r>
      <w:r>
        <w:t> </w:t>
      </w:r>
      <w:r w:rsidRPr="00323CDB">
        <w:t>sa huitième session (voir ST/SG/AC.10/C.3/100, par.</w:t>
      </w:r>
      <w:r>
        <w:t> </w:t>
      </w:r>
      <w:r w:rsidRPr="00323CDB">
        <w:t>98, et</w:t>
      </w:r>
      <w:r>
        <w:t xml:space="preserve">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B" w:rsidRPr="00323CDB" w:rsidRDefault="00E51E45">
    <w:pPr>
      <w:pStyle w:val="Header"/>
    </w:pPr>
    <w:r>
      <w:fldChar w:fldCharType="begin"/>
    </w:r>
    <w:r>
      <w:instrText xml:space="preserve"> TITLE  \* MERGEFORMAT </w:instrText>
    </w:r>
    <w:r>
      <w:fldChar w:fldCharType="separate"/>
    </w:r>
    <w:r>
      <w:t>ST/SG/AC.10/C.3/2018/102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B" w:rsidRPr="00323CDB" w:rsidRDefault="00E51E45" w:rsidP="00323CDB">
    <w:pPr>
      <w:pStyle w:val="Header"/>
      <w:jc w:val="right"/>
    </w:pPr>
    <w:r>
      <w:fldChar w:fldCharType="begin"/>
    </w:r>
    <w:r>
      <w:instrText xml:space="preserve"> TITLE  \* MERGEFORMAT </w:instrText>
    </w:r>
    <w:r>
      <w:fldChar w:fldCharType="separate"/>
    </w:r>
    <w:r>
      <w:t>ST/SG/AC.10/C.3/2018/102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4558B23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380A04DE"/>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3" w15:restartNumberingAfterBreak="0">
    <w:nsid w:val="3ACF4EB2"/>
    <w:multiLevelType w:val="hybridMultilevel"/>
    <w:tmpl w:val="C19C125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69543A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B8"/>
    <w:rsid w:val="00017F94"/>
    <w:rsid w:val="00023842"/>
    <w:rsid w:val="000305D3"/>
    <w:rsid w:val="000334F9"/>
    <w:rsid w:val="0007796D"/>
    <w:rsid w:val="000A06F0"/>
    <w:rsid w:val="000B7790"/>
    <w:rsid w:val="00111F2F"/>
    <w:rsid w:val="00132EA9"/>
    <w:rsid w:val="0014365E"/>
    <w:rsid w:val="001572B8"/>
    <w:rsid w:val="00176178"/>
    <w:rsid w:val="001F525A"/>
    <w:rsid w:val="00223272"/>
    <w:rsid w:val="0024779E"/>
    <w:rsid w:val="002624F3"/>
    <w:rsid w:val="00283190"/>
    <w:rsid w:val="002832AC"/>
    <w:rsid w:val="002D7C93"/>
    <w:rsid w:val="00323CDB"/>
    <w:rsid w:val="00421EFB"/>
    <w:rsid w:val="00441C3B"/>
    <w:rsid w:val="00446FE5"/>
    <w:rsid w:val="00452396"/>
    <w:rsid w:val="004E468C"/>
    <w:rsid w:val="005505B7"/>
    <w:rsid w:val="00573BE5"/>
    <w:rsid w:val="00584DC4"/>
    <w:rsid w:val="00586ED3"/>
    <w:rsid w:val="00596AA9"/>
    <w:rsid w:val="0068456F"/>
    <w:rsid w:val="006D4070"/>
    <w:rsid w:val="006E1634"/>
    <w:rsid w:val="00701570"/>
    <w:rsid w:val="0071601D"/>
    <w:rsid w:val="007A62E6"/>
    <w:rsid w:val="0080684C"/>
    <w:rsid w:val="00810902"/>
    <w:rsid w:val="00871C75"/>
    <w:rsid w:val="008776DC"/>
    <w:rsid w:val="008B40CD"/>
    <w:rsid w:val="00907582"/>
    <w:rsid w:val="00963943"/>
    <w:rsid w:val="009705C8"/>
    <w:rsid w:val="009C1CF4"/>
    <w:rsid w:val="00A30353"/>
    <w:rsid w:val="00AC3823"/>
    <w:rsid w:val="00AE323C"/>
    <w:rsid w:val="00B00181"/>
    <w:rsid w:val="00B00B0D"/>
    <w:rsid w:val="00B765F7"/>
    <w:rsid w:val="00BA0CA9"/>
    <w:rsid w:val="00C02897"/>
    <w:rsid w:val="00C05DA5"/>
    <w:rsid w:val="00C52926"/>
    <w:rsid w:val="00D3439C"/>
    <w:rsid w:val="00DB1831"/>
    <w:rsid w:val="00DD3BFD"/>
    <w:rsid w:val="00DF6678"/>
    <w:rsid w:val="00E151BA"/>
    <w:rsid w:val="00E51E45"/>
    <w:rsid w:val="00EA4300"/>
    <w:rsid w:val="00EF2E22"/>
    <w:rsid w:val="00F01738"/>
    <w:rsid w:val="00F660DF"/>
    <w:rsid w:val="00F730C8"/>
    <w:rsid w:val="00F95C08"/>
    <w:rsid w:val="00FC18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010D1A-F5C9-4F6E-B9D2-3BBAC00A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CD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323CDB"/>
    <w:pPr>
      <w:keepNext/>
      <w:keepLines/>
      <w:spacing w:after="0" w:line="240" w:lineRule="auto"/>
      <w:ind w:right="0"/>
      <w:jc w:val="left"/>
      <w:outlineLvl w:val="0"/>
    </w:pPr>
  </w:style>
  <w:style w:type="paragraph" w:styleId="Heading2">
    <w:name w:val="heading 2"/>
    <w:basedOn w:val="Normal"/>
    <w:next w:val="Normal"/>
    <w:link w:val="Heading2Char"/>
    <w:semiHidden/>
    <w:qFormat/>
    <w:rsid w:val="00323CDB"/>
    <w:pPr>
      <w:outlineLvl w:val="1"/>
    </w:pPr>
  </w:style>
  <w:style w:type="paragraph" w:styleId="Heading3">
    <w:name w:val="heading 3"/>
    <w:basedOn w:val="Normal"/>
    <w:next w:val="Normal"/>
    <w:link w:val="Heading3Char"/>
    <w:semiHidden/>
    <w:qFormat/>
    <w:rsid w:val="00323CDB"/>
    <w:pPr>
      <w:outlineLvl w:val="2"/>
    </w:pPr>
  </w:style>
  <w:style w:type="paragraph" w:styleId="Heading4">
    <w:name w:val="heading 4"/>
    <w:basedOn w:val="Normal"/>
    <w:next w:val="Normal"/>
    <w:link w:val="Heading4Char"/>
    <w:semiHidden/>
    <w:qFormat/>
    <w:rsid w:val="00323CDB"/>
    <w:pPr>
      <w:outlineLvl w:val="3"/>
    </w:pPr>
  </w:style>
  <w:style w:type="paragraph" w:styleId="Heading5">
    <w:name w:val="heading 5"/>
    <w:basedOn w:val="Normal"/>
    <w:next w:val="Normal"/>
    <w:link w:val="Heading5Char"/>
    <w:semiHidden/>
    <w:qFormat/>
    <w:rsid w:val="00323CDB"/>
    <w:pPr>
      <w:outlineLvl w:val="4"/>
    </w:pPr>
  </w:style>
  <w:style w:type="paragraph" w:styleId="Heading6">
    <w:name w:val="heading 6"/>
    <w:basedOn w:val="Normal"/>
    <w:next w:val="Normal"/>
    <w:link w:val="Heading6Char"/>
    <w:semiHidden/>
    <w:qFormat/>
    <w:rsid w:val="00323CDB"/>
    <w:pPr>
      <w:outlineLvl w:val="5"/>
    </w:pPr>
  </w:style>
  <w:style w:type="paragraph" w:styleId="Heading7">
    <w:name w:val="heading 7"/>
    <w:basedOn w:val="Normal"/>
    <w:next w:val="Normal"/>
    <w:link w:val="Heading7Char"/>
    <w:semiHidden/>
    <w:qFormat/>
    <w:rsid w:val="00323CDB"/>
    <w:pPr>
      <w:outlineLvl w:val="6"/>
    </w:pPr>
  </w:style>
  <w:style w:type="paragraph" w:styleId="Heading8">
    <w:name w:val="heading 8"/>
    <w:basedOn w:val="Normal"/>
    <w:next w:val="Normal"/>
    <w:link w:val="Heading8Char"/>
    <w:semiHidden/>
    <w:qFormat/>
    <w:rsid w:val="00323CDB"/>
    <w:pPr>
      <w:outlineLvl w:val="7"/>
    </w:pPr>
  </w:style>
  <w:style w:type="paragraph" w:styleId="Heading9">
    <w:name w:val="heading 9"/>
    <w:basedOn w:val="Normal"/>
    <w:next w:val="Normal"/>
    <w:link w:val="Heading9Char"/>
    <w:semiHidden/>
    <w:qFormat/>
    <w:rsid w:val="00323C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23CD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23CD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323CDB"/>
    <w:pPr>
      <w:spacing w:line="240" w:lineRule="auto"/>
    </w:pPr>
    <w:rPr>
      <w:sz w:val="16"/>
    </w:rPr>
  </w:style>
  <w:style w:type="character" w:customStyle="1" w:styleId="FooterChar">
    <w:name w:val="Footer Char"/>
    <w:aliases w:val="3_G Char"/>
    <w:basedOn w:val="DefaultParagraphFont"/>
    <w:link w:val="Footer"/>
    <w:rsid w:val="00323CD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23CD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23CD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23CD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23CD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23CD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23CD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23CDB"/>
    <w:pPr>
      <w:spacing w:after="120"/>
      <w:ind w:left="1134" w:right="1134"/>
      <w:jc w:val="both"/>
    </w:pPr>
  </w:style>
  <w:style w:type="paragraph" w:customStyle="1" w:styleId="SLG">
    <w:name w:val="__S_L_G"/>
    <w:basedOn w:val="Normal"/>
    <w:next w:val="Normal"/>
    <w:rsid w:val="00323CDB"/>
    <w:pPr>
      <w:keepNext/>
      <w:keepLines/>
      <w:spacing w:before="240" w:after="240" w:line="580" w:lineRule="exact"/>
      <w:ind w:left="1134" w:right="1134"/>
    </w:pPr>
    <w:rPr>
      <w:b/>
      <w:sz w:val="56"/>
    </w:rPr>
  </w:style>
  <w:style w:type="paragraph" w:customStyle="1" w:styleId="SMG">
    <w:name w:val="__S_M_G"/>
    <w:basedOn w:val="Normal"/>
    <w:next w:val="Normal"/>
    <w:rsid w:val="00323CDB"/>
    <w:pPr>
      <w:keepNext/>
      <w:keepLines/>
      <w:spacing w:before="240" w:after="240" w:line="420" w:lineRule="exact"/>
      <w:ind w:left="1134" w:right="1134"/>
    </w:pPr>
    <w:rPr>
      <w:b/>
      <w:sz w:val="40"/>
    </w:rPr>
  </w:style>
  <w:style w:type="paragraph" w:customStyle="1" w:styleId="SSG">
    <w:name w:val="__S_S_G"/>
    <w:basedOn w:val="Normal"/>
    <w:next w:val="Normal"/>
    <w:rsid w:val="00323CDB"/>
    <w:pPr>
      <w:keepNext/>
      <w:keepLines/>
      <w:spacing w:before="240" w:after="240" w:line="300" w:lineRule="exact"/>
      <w:ind w:left="1134" w:right="1134"/>
    </w:pPr>
    <w:rPr>
      <w:b/>
      <w:sz w:val="28"/>
    </w:rPr>
  </w:style>
  <w:style w:type="paragraph" w:customStyle="1" w:styleId="XLargeG">
    <w:name w:val="__XLarge_G"/>
    <w:basedOn w:val="Normal"/>
    <w:next w:val="Normal"/>
    <w:rsid w:val="00323CDB"/>
    <w:pPr>
      <w:keepNext/>
      <w:keepLines/>
      <w:spacing w:before="240" w:after="240" w:line="420" w:lineRule="exact"/>
      <w:ind w:left="1134" w:right="1134"/>
    </w:pPr>
    <w:rPr>
      <w:b/>
      <w:sz w:val="40"/>
    </w:rPr>
  </w:style>
  <w:style w:type="paragraph" w:customStyle="1" w:styleId="Bullet1G">
    <w:name w:val="_Bullet 1_G"/>
    <w:basedOn w:val="Normal"/>
    <w:qFormat/>
    <w:rsid w:val="00323CDB"/>
    <w:pPr>
      <w:numPr>
        <w:numId w:val="19"/>
      </w:numPr>
      <w:spacing w:after="120"/>
      <w:ind w:right="1134"/>
      <w:jc w:val="both"/>
    </w:pPr>
  </w:style>
  <w:style w:type="paragraph" w:customStyle="1" w:styleId="Bullet2G">
    <w:name w:val="_Bullet 2_G"/>
    <w:basedOn w:val="Normal"/>
    <w:qFormat/>
    <w:rsid w:val="00323CDB"/>
    <w:pPr>
      <w:numPr>
        <w:numId w:val="20"/>
      </w:numPr>
      <w:spacing w:after="120"/>
      <w:ind w:right="1134"/>
      <w:jc w:val="both"/>
    </w:pPr>
  </w:style>
  <w:style w:type="paragraph" w:customStyle="1" w:styleId="ParNoG">
    <w:name w:val="_ParNo_G"/>
    <w:basedOn w:val="Normal"/>
    <w:qFormat/>
    <w:rsid w:val="00323CDB"/>
    <w:pPr>
      <w:numPr>
        <w:numId w:val="21"/>
      </w:numPr>
      <w:tabs>
        <w:tab w:val="clear" w:pos="1701"/>
      </w:tabs>
      <w:spacing w:after="120"/>
      <w:ind w:right="1134"/>
      <w:jc w:val="both"/>
    </w:pPr>
  </w:style>
  <w:style w:type="character" w:styleId="FootnoteReference">
    <w:name w:val="footnote reference"/>
    <w:aliases w:val="4_G"/>
    <w:basedOn w:val="DefaultParagraphFont"/>
    <w:qFormat/>
    <w:rsid w:val="00323CDB"/>
    <w:rPr>
      <w:rFonts w:ascii="Times New Roman" w:hAnsi="Times New Roman"/>
      <w:sz w:val="18"/>
      <w:vertAlign w:val="superscript"/>
      <w:lang w:val="fr-CH"/>
    </w:rPr>
  </w:style>
  <w:style w:type="character" w:styleId="EndnoteReference">
    <w:name w:val="endnote reference"/>
    <w:aliases w:val="1_G"/>
    <w:basedOn w:val="FootnoteReference"/>
    <w:qFormat/>
    <w:rsid w:val="00323CDB"/>
    <w:rPr>
      <w:rFonts w:ascii="Times New Roman" w:hAnsi="Times New Roman"/>
      <w:sz w:val="18"/>
      <w:vertAlign w:val="superscript"/>
      <w:lang w:val="fr-CH"/>
    </w:rPr>
  </w:style>
  <w:style w:type="table" w:styleId="TableGrid">
    <w:name w:val="Table Grid"/>
    <w:basedOn w:val="TableNormal"/>
    <w:rsid w:val="00323CD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23CDB"/>
    <w:rPr>
      <w:color w:val="0000FF"/>
      <w:u w:val="none"/>
    </w:rPr>
  </w:style>
  <w:style w:type="character" w:styleId="FollowedHyperlink">
    <w:name w:val="FollowedHyperlink"/>
    <w:basedOn w:val="DefaultParagraphFont"/>
    <w:unhideWhenUsed/>
    <w:rsid w:val="00323CDB"/>
    <w:rPr>
      <w:color w:val="0000FF"/>
      <w:u w:val="none"/>
    </w:rPr>
  </w:style>
  <w:style w:type="paragraph" w:styleId="FootnoteText">
    <w:name w:val="footnote text"/>
    <w:aliases w:val="5_G"/>
    <w:basedOn w:val="Normal"/>
    <w:link w:val="FootnoteTextChar"/>
    <w:qFormat/>
    <w:rsid w:val="00323CD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23CD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323CDB"/>
  </w:style>
  <w:style w:type="character" w:customStyle="1" w:styleId="EndnoteTextChar">
    <w:name w:val="Endnote Text Char"/>
    <w:aliases w:val="2_G Char"/>
    <w:basedOn w:val="DefaultParagraphFont"/>
    <w:link w:val="EndnoteText"/>
    <w:rsid w:val="00323CD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23CDB"/>
    <w:rPr>
      <w:rFonts w:ascii="Times New Roman" w:hAnsi="Times New Roman"/>
      <w:b/>
      <w:sz w:val="18"/>
      <w:lang w:val="fr-CH"/>
    </w:rPr>
  </w:style>
  <w:style w:type="character" w:customStyle="1" w:styleId="Heading1Char">
    <w:name w:val="Heading 1 Char"/>
    <w:aliases w:val="Table_G Char"/>
    <w:basedOn w:val="DefaultParagraphFont"/>
    <w:link w:val="Heading1"/>
    <w:rsid w:val="00323CD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23CD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23CDB"/>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23CDB"/>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23CDB"/>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23CDB"/>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23CDB"/>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23CDB"/>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23CDB"/>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323CDB"/>
    <w:pPr>
      <w:kinsoku/>
      <w:overflowPunct/>
      <w:autoSpaceDE/>
      <w:autoSpaceDN/>
      <w:adjustRightInd/>
      <w:snapToGrid/>
    </w:pPr>
    <w:rPr>
      <w:rFonts w:eastAsia="Times New Roman"/>
      <w:sz w:val="24"/>
      <w:szCs w:val="24"/>
      <w:lang w:val="en-GB"/>
    </w:rPr>
  </w:style>
  <w:style w:type="character" w:customStyle="1" w:styleId="HChGChar">
    <w:name w:val="_ H _Ch_G Char"/>
    <w:link w:val="HChG"/>
    <w:rsid w:val="00323CDB"/>
    <w:rPr>
      <w:rFonts w:ascii="Times New Roman" w:eastAsiaTheme="minorHAnsi" w:hAnsi="Times New Roman" w:cs="Times New Roman"/>
      <w:b/>
      <w:sz w:val="28"/>
      <w:szCs w:val="20"/>
      <w:lang w:eastAsia="en-US"/>
    </w:rPr>
  </w:style>
  <w:style w:type="character" w:customStyle="1" w:styleId="H1GChar">
    <w:name w:val="_ H_1_G Char"/>
    <w:link w:val="H1G"/>
    <w:locked/>
    <w:rsid w:val="00323CDB"/>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23CDB"/>
    <w:rPr>
      <w:rFonts w:ascii="Times New Roman" w:eastAsiaTheme="minorHAnsi" w:hAnsi="Times New Roman" w:cs="Times New Roman"/>
      <w:sz w:val="20"/>
      <w:szCs w:val="20"/>
      <w:lang w:eastAsia="en-US"/>
    </w:rPr>
  </w:style>
  <w:style w:type="table" w:customStyle="1" w:styleId="TableNormal1">
    <w:name w:val="Table Normal1"/>
    <w:uiPriority w:val="2"/>
    <w:semiHidden/>
    <w:unhideWhenUsed/>
    <w:qFormat/>
    <w:rsid w:val="00323CD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3CDB"/>
    <w:pPr>
      <w:widowControl w:val="0"/>
      <w:suppressAutoHyphens w:val="0"/>
      <w:kinsoku/>
      <w:overflowPunct/>
      <w:adjustRightInd/>
      <w:snapToGrid/>
      <w:spacing w:line="240" w:lineRule="auto"/>
    </w:pPr>
    <w:rPr>
      <w:rFonts w:eastAsia="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ST/SG/AC.10/C.3/2018/102</vt:lpstr>
      <vt:lpstr>ST/SG/AC.10/C.3/2018/102</vt:lpstr>
    </vt:vector>
  </TitlesOfParts>
  <Company>DCM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ST/SG/AC.10/C.3/2018/102</dc:title>
  <dc:subject/>
  <dc:creator>Fabienne CRELIER</dc:creator>
  <cp:keywords/>
  <cp:lastModifiedBy>Laurence Berthet</cp:lastModifiedBy>
  <cp:revision>3</cp:revision>
  <cp:lastPrinted>2018-10-11T13:56:00Z</cp:lastPrinted>
  <dcterms:created xsi:type="dcterms:W3CDTF">2018-10-11T13:56:00Z</dcterms:created>
  <dcterms:modified xsi:type="dcterms:W3CDTF">2018-10-11T13:57:00Z</dcterms:modified>
</cp:coreProperties>
</file>