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E1267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E12670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12670" w:rsidRDefault="00B56E9C" w:rsidP="00E1267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126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F41E8" w:rsidP="00E12670">
            <w:pPr>
              <w:jc w:val="right"/>
            </w:pPr>
            <w:r w:rsidRPr="00E12670">
              <w:rPr>
                <w:sz w:val="40"/>
              </w:rPr>
              <w:t>ECE</w:t>
            </w:r>
            <w:r>
              <w:t>/TRANS/WP.29/GRSP/201</w:t>
            </w:r>
            <w:r w:rsidR="009B621E">
              <w:t>7</w:t>
            </w:r>
            <w:r>
              <w:t>/</w:t>
            </w:r>
            <w:r w:rsidR="00E34263">
              <w:t>40</w:t>
            </w:r>
          </w:p>
        </w:tc>
      </w:tr>
      <w:tr w:rsidR="00B56E9C" w:rsidTr="00E1267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26C43" w:rsidP="00E12670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12670" w:rsidRDefault="00D773DF" w:rsidP="00E12670">
            <w:pPr>
              <w:spacing w:before="120" w:line="420" w:lineRule="exact"/>
              <w:rPr>
                <w:sz w:val="40"/>
                <w:szCs w:val="40"/>
              </w:rPr>
            </w:pPr>
            <w:r w:rsidRPr="00E126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41E8" w:rsidRDefault="002F41E8" w:rsidP="00E12670">
            <w:pPr>
              <w:spacing w:before="240" w:line="240" w:lineRule="exact"/>
            </w:pPr>
            <w:r>
              <w:t>Distr.: General</w:t>
            </w:r>
          </w:p>
          <w:p w:rsidR="002F41E8" w:rsidRDefault="00815A09" w:rsidP="00E12670">
            <w:pPr>
              <w:spacing w:line="240" w:lineRule="exact"/>
            </w:pPr>
            <w:r>
              <w:t>22</w:t>
            </w:r>
            <w:r w:rsidR="00945582" w:rsidRPr="009B621E">
              <w:t xml:space="preserve"> </w:t>
            </w:r>
            <w:r w:rsidR="009B621E">
              <w:t>September</w:t>
            </w:r>
            <w:r w:rsidR="00947074" w:rsidRPr="009B621E">
              <w:t xml:space="preserve"> 201</w:t>
            </w:r>
            <w:r w:rsidR="009B621E">
              <w:t>7</w:t>
            </w:r>
          </w:p>
          <w:p w:rsidR="002F41E8" w:rsidRDefault="002F41E8" w:rsidP="00E12670">
            <w:pPr>
              <w:spacing w:line="240" w:lineRule="exact"/>
            </w:pPr>
          </w:p>
          <w:p w:rsidR="00EA2A77" w:rsidRDefault="002F41E8" w:rsidP="00E12670">
            <w:pPr>
              <w:spacing w:line="240" w:lineRule="exact"/>
            </w:pPr>
            <w:r>
              <w:t>Original: English</w:t>
            </w:r>
          </w:p>
          <w:p w:rsidR="002F41E8" w:rsidRDefault="002F41E8" w:rsidP="00E12670">
            <w:pPr>
              <w:spacing w:line="240" w:lineRule="exact"/>
            </w:pP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1223D7" w:rsidRPr="003527A4" w:rsidRDefault="001223D7" w:rsidP="001223D7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1223D7" w:rsidRPr="003527A4" w:rsidRDefault="00316E25" w:rsidP="001223D7">
      <w:pPr>
        <w:rPr>
          <w:b/>
        </w:rPr>
      </w:pPr>
      <w:r>
        <w:rPr>
          <w:b/>
        </w:rPr>
        <w:t>Sixty</w:t>
      </w:r>
      <w:r w:rsidR="001223D7">
        <w:rPr>
          <w:b/>
        </w:rPr>
        <w:t>-</w:t>
      </w:r>
      <w:r>
        <w:rPr>
          <w:b/>
        </w:rPr>
        <w:t>second</w:t>
      </w:r>
      <w:r w:rsidR="001223D7">
        <w:rPr>
          <w:b/>
        </w:rPr>
        <w:t xml:space="preserve"> session</w:t>
      </w:r>
    </w:p>
    <w:p w:rsidR="001223D7" w:rsidRPr="003527A4" w:rsidRDefault="001223D7" w:rsidP="001223D7">
      <w:pPr>
        <w:rPr>
          <w:bCs/>
        </w:rPr>
      </w:pPr>
      <w:r w:rsidRPr="003527A4">
        <w:t>Geneva</w:t>
      </w:r>
      <w:r w:rsidRPr="003527A4">
        <w:rPr>
          <w:bCs/>
        </w:rPr>
        <w:t xml:space="preserve">, </w:t>
      </w:r>
      <w:r w:rsidR="009B621E">
        <w:rPr>
          <w:bCs/>
        </w:rPr>
        <w:t>12</w:t>
      </w:r>
      <w:r>
        <w:rPr>
          <w:bCs/>
        </w:rPr>
        <w:t>–</w:t>
      </w:r>
      <w:r w:rsidR="009B621E">
        <w:rPr>
          <w:bCs/>
        </w:rPr>
        <w:t>15</w:t>
      </w:r>
      <w:r w:rsidRPr="003527A4">
        <w:rPr>
          <w:bCs/>
        </w:rPr>
        <w:t xml:space="preserve"> </w:t>
      </w:r>
      <w:r w:rsidR="009B621E">
        <w:rPr>
          <w:bCs/>
        </w:rPr>
        <w:t>December</w:t>
      </w:r>
      <w:r w:rsidRPr="003527A4">
        <w:rPr>
          <w:bCs/>
        </w:rPr>
        <w:t xml:space="preserve"> 201</w:t>
      </w:r>
      <w:r w:rsidR="009B621E">
        <w:rPr>
          <w:bCs/>
        </w:rPr>
        <w:t>7</w:t>
      </w:r>
    </w:p>
    <w:p w:rsidR="001223D7" w:rsidRDefault="001223D7" w:rsidP="001223D7">
      <w:pPr>
        <w:rPr>
          <w:bCs/>
        </w:rPr>
      </w:pPr>
      <w:r>
        <w:rPr>
          <w:bCs/>
        </w:rPr>
        <w:t xml:space="preserve">Item </w:t>
      </w:r>
      <w:r w:rsidR="00A748FF">
        <w:rPr>
          <w:bCs/>
        </w:rPr>
        <w:t>14</w:t>
      </w:r>
      <w:r w:rsidRPr="00035ABC">
        <w:rPr>
          <w:bCs/>
        </w:rPr>
        <w:t xml:space="preserve"> of the provisional agenda</w:t>
      </w:r>
    </w:p>
    <w:p w:rsidR="001223D7" w:rsidRDefault="008337B1" w:rsidP="001223D7">
      <w:pPr>
        <w:rPr>
          <w:b/>
        </w:rPr>
      </w:pPr>
      <w:r>
        <w:rPr>
          <w:b/>
        </w:rPr>
        <w:t xml:space="preserve">UN </w:t>
      </w:r>
      <w:r w:rsidR="00947074">
        <w:rPr>
          <w:b/>
        </w:rPr>
        <w:t xml:space="preserve">Regulation No. </w:t>
      </w:r>
      <w:r w:rsidR="001A12D2">
        <w:rPr>
          <w:b/>
        </w:rPr>
        <w:t>95</w:t>
      </w:r>
      <w:r w:rsidR="001223D7">
        <w:rPr>
          <w:b/>
        </w:rPr>
        <w:t xml:space="preserve"> (</w:t>
      </w:r>
      <w:r w:rsidR="00495457">
        <w:rPr>
          <w:b/>
        </w:rPr>
        <w:t>Lateral collision</w:t>
      </w:r>
      <w:r w:rsidR="001223D7">
        <w:rPr>
          <w:b/>
        </w:rPr>
        <w:t>)</w:t>
      </w:r>
    </w:p>
    <w:p w:rsidR="00340B2A" w:rsidRPr="00B56E0A" w:rsidRDefault="00340B2A" w:rsidP="00340B2A">
      <w:pPr>
        <w:pStyle w:val="HChG"/>
      </w:pPr>
      <w:r>
        <w:rPr>
          <w:bCs/>
        </w:rPr>
        <w:tab/>
      </w:r>
      <w:r>
        <w:rPr>
          <w:bCs/>
        </w:rPr>
        <w:tab/>
      </w:r>
      <w:r w:rsidR="00B130D1">
        <w:t>Proposal for</w:t>
      </w:r>
      <w:r w:rsidR="000B09FD">
        <w:t xml:space="preserve"> Supplement 7</w:t>
      </w:r>
      <w:r w:rsidR="00B130D1" w:rsidRPr="001A12D2">
        <w:t xml:space="preserve"> to the 0</w:t>
      </w:r>
      <w:r w:rsidR="001A12D2" w:rsidRPr="001A12D2">
        <w:t>3</w:t>
      </w:r>
      <w:r w:rsidR="00B130D1" w:rsidRPr="001A12D2">
        <w:t xml:space="preserve"> series of amendments</w:t>
      </w:r>
      <w:r w:rsidR="000B09FD">
        <w:t xml:space="preserve"> to UN Regulation No. 95 (Lateral collision)</w:t>
      </w:r>
    </w:p>
    <w:p w:rsidR="00340B2A" w:rsidRPr="004D3A1C" w:rsidRDefault="00495457" w:rsidP="00340B2A">
      <w:pPr>
        <w:pStyle w:val="H1G"/>
        <w:ind w:left="0" w:firstLine="1134"/>
      </w:pPr>
      <w:r>
        <w:t>Submitted by the expert</w:t>
      </w:r>
      <w:r w:rsidR="00340B2A">
        <w:t xml:space="preserve"> from Germany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0F0F06" w:rsidRPr="009D2CEB" w:rsidRDefault="000F0F06" w:rsidP="000F0F06">
      <w:pPr>
        <w:pStyle w:val="SingleTxtG"/>
        <w:rPr>
          <w:lang w:val="en-US"/>
        </w:rPr>
      </w:pPr>
      <w:r w:rsidRPr="009D2CEB">
        <w:rPr>
          <w:lang w:val="en-US"/>
        </w:rPr>
        <w:t xml:space="preserve">The text reproduced below was prepared by the expert from Germany. It introduces amendments to </w:t>
      </w:r>
      <w:r w:rsidR="00AF3964">
        <w:rPr>
          <w:lang w:val="en-US"/>
        </w:rPr>
        <w:t xml:space="preserve">UN </w:t>
      </w:r>
      <w:r w:rsidRPr="009D2CEB">
        <w:rPr>
          <w:lang w:val="en-US"/>
        </w:rPr>
        <w:t xml:space="preserve">Regulation No. </w:t>
      </w:r>
      <w:r>
        <w:rPr>
          <w:lang w:val="en-US"/>
        </w:rPr>
        <w:t>95</w:t>
      </w:r>
      <w:r w:rsidRPr="009D2CEB">
        <w:rPr>
          <w:lang w:val="en-US"/>
        </w:rPr>
        <w:t xml:space="preserve"> (</w:t>
      </w:r>
      <w:r w:rsidRPr="002F6E8A">
        <w:rPr>
          <w:lang w:val="en-US"/>
        </w:rPr>
        <w:t>lateral collision</w:t>
      </w:r>
      <w:r w:rsidRPr="009D2CEB">
        <w:rPr>
          <w:lang w:val="en-US"/>
        </w:rPr>
        <w:t xml:space="preserve">). </w:t>
      </w:r>
      <w:r w:rsidRPr="000E2AC1">
        <w:t>It is based</w:t>
      </w:r>
      <w:r>
        <w:t xml:space="preserve"> on</w:t>
      </w:r>
      <w:r w:rsidRPr="00C27E9E">
        <w:t xml:space="preserve"> </w:t>
      </w:r>
      <w:r w:rsidRPr="003B4673">
        <w:t xml:space="preserve">informal document </w:t>
      </w:r>
      <w:r>
        <w:t xml:space="preserve">GRSP-61-21 </w:t>
      </w:r>
      <w:r w:rsidRPr="003B4673">
        <w:t>distrib</w:t>
      </w:r>
      <w:r w:rsidR="00AF3964">
        <w:t>uted during the sixty-first</w:t>
      </w:r>
      <w:r>
        <w:t xml:space="preserve"> </w:t>
      </w:r>
      <w:r w:rsidRPr="003B4673">
        <w:t>session</w:t>
      </w:r>
      <w:r w:rsidR="00AF3964">
        <w:t xml:space="preserve"> of the Working Party on Passive Safety</w:t>
      </w:r>
      <w:r w:rsidRPr="003B4673">
        <w:t xml:space="preserve"> (GRS</w:t>
      </w:r>
      <w:r>
        <w:t>P</w:t>
      </w:r>
      <w:r w:rsidRPr="003B4673">
        <w:t>)</w:t>
      </w:r>
      <w:r w:rsidR="00495457" w:rsidRPr="00495457">
        <w:t xml:space="preserve"> </w:t>
      </w:r>
      <w:r w:rsidR="00495457">
        <w:t>(</w:t>
      </w:r>
      <w:r w:rsidR="00495457">
        <w:rPr>
          <w:iCs/>
        </w:rPr>
        <w:t>ECE/TRANS/WP.29/GRSP/61, para. 56)</w:t>
      </w:r>
      <w:r w:rsidRPr="003B4673">
        <w:t>.</w:t>
      </w:r>
      <w:r w:rsidR="00495457">
        <w:t xml:space="preserve"> </w:t>
      </w:r>
      <w:r w:rsidRPr="009D2CEB">
        <w:rPr>
          <w:lang w:val="en-US"/>
        </w:rPr>
        <w:t>The modifications to the existing text of the UN Regulation are marked in bold for new characters.</w:t>
      </w:r>
    </w:p>
    <w:p w:rsidR="00340B2A" w:rsidRPr="000F0F06" w:rsidRDefault="00340B2A" w:rsidP="00340B2A">
      <w:pPr>
        <w:pStyle w:val="SingleTxtG"/>
        <w:ind w:firstLine="567"/>
        <w:rPr>
          <w:snapToGrid w:val="0"/>
          <w:lang w:val="en-US"/>
        </w:rPr>
      </w:pPr>
    </w:p>
    <w:p w:rsidR="00846103" w:rsidRPr="000B09FD" w:rsidRDefault="00846103" w:rsidP="000B09FD">
      <w:pPr>
        <w:pStyle w:val="HChG"/>
      </w:pPr>
      <w:r>
        <w:br w:type="page"/>
      </w:r>
      <w:r w:rsidR="000B09FD">
        <w:lastRenderedPageBreak/>
        <w:tab/>
        <w:t>I.</w:t>
      </w:r>
      <w:r w:rsidR="000B09FD">
        <w:tab/>
      </w:r>
      <w:r w:rsidRPr="000B09FD">
        <w:t>Proposal</w:t>
      </w:r>
    </w:p>
    <w:p w:rsidR="00D61D16" w:rsidRPr="00D61D16" w:rsidRDefault="00D61D16" w:rsidP="00D61D16">
      <w:pPr>
        <w:suppressAutoHyphens w:val="0"/>
        <w:spacing w:after="120" w:line="276" w:lineRule="auto"/>
        <w:ind w:left="1134" w:right="1025"/>
        <w:jc w:val="both"/>
        <w:rPr>
          <w:rFonts w:eastAsia="Calibri"/>
          <w:i/>
          <w:sz w:val="22"/>
          <w:szCs w:val="22"/>
          <w:lang w:val="en-US" w:eastAsia="ar-SA"/>
        </w:rPr>
      </w:pPr>
      <w:r w:rsidRPr="00D61D16">
        <w:rPr>
          <w:rFonts w:eastAsia="Calibri"/>
          <w:i/>
          <w:sz w:val="22"/>
          <w:szCs w:val="22"/>
          <w:lang w:val="en-US" w:eastAsia="ar-SA"/>
        </w:rPr>
        <w:t>Paragraph 5.3.1</w:t>
      </w:r>
      <w:r w:rsidRPr="00D61D16">
        <w:rPr>
          <w:rFonts w:eastAsia="Calibri"/>
          <w:sz w:val="22"/>
          <w:szCs w:val="22"/>
          <w:lang w:val="en-US" w:eastAsia="ar-SA"/>
        </w:rPr>
        <w:t>., amend to read:</w:t>
      </w:r>
    </w:p>
    <w:p w:rsidR="00D61D16" w:rsidRPr="00D61D16" w:rsidRDefault="000B09FD" w:rsidP="00525FE2">
      <w:pPr>
        <w:pStyle w:val="SingleTxtG"/>
        <w:ind w:left="2268" w:hanging="1134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="00D61D16" w:rsidRPr="00D61D16">
        <w:rPr>
          <w:rFonts w:eastAsia="Calibri"/>
          <w:lang w:val="en-US"/>
        </w:rPr>
        <w:t>5.3.1.</w:t>
      </w:r>
      <w:r w:rsidR="00D61D16" w:rsidRPr="00D61D16">
        <w:rPr>
          <w:rFonts w:eastAsia="Calibri"/>
          <w:lang w:val="en-US"/>
        </w:rPr>
        <w:tab/>
        <w:t xml:space="preserve">No door shall open during the test. </w:t>
      </w:r>
    </w:p>
    <w:p w:rsidR="00D61D16" w:rsidRPr="00525FE2" w:rsidRDefault="00525FE2" w:rsidP="00525FE2">
      <w:pPr>
        <w:pStyle w:val="SingleTxtG"/>
        <w:ind w:left="2268" w:hanging="1134"/>
        <w:rPr>
          <w:rFonts w:eastAsia="Calibri"/>
          <w:b/>
          <w:lang w:val="en-US"/>
        </w:rPr>
      </w:pPr>
      <w:r>
        <w:rPr>
          <w:rFonts w:eastAsia="Calibri"/>
          <w:lang w:val="en-US"/>
        </w:rPr>
        <w:tab/>
      </w:r>
      <w:r w:rsidR="00D61D16" w:rsidRPr="00525FE2">
        <w:rPr>
          <w:rFonts w:eastAsia="Calibri"/>
          <w:b/>
          <w:lang w:val="en-US"/>
        </w:rPr>
        <w:t>After the test</w:t>
      </w:r>
      <w:r w:rsidR="00133439">
        <w:rPr>
          <w:rFonts w:eastAsia="Calibri"/>
          <w:b/>
          <w:lang w:val="en-US"/>
        </w:rPr>
        <w:t>,</w:t>
      </w:r>
      <w:r w:rsidR="00D61D16" w:rsidRPr="00525FE2">
        <w:rPr>
          <w:rFonts w:eastAsia="Calibri"/>
          <w:b/>
          <w:lang w:val="en-US"/>
        </w:rPr>
        <w:t xml:space="preserve"> </w:t>
      </w:r>
      <w:r w:rsidR="000B09FD" w:rsidRPr="00525FE2">
        <w:rPr>
          <w:rFonts w:eastAsia="Calibri"/>
          <w:b/>
          <w:lang w:val="en-US"/>
        </w:rPr>
        <w:t>a door is deemed to be not open:</w:t>
      </w:r>
    </w:p>
    <w:p w:rsidR="00D61D16" w:rsidRPr="000B09FD" w:rsidRDefault="000B09FD" w:rsidP="00525FE2">
      <w:pPr>
        <w:pStyle w:val="SingleTxtG"/>
        <w:ind w:left="2835" w:hanging="567"/>
        <w:rPr>
          <w:rFonts w:eastAsia="Calibri"/>
          <w:b/>
          <w:lang w:val="en-US"/>
        </w:rPr>
      </w:pPr>
      <w:r w:rsidRPr="000B09FD">
        <w:rPr>
          <w:rFonts w:eastAsia="Calibri"/>
          <w:b/>
          <w:lang w:val="en-US"/>
        </w:rPr>
        <w:t>(a)</w:t>
      </w:r>
      <w:r w:rsidR="00D61D16" w:rsidRPr="000B09FD">
        <w:rPr>
          <w:rFonts w:eastAsia="Calibri"/>
          <w:b/>
          <w:lang w:val="en-US"/>
        </w:rPr>
        <w:tab/>
        <w:t>if it is clearly visible</w:t>
      </w:r>
      <w:r w:rsidR="00133439">
        <w:rPr>
          <w:rFonts w:eastAsia="Calibri"/>
          <w:b/>
          <w:lang w:val="en-US"/>
        </w:rPr>
        <w:t>, that the door lock is latched;</w:t>
      </w:r>
      <w:r w:rsidR="00D61D16" w:rsidRPr="000B09FD">
        <w:rPr>
          <w:rFonts w:eastAsia="Calibri"/>
          <w:b/>
          <w:lang w:val="en-US"/>
        </w:rPr>
        <w:t xml:space="preserve"> or</w:t>
      </w:r>
      <w:r w:rsidR="006555FD" w:rsidRPr="000B09FD">
        <w:rPr>
          <w:rFonts w:eastAsia="Calibri"/>
          <w:b/>
          <w:lang w:val="en-US"/>
        </w:rPr>
        <w:tab/>
      </w:r>
      <w:r w:rsidR="006555FD" w:rsidRPr="000B09FD">
        <w:rPr>
          <w:rFonts w:eastAsia="Calibri"/>
          <w:b/>
          <w:lang w:val="en-US"/>
        </w:rPr>
        <w:tab/>
      </w:r>
    </w:p>
    <w:p w:rsidR="00D61D16" w:rsidRPr="000B09FD" w:rsidRDefault="000B09FD" w:rsidP="00525FE2">
      <w:pPr>
        <w:pStyle w:val="SingleTxtG"/>
        <w:ind w:left="2835" w:hanging="567"/>
        <w:rPr>
          <w:b/>
          <w:sz w:val="28"/>
        </w:rPr>
      </w:pPr>
      <w:r w:rsidRPr="000B09FD">
        <w:rPr>
          <w:rFonts w:eastAsia="Calibri"/>
          <w:b/>
          <w:lang w:val="en-US"/>
        </w:rPr>
        <w:t>(b)</w:t>
      </w:r>
      <w:r w:rsidR="00D61D16" w:rsidRPr="000B09FD">
        <w:rPr>
          <w:rFonts w:eastAsia="Calibri"/>
          <w:b/>
          <w:lang w:val="en-US"/>
        </w:rPr>
        <w:tab/>
        <w:t>if it is able to withstand a traction force of at least [500 N] applied to the outer side of the door, except to the door handle, at a position, chosen as worst case by the technical service.</w:t>
      </w:r>
      <w:r w:rsidRPr="00525FE2">
        <w:rPr>
          <w:b/>
        </w:rPr>
        <w:t>"</w:t>
      </w:r>
    </w:p>
    <w:p w:rsidR="00D61D16" w:rsidRPr="00D61D16" w:rsidRDefault="00D61D16" w:rsidP="000B09FD">
      <w:pPr>
        <w:pStyle w:val="SingleTxtG"/>
        <w:ind w:left="2268" w:hanging="1134"/>
        <w:rPr>
          <w:rFonts w:eastAsia="Calibri"/>
          <w:lang w:val="en-US" w:eastAsia="ar-SA"/>
        </w:rPr>
      </w:pPr>
      <w:r w:rsidRPr="000B09FD">
        <w:rPr>
          <w:rFonts w:eastAsia="Calibri"/>
          <w:i/>
          <w:lang w:val="en-US" w:eastAsia="ar-SA"/>
        </w:rPr>
        <w:t>Insert new paragraphs 2.36. to 2.39</w:t>
      </w:r>
      <w:r w:rsidRPr="00D61D16">
        <w:rPr>
          <w:rFonts w:eastAsia="Calibri"/>
          <w:lang w:val="en-US" w:eastAsia="ar-SA"/>
        </w:rPr>
        <w:t>., to read:</w:t>
      </w:r>
    </w:p>
    <w:p w:rsidR="00D61D16" w:rsidRPr="00D61D16" w:rsidRDefault="000B09FD" w:rsidP="000B09FD">
      <w:pPr>
        <w:pStyle w:val="SingleTxtG"/>
        <w:ind w:left="2268" w:hanging="1134"/>
        <w:rPr>
          <w:rFonts w:eastAsia="Calibri"/>
          <w:b/>
          <w:lang w:val="en-US"/>
        </w:rPr>
      </w:pPr>
      <w:r w:rsidRPr="000B09FD">
        <w:rPr>
          <w:rFonts w:eastAsia="Calibri"/>
          <w:lang w:val="en-US"/>
        </w:rPr>
        <w:t>"</w:t>
      </w:r>
      <w:r w:rsidR="00D61D16" w:rsidRPr="00D61D16">
        <w:rPr>
          <w:rFonts w:eastAsia="Calibri"/>
          <w:b/>
          <w:lang w:val="en-US"/>
        </w:rPr>
        <w:t>2.36.</w:t>
      </w:r>
      <w:r w:rsidR="00D61D16" w:rsidRPr="00D61D16">
        <w:rPr>
          <w:rFonts w:eastAsia="Calibri"/>
          <w:b/>
          <w:lang w:val="en-US"/>
        </w:rPr>
        <w:tab/>
        <w:t xml:space="preserve">"Latched" means any coupling condition of the door latch system, where the latch is in a fully latched position, a secondary latched position, or </w:t>
      </w:r>
      <w:r w:rsidR="00133439">
        <w:rPr>
          <w:rFonts w:eastAsia="Calibri"/>
          <w:b/>
          <w:lang w:val="en-US"/>
        </w:rPr>
        <w:t xml:space="preserve">in </w:t>
      </w:r>
      <w:r w:rsidR="00D61D16" w:rsidRPr="00D61D16">
        <w:rPr>
          <w:rFonts w:eastAsia="Calibri"/>
          <w:b/>
          <w:lang w:val="en-US"/>
        </w:rPr>
        <w:t>between a fully latched position and a secondary latched position.</w:t>
      </w:r>
    </w:p>
    <w:p w:rsidR="00D61D16" w:rsidRPr="00D61D16" w:rsidRDefault="00D61D16" w:rsidP="000B09FD">
      <w:pPr>
        <w:pStyle w:val="SingleTxtG"/>
        <w:ind w:left="2268" w:hanging="1134"/>
        <w:rPr>
          <w:rFonts w:eastAsia="Calibri"/>
          <w:b/>
          <w:lang w:val="en-US"/>
        </w:rPr>
      </w:pPr>
      <w:r w:rsidRPr="00D61D16">
        <w:rPr>
          <w:rFonts w:eastAsia="Calibri"/>
          <w:b/>
          <w:lang w:val="en-US"/>
        </w:rPr>
        <w:t>2.37.</w:t>
      </w:r>
      <w:r w:rsidRPr="00D61D16">
        <w:rPr>
          <w:rFonts w:eastAsia="Calibri"/>
          <w:b/>
          <w:lang w:val="en-US"/>
        </w:rPr>
        <w:tab/>
        <w:t>"Latch" is a device employed to maintain the door in a closed position relative to the vehicle body with provisions for deliberate release (or operation).</w:t>
      </w:r>
    </w:p>
    <w:p w:rsidR="00D61D16" w:rsidRPr="00D61D16" w:rsidRDefault="00D61D16" w:rsidP="000B09FD">
      <w:pPr>
        <w:pStyle w:val="SingleTxtG"/>
        <w:ind w:left="2268" w:hanging="1134"/>
        <w:rPr>
          <w:rFonts w:eastAsia="Calibri"/>
          <w:b/>
          <w:lang w:val="en-US"/>
        </w:rPr>
      </w:pPr>
      <w:r w:rsidRPr="00D61D16">
        <w:rPr>
          <w:rFonts w:eastAsia="Calibri"/>
          <w:b/>
          <w:lang w:val="en-US"/>
        </w:rPr>
        <w:t>2.38.</w:t>
      </w:r>
      <w:r w:rsidRPr="00D61D16">
        <w:rPr>
          <w:rFonts w:eastAsia="Calibri"/>
          <w:b/>
          <w:lang w:val="en-US"/>
        </w:rPr>
        <w:tab/>
        <w:t>"Fully latched position" is the coupling condition of the latch that retains the door in a completely closed position.</w:t>
      </w:r>
    </w:p>
    <w:p w:rsidR="00846103" w:rsidRPr="000B09FD" w:rsidRDefault="00D61D16" w:rsidP="000B09FD">
      <w:pPr>
        <w:pStyle w:val="SingleTxtG"/>
        <w:ind w:left="2268" w:hanging="1134"/>
        <w:rPr>
          <w:rFonts w:eastAsia="Calibri"/>
          <w:b/>
          <w:lang w:val="en-US"/>
        </w:rPr>
      </w:pPr>
      <w:r w:rsidRPr="00D61D16">
        <w:rPr>
          <w:rFonts w:eastAsia="Calibri"/>
          <w:b/>
          <w:lang w:val="en-US"/>
        </w:rPr>
        <w:t>2.39.</w:t>
      </w:r>
      <w:r w:rsidRPr="00D61D16">
        <w:rPr>
          <w:rFonts w:eastAsia="Calibri"/>
          <w:b/>
          <w:lang w:val="en-US"/>
        </w:rPr>
        <w:tab/>
        <w:t>"Secondary latched position" refers to the coupling condition of the latch that retains the door in a partially closed position.</w:t>
      </w:r>
      <w:r w:rsidR="000B09FD" w:rsidRPr="000B09FD">
        <w:rPr>
          <w:rFonts w:eastAsia="Calibri"/>
          <w:lang w:val="en-US"/>
        </w:rPr>
        <w:t>"</w:t>
      </w:r>
    </w:p>
    <w:p w:rsidR="00846103" w:rsidRPr="003D246D" w:rsidRDefault="00846103" w:rsidP="00846103">
      <w:pPr>
        <w:pStyle w:val="HChG"/>
      </w:pPr>
      <w:r>
        <w:tab/>
        <w:t>II.</w:t>
      </w:r>
      <w:r w:rsidRPr="003D246D">
        <w:tab/>
        <w:t>Justification</w:t>
      </w:r>
    </w:p>
    <w:p w:rsidR="006555FD" w:rsidRPr="00525FE2" w:rsidRDefault="006555FD" w:rsidP="006555FD">
      <w:pPr>
        <w:suppressAutoHyphens w:val="0"/>
        <w:spacing w:before="240" w:after="200" w:line="276" w:lineRule="auto"/>
        <w:ind w:left="1134" w:right="1134"/>
        <w:jc w:val="both"/>
        <w:rPr>
          <w:rFonts w:eastAsia="MS Mincho"/>
          <w:lang w:val="en-US"/>
        </w:rPr>
      </w:pPr>
      <w:r w:rsidRPr="00525FE2">
        <w:rPr>
          <w:rFonts w:eastAsia="MS Mincho"/>
          <w:lang w:val="en-US"/>
        </w:rPr>
        <w:t xml:space="preserve">Currently opinions differ between different Technical Services about the definition of the word “open” in paragraph 5.3.1. </w:t>
      </w:r>
      <w:r w:rsidRPr="00525FE2">
        <w:rPr>
          <w:rFonts w:eastAsia="MS Mincho"/>
        </w:rPr>
        <w:t>The proposed amendments define the condition under which a door is deemed to be not open. The definitions are taken from UN Regulation No. 135 Revision 1.</w:t>
      </w:r>
      <w:r w:rsidRPr="00525FE2">
        <w:rPr>
          <w:rFonts w:eastAsia="MS Mincho"/>
          <w:lang w:val="en-US"/>
        </w:rPr>
        <w:t xml:space="preserve">   </w:t>
      </w:r>
    </w:p>
    <w:p w:rsidR="00846103" w:rsidRPr="008A5404" w:rsidRDefault="00846103" w:rsidP="008461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6103" w:rsidRPr="008A5404" w:rsidSect="002F41E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02" w:rsidRDefault="00F10E02"/>
  </w:endnote>
  <w:endnote w:type="continuationSeparator" w:id="0">
    <w:p w:rsidR="00F10E02" w:rsidRDefault="00F10E02"/>
  </w:endnote>
  <w:endnote w:type="continuationNotice" w:id="1">
    <w:p w:rsidR="00F10E02" w:rsidRDefault="00F1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 w:rsidP="002F41E8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310BC6"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 w:rsidP="002F41E8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15" w:rsidRDefault="00125E15" w:rsidP="00125E15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7986222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4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40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8214360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15" w:rsidRDefault="00125E15" w:rsidP="00125E15">
    <w:pPr>
      <w:pStyle w:val="Footer"/>
      <w:ind w:right="1134"/>
      <w:rPr>
        <w:sz w:val="20"/>
      </w:rPr>
    </w:pPr>
    <w:r>
      <w:rPr>
        <w:sz w:val="20"/>
      </w:rPr>
      <w:t>GE.17-16706(E)</w:t>
    </w:r>
  </w:p>
  <w:p w:rsidR="00125E15" w:rsidRPr="00125E15" w:rsidRDefault="00125E15" w:rsidP="00125E1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02" w:rsidRPr="000B175B" w:rsidRDefault="00F10E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E02" w:rsidRPr="00FC68B7" w:rsidRDefault="00F10E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0E02" w:rsidRDefault="00F10E02"/>
  </w:footnote>
  <w:footnote w:id="2">
    <w:p w:rsidR="00495457" w:rsidRPr="002232AF" w:rsidRDefault="00495457" w:rsidP="00495457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>
    <w:pPr>
      <w:pStyle w:val="Header"/>
    </w:pPr>
    <w:r w:rsidRPr="00E34263">
      <w:t>ECE/TRANS/WP.29/GRSP/201</w:t>
    </w:r>
    <w:r w:rsidR="009B621E" w:rsidRPr="00E34263">
      <w:t>7</w:t>
    </w:r>
    <w:r w:rsidR="00E34263" w:rsidRPr="00E34263">
      <w:t>/40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A" w:rsidRPr="002F41E8" w:rsidRDefault="00483DDA" w:rsidP="002F41E8">
    <w:pPr>
      <w:pStyle w:val="Header"/>
      <w:jc w:val="right"/>
    </w:pPr>
    <w:r>
      <w:t>ECE/TRANS/WP.29/GRSP/2010/35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8"/>
    <w:rsid w:val="00022309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A5520"/>
    <w:rsid w:val="000B0595"/>
    <w:rsid w:val="000B09FD"/>
    <w:rsid w:val="000B175B"/>
    <w:rsid w:val="000B2F02"/>
    <w:rsid w:val="000B3A0F"/>
    <w:rsid w:val="000B4EF7"/>
    <w:rsid w:val="000C2C03"/>
    <w:rsid w:val="000C2D2E"/>
    <w:rsid w:val="000E0415"/>
    <w:rsid w:val="000F0F06"/>
    <w:rsid w:val="001103AA"/>
    <w:rsid w:val="0011666B"/>
    <w:rsid w:val="001223D7"/>
    <w:rsid w:val="00125E15"/>
    <w:rsid w:val="00133439"/>
    <w:rsid w:val="00165F3A"/>
    <w:rsid w:val="00175E74"/>
    <w:rsid w:val="00182290"/>
    <w:rsid w:val="001A12D2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86B4D"/>
    <w:rsid w:val="002D4643"/>
    <w:rsid w:val="002F175C"/>
    <w:rsid w:val="002F41E8"/>
    <w:rsid w:val="002F7DE0"/>
    <w:rsid w:val="00301CFA"/>
    <w:rsid w:val="00302E18"/>
    <w:rsid w:val="00310BC6"/>
    <w:rsid w:val="00316E25"/>
    <w:rsid w:val="003229D8"/>
    <w:rsid w:val="00340B2A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3DDA"/>
    <w:rsid w:val="00485CBB"/>
    <w:rsid w:val="004866B7"/>
    <w:rsid w:val="00495457"/>
    <w:rsid w:val="004C2461"/>
    <w:rsid w:val="004C7462"/>
    <w:rsid w:val="004E77B2"/>
    <w:rsid w:val="00504B2D"/>
    <w:rsid w:val="0052136D"/>
    <w:rsid w:val="00525FE2"/>
    <w:rsid w:val="0052775E"/>
    <w:rsid w:val="005420F2"/>
    <w:rsid w:val="0056209A"/>
    <w:rsid w:val="005628B6"/>
    <w:rsid w:val="005941EC"/>
    <w:rsid w:val="0059724D"/>
    <w:rsid w:val="005A6012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555FD"/>
    <w:rsid w:val="00662BB6"/>
    <w:rsid w:val="00671B51"/>
    <w:rsid w:val="0067362F"/>
    <w:rsid w:val="00675C2A"/>
    <w:rsid w:val="00676606"/>
    <w:rsid w:val="00683BDB"/>
    <w:rsid w:val="00684C21"/>
    <w:rsid w:val="006A2530"/>
    <w:rsid w:val="006B0084"/>
    <w:rsid w:val="006C3589"/>
    <w:rsid w:val="006D37AF"/>
    <w:rsid w:val="006D51D0"/>
    <w:rsid w:val="006D5FB9"/>
    <w:rsid w:val="006D658E"/>
    <w:rsid w:val="006E0D8C"/>
    <w:rsid w:val="006E564B"/>
    <w:rsid w:val="006E7191"/>
    <w:rsid w:val="006F7BBC"/>
    <w:rsid w:val="00703577"/>
    <w:rsid w:val="00705894"/>
    <w:rsid w:val="0072632A"/>
    <w:rsid w:val="00726C43"/>
    <w:rsid w:val="007327D5"/>
    <w:rsid w:val="007629C8"/>
    <w:rsid w:val="0077047D"/>
    <w:rsid w:val="00795C6F"/>
    <w:rsid w:val="007B6BA5"/>
    <w:rsid w:val="007C3390"/>
    <w:rsid w:val="007C4F4B"/>
    <w:rsid w:val="007E01E9"/>
    <w:rsid w:val="007E63F3"/>
    <w:rsid w:val="007F6611"/>
    <w:rsid w:val="00811920"/>
    <w:rsid w:val="00815A09"/>
    <w:rsid w:val="00815AD0"/>
    <w:rsid w:val="00815EDB"/>
    <w:rsid w:val="00816A29"/>
    <w:rsid w:val="008242D7"/>
    <w:rsid w:val="008257B1"/>
    <w:rsid w:val="008310B6"/>
    <w:rsid w:val="00832334"/>
    <w:rsid w:val="008337B1"/>
    <w:rsid w:val="00843767"/>
    <w:rsid w:val="00846103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1E1E"/>
    <w:rsid w:val="009448C3"/>
    <w:rsid w:val="00945582"/>
    <w:rsid w:val="00947074"/>
    <w:rsid w:val="009760F3"/>
    <w:rsid w:val="00976CFB"/>
    <w:rsid w:val="009A0830"/>
    <w:rsid w:val="009A0E8D"/>
    <w:rsid w:val="009B26E7"/>
    <w:rsid w:val="009B621E"/>
    <w:rsid w:val="009B64BB"/>
    <w:rsid w:val="00A00697"/>
    <w:rsid w:val="00A00A3F"/>
    <w:rsid w:val="00A01489"/>
    <w:rsid w:val="00A127A5"/>
    <w:rsid w:val="00A3026E"/>
    <w:rsid w:val="00A338F1"/>
    <w:rsid w:val="00A35BE0"/>
    <w:rsid w:val="00A45173"/>
    <w:rsid w:val="00A6129C"/>
    <w:rsid w:val="00A72F22"/>
    <w:rsid w:val="00A7360F"/>
    <w:rsid w:val="00A748A6"/>
    <w:rsid w:val="00A748FF"/>
    <w:rsid w:val="00A769F4"/>
    <w:rsid w:val="00A776B4"/>
    <w:rsid w:val="00A94361"/>
    <w:rsid w:val="00AA293C"/>
    <w:rsid w:val="00AF3964"/>
    <w:rsid w:val="00B130D1"/>
    <w:rsid w:val="00B25696"/>
    <w:rsid w:val="00B30179"/>
    <w:rsid w:val="00B421C1"/>
    <w:rsid w:val="00B53C21"/>
    <w:rsid w:val="00B55C71"/>
    <w:rsid w:val="00B56E4A"/>
    <w:rsid w:val="00B56E9C"/>
    <w:rsid w:val="00B57340"/>
    <w:rsid w:val="00B64B1F"/>
    <w:rsid w:val="00B6553F"/>
    <w:rsid w:val="00B77D05"/>
    <w:rsid w:val="00B81206"/>
    <w:rsid w:val="00B81E12"/>
    <w:rsid w:val="00B831D3"/>
    <w:rsid w:val="00B84AD6"/>
    <w:rsid w:val="00BC3FA0"/>
    <w:rsid w:val="00BC74E9"/>
    <w:rsid w:val="00BD7D6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2993"/>
    <w:rsid w:val="00D01E78"/>
    <w:rsid w:val="00D2031B"/>
    <w:rsid w:val="00D248B6"/>
    <w:rsid w:val="00D25FE2"/>
    <w:rsid w:val="00D26E07"/>
    <w:rsid w:val="00D32A2B"/>
    <w:rsid w:val="00D43252"/>
    <w:rsid w:val="00D47EEA"/>
    <w:rsid w:val="00D61D16"/>
    <w:rsid w:val="00D773DF"/>
    <w:rsid w:val="00D95303"/>
    <w:rsid w:val="00D978C6"/>
    <w:rsid w:val="00DA3C1C"/>
    <w:rsid w:val="00DC6D39"/>
    <w:rsid w:val="00E046DF"/>
    <w:rsid w:val="00E12670"/>
    <w:rsid w:val="00E22B0C"/>
    <w:rsid w:val="00E27346"/>
    <w:rsid w:val="00E34263"/>
    <w:rsid w:val="00E40A45"/>
    <w:rsid w:val="00E560CA"/>
    <w:rsid w:val="00E71148"/>
    <w:rsid w:val="00E71BC8"/>
    <w:rsid w:val="00E7260F"/>
    <w:rsid w:val="00E73F5D"/>
    <w:rsid w:val="00E77E4E"/>
    <w:rsid w:val="00E90C58"/>
    <w:rsid w:val="00E96630"/>
    <w:rsid w:val="00EA2A77"/>
    <w:rsid w:val="00EC037C"/>
    <w:rsid w:val="00ED7A2A"/>
    <w:rsid w:val="00EF1D7F"/>
    <w:rsid w:val="00F10E02"/>
    <w:rsid w:val="00F31E5F"/>
    <w:rsid w:val="00F6100A"/>
    <w:rsid w:val="00F93781"/>
    <w:rsid w:val="00FB613B"/>
    <w:rsid w:val="00FC68B7"/>
    <w:rsid w:val="00FC70AF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B130D1"/>
    <w:pPr>
      <w:ind w:left="2268" w:hanging="1134"/>
    </w:pPr>
  </w:style>
  <w:style w:type="paragraph" w:styleId="BalloonText">
    <w:name w:val="Balloon Text"/>
    <w:basedOn w:val="Normal"/>
    <w:link w:val="BalloonTextChar"/>
    <w:rsid w:val="00AF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96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4954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para">
    <w:name w:val="para"/>
    <w:basedOn w:val="SingleTxtG"/>
    <w:rsid w:val="00B130D1"/>
    <w:pPr>
      <w:ind w:left="2268" w:hanging="1134"/>
    </w:pPr>
  </w:style>
  <w:style w:type="paragraph" w:styleId="BalloonText">
    <w:name w:val="Balloon Text"/>
    <w:basedOn w:val="Normal"/>
    <w:link w:val="BalloonTextChar"/>
    <w:rsid w:val="00AF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96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49545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1716706</vt:lpstr>
      <vt:lpstr>United Nations</vt:lpstr>
    </vt:vector>
  </TitlesOfParts>
  <Company>CSD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1716706</dc:title>
  <dc:subject>ECE/TRANS/WP.29/GRSP/2017/40</dc:subject>
  <dc:creator>Schramm</dc:creator>
  <cp:lastModifiedBy>Benedicte Boudol</cp:lastModifiedBy>
  <cp:revision>2</cp:revision>
  <cp:lastPrinted>2017-09-19T08:10:00Z</cp:lastPrinted>
  <dcterms:created xsi:type="dcterms:W3CDTF">2017-10-11T15:21:00Z</dcterms:created>
  <dcterms:modified xsi:type="dcterms:W3CDTF">2017-10-11T15:21:00Z</dcterms:modified>
</cp:coreProperties>
</file>