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9718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97185" w:rsidP="00797185">
            <w:pPr>
              <w:jc w:val="right"/>
            </w:pPr>
            <w:r w:rsidRPr="00797185">
              <w:rPr>
                <w:sz w:val="40"/>
              </w:rPr>
              <w:t>ECE</w:t>
            </w:r>
            <w:r>
              <w:t>/TRANS/WP.29/GRSP/2017/3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97185" w:rsidP="00C97039">
            <w:pPr>
              <w:spacing w:before="240"/>
            </w:pPr>
            <w:r>
              <w:t>Distr. générale</w:t>
            </w:r>
          </w:p>
          <w:p w:rsidR="00797185" w:rsidRDefault="00797185" w:rsidP="00797185">
            <w:pPr>
              <w:spacing w:line="240" w:lineRule="exact"/>
            </w:pPr>
            <w:r>
              <w:t>17 février 2017</w:t>
            </w:r>
          </w:p>
          <w:p w:rsidR="00797185" w:rsidRDefault="00797185" w:rsidP="00797185">
            <w:pPr>
              <w:spacing w:line="240" w:lineRule="exact"/>
            </w:pPr>
            <w:r>
              <w:t>Français</w:t>
            </w:r>
          </w:p>
          <w:p w:rsidR="00797185" w:rsidRPr="00DB58B5" w:rsidRDefault="00797185" w:rsidP="0079718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965C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57C7A" w:rsidRDefault="00357C7A" w:rsidP="00AF0CB5">
      <w:pPr>
        <w:spacing w:before="120"/>
        <w:rPr>
          <w:b/>
          <w:sz w:val="24"/>
          <w:szCs w:val="24"/>
        </w:rPr>
      </w:pPr>
      <w:r w:rsidRPr="00685843">
        <w:rPr>
          <w:b/>
          <w:sz w:val="24"/>
          <w:szCs w:val="24"/>
        </w:rPr>
        <w:t>Forum mondial de l</w:t>
      </w:r>
      <w:r w:rsidR="008965C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57C7A" w:rsidRDefault="00357C7A" w:rsidP="00257168">
      <w:pPr>
        <w:spacing w:before="120" w:after="120" w:line="240" w:lineRule="exact"/>
        <w:rPr>
          <w:b/>
        </w:rPr>
      </w:pPr>
      <w:r>
        <w:rPr>
          <w:b/>
        </w:rPr>
        <w:t>Groupe de travail de la sécurité passive</w:t>
      </w:r>
    </w:p>
    <w:p w:rsidR="00357C7A" w:rsidRDefault="00357C7A" w:rsidP="00257168">
      <w:pPr>
        <w:spacing w:before="120" w:line="240" w:lineRule="exact"/>
        <w:rPr>
          <w:b/>
        </w:rPr>
      </w:pPr>
      <w:r w:rsidRPr="00357C7A">
        <w:rPr>
          <w:b/>
          <w:lang w:val="fr-FR"/>
        </w:rPr>
        <w:t>Soixante et unième</w:t>
      </w:r>
      <w:r>
        <w:rPr>
          <w:b/>
        </w:rPr>
        <w:t xml:space="preserve"> session</w:t>
      </w:r>
    </w:p>
    <w:p w:rsidR="00357C7A" w:rsidRDefault="00357C7A" w:rsidP="00257168">
      <w:pPr>
        <w:spacing w:line="240" w:lineRule="exact"/>
      </w:pPr>
      <w:r>
        <w:t>Genève, 8-12 mai 2017</w:t>
      </w:r>
    </w:p>
    <w:p w:rsidR="00357C7A" w:rsidRDefault="00357C7A" w:rsidP="00257168">
      <w:pPr>
        <w:spacing w:line="240" w:lineRule="exact"/>
      </w:pPr>
      <w:r>
        <w:t xml:space="preserve">Point </w:t>
      </w:r>
      <w:r w:rsidRPr="00357C7A">
        <w:rPr>
          <w:lang w:val="fr-FR"/>
        </w:rPr>
        <w:t>3 a) de l</w:t>
      </w:r>
      <w:r w:rsidR="008965CD">
        <w:rPr>
          <w:lang w:val="fr-FR"/>
        </w:rPr>
        <w:t>’</w:t>
      </w:r>
      <w:r w:rsidRPr="00357C7A">
        <w:rPr>
          <w:lang w:val="fr-FR"/>
        </w:rPr>
        <w:t>ordre du jour provisoire</w:t>
      </w:r>
    </w:p>
    <w:p w:rsidR="00357C7A" w:rsidRPr="00357C7A" w:rsidRDefault="00357C7A" w:rsidP="00357C7A">
      <w:pPr>
        <w:spacing w:line="240" w:lineRule="exact"/>
        <w:rPr>
          <w:b/>
          <w:lang w:val="fr-FR"/>
        </w:rPr>
      </w:pPr>
      <w:r w:rsidRPr="00357C7A">
        <w:rPr>
          <w:b/>
          <w:lang w:val="fr-FR"/>
        </w:rPr>
        <w:t xml:space="preserve">Règlement technique mondial </w:t>
      </w:r>
      <w:r w:rsidRPr="00357C7A">
        <w:rPr>
          <w:rFonts w:eastAsia="MS Mincho"/>
          <w:b/>
          <w:szCs w:val="22"/>
          <w:lang w:val="fr-FR"/>
        </w:rPr>
        <w:t>n</w:t>
      </w:r>
      <w:r w:rsidRPr="00357C7A">
        <w:rPr>
          <w:rFonts w:eastAsia="MS Mincho"/>
          <w:b/>
          <w:szCs w:val="22"/>
          <w:vertAlign w:val="superscript"/>
          <w:lang w:val="fr-FR"/>
        </w:rPr>
        <w:t>o</w:t>
      </w:r>
      <w:r>
        <w:rPr>
          <w:b/>
          <w:lang w:val="fr-FR"/>
        </w:rPr>
        <w:t> 9 (Sécurité des piétons) :</w:t>
      </w:r>
    </w:p>
    <w:p w:rsidR="00357C7A" w:rsidRPr="00357C7A" w:rsidRDefault="00357C7A" w:rsidP="00357C7A">
      <w:pPr>
        <w:spacing w:line="240" w:lineRule="exact"/>
        <w:rPr>
          <w:b/>
          <w:lang w:val="fr-FR"/>
        </w:rPr>
      </w:pPr>
      <w:r w:rsidRPr="00357C7A">
        <w:rPr>
          <w:b/>
          <w:lang w:val="fr-FR"/>
        </w:rPr>
        <w:t>Proposition d</w:t>
      </w:r>
      <w:r w:rsidR="008965CD">
        <w:rPr>
          <w:b/>
          <w:lang w:val="fr-FR"/>
        </w:rPr>
        <w:t>’</w:t>
      </w:r>
      <w:r w:rsidRPr="00357C7A">
        <w:rPr>
          <w:b/>
          <w:lang w:val="fr-FR"/>
        </w:rPr>
        <w:t>amendement</w:t>
      </w:r>
      <w:r>
        <w:rPr>
          <w:b/>
          <w:lang w:val="fr-FR"/>
        </w:rPr>
        <w:t> </w:t>
      </w:r>
      <w:r w:rsidRPr="00357C7A">
        <w:rPr>
          <w:b/>
          <w:lang w:val="fr-FR"/>
        </w:rPr>
        <w:t>2 (</w:t>
      </w:r>
      <w:r w:rsidR="003441E9">
        <w:rPr>
          <w:b/>
          <w:lang w:val="fr-FR"/>
        </w:rPr>
        <w:t>p</w:t>
      </w:r>
      <w:r w:rsidRPr="00357C7A">
        <w:rPr>
          <w:b/>
          <w:lang w:val="fr-FR"/>
        </w:rPr>
        <w:t xml:space="preserve">hase 2) au Règlement </w:t>
      </w:r>
      <w:r>
        <w:rPr>
          <w:b/>
          <w:lang w:val="fr-FR"/>
        </w:rPr>
        <w:br/>
      </w:r>
      <w:r w:rsidRPr="00357C7A">
        <w:rPr>
          <w:b/>
          <w:lang w:val="fr-FR"/>
        </w:rPr>
        <w:t>technique mondial</w:t>
      </w:r>
    </w:p>
    <w:p w:rsidR="00357C7A" w:rsidRPr="00357C7A" w:rsidRDefault="00357C7A" w:rsidP="00357C7A">
      <w:pPr>
        <w:pStyle w:val="HChG"/>
        <w:rPr>
          <w:lang w:val="fr-FR"/>
        </w:rPr>
      </w:pPr>
      <w:r>
        <w:rPr>
          <w:lang w:val="fr-FR"/>
        </w:rPr>
        <w:tab/>
      </w:r>
      <w:r>
        <w:rPr>
          <w:lang w:val="fr-FR"/>
        </w:rPr>
        <w:tab/>
        <w:t>Proposition d</w:t>
      </w:r>
      <w:r w:rsidR="008965CD">
        <w:rPr>
          <w:lang w:val="fr-FR"/>
        </w:rPr>
        <w:t>’</w:t>
      </w:r>
      <w:r>
        <w:rPr>
          <w:lang w:val="fr-FR"/>
        </w:rPr>
        <w:t>amendement 2</w:t>
      </w:r>
    </w:p>
    <w:p w:rsidR="00357C7A" w:rsidRPr="00357C7A" w:rsidRDefault="00357C7A" w:rsidP="00357C7A">
      <w:pPr>
        <w:pStyle w:val="H1G"/>
        <w:rPr>
          <w:lang w:val="fr-FR"/>
        </w:rPr>
      </w:pPr>
      <w:r w:rsidRPr="00357C7A">
        <w:rPr>
          <w:lang w:val="fr-FR"/>
        </w:rPr>
        <w:tab/>
      </w:r>
      <w:r w:rsidRPr="00357C7A">
        <w:rPr>
          <w:lang w:val="fr-FR"/>
        </w:rPr>
        <w:tab/>
        <w:t>Communication de l</w:t>
      </w:r>
      <w:r w:rsidR="008965CD">
        <w:rPr>
          <w:lang w:val="fr-FR"/>
        </w:rPr>
        <w:t>’</w:t>
      </w:r>
      <w:r w:rsidRPr="00357C7A">
        <w:rPr>
          <w:lang w:val="fr-FR"/>
        </w:rPr>
        <w:t>expert des États-Unis d</w:t>
      </w:r>
      <w:r w:rsidR="008965CD">
        <w:rPr>
          <w:lang w:val="fr-FR"/>
        </w:rPr>
        <w:t>’</w:t>
      </w:r>
      <w:r w:rsidRPr="00357C7A">
        <w:rPr>
          <w:lang w:val="fr-FR"/>
        </w:rPr>
        <w:t>Amérique</w:t>
      </w:r>
      <w:r w:rsidRPr="00357C7A">
        <w:rPr>
          <w:b w:val="0"/>
          <w:sz w:val="20"/>
        </w:rPr>
        <w:footnoteReference w:customMarkFollows="1" w:id="2"/>
        <w:t>*</w:t>
      </w:r>
    </w:p>
    <w:p w:rsidR="008F0D32" w:rsidRDefault="00357C7A" w:rsidP="00357C7A">
      <w:pPr>
        <w:pStyle w:val="SingleTxtG"/>
        <w:ind w:firstLine="567"/>
        <w:rPr>
          <w:lang w:val="fr-FR"/>
        </w:rPr>
      </w:pPr>
      <w:r w:rsidRPr="00357C7A">
        <w:rPr>
          <w:lang w:val="fr-FR"/>
        </w:rPr>
        <w:t>Le texte reproduit ci-après, établi par l</w:t>
      </w:r>
      <w:r w:rsidR="008965CD">
        <w:rPr>
          <w:lang w:val="fr-FR"/>
        </w:rPr>
        <w:t>’</w:t>
      </w:r>
      <w:r w:rsidRPr="00357C7A">
        <w:rPr>
          <w:lang w:val="fr-FR"/>
        </w:rPr>
        <w:t>expert des États-Unis d</w:t>
      </w:r>
      <w:r w:rsidR="008965CD">
        <w:rPr>
          <w:lang w:val="fr-FR"/>
        </w:rPr>
        <w:t>’</w:t>
      </w:r>
      <w:r w:rsidRPr="00357C7A">
        <w:rPr>
          <w:lang w:val="fr-FR"/>
        </w:rPr>
        <w:t>Amérique, porte sur la phase</w:t>
      </w:r>
      <w:r>
        <w:rPr>
          <w:lang w:val="fr-FR"/>
        </w:rPr>
        <w:t> </w:t>
      </w:r>
      <w:r w:rsidRPr="00357C7A">
        <w:rPr>
          <w:lang w:val="fr-FR"/>
        </w:rPr>
        <w:t xml:space="preserve">2 du </w:t>
      </w:r>
      <w:r w:rsidR="000F1155">
        <w:rPr>
          <w:lang w:val="fr-FR"/>
        </w:rPr>
        <w:t>r</w:t>
      </w:r>
      <w:r w:rsidRPr="00357C7A">
        <w:rPr>
          <w:lang w:val="fr-FR"/>
        </w:rPr>
        <w:t xml:space="preserve">èglement technique mondial </w:t>
      </w:r>
      <w:r w:rsidR="008F0D32" w:rsidRPr="008F0D32">
        <w:rPr>
          <w:rFonts w:eastAsia="MS Mincho"/>
          <w:szCs w:val="22"/>
          <w:lang w:val="fr-FR"/>
        </w:rPr>
        <w:t>n</w:t>
      </w:r>
      <w:r w:rsidR="008F0D32" w:rsidRPr="008F0D32">
        <w:rPr>
          <w:rFonts w:eastAsia="MS Mincho"/>
          <w:szCs w:val="22"/>
          <w:vertAlign w:val="superscript"/>
          <w:lang w:val="fr-FR"/>
        </w:rPr>
        <w:t>o</w:t>
      </w:r>
      <w:r w:rsidR="008F0D32">
        <w:rPr>
          <w:lang w:val="fr-FR"/>
        </w:rPr>
        <w:t> </w:t>
      </w:r>
      <w:r w:rsidRPr="00357C7A">
        <w:rPr>
          <w:lang w:val="fr-FR"/>
        </w:rPr>
        <w:t>9 (GTR9-PH2) et en particulier sur les valeurs de référence de l</w:t>
      </w:r>
      <w:r w:rsidR="008965CD">
        <w:rPr>
          <w:lang w:val="fr-FR"/>
        </w:rPr>
        <w:t>’</w:t>
      </w:r>
      <w:r w:rsidRPr="00357C7A">
        <w:rPr>
          <w:lang w:val="fr-FR"/>
        </w:rPr>
        <w:t>évaluation des blessures (IARV) de la jambe d</w:t>
      </w:r>
      <w:r w:rsidR="008965CD">
        <w:rPr>
          <w:lang w:val="fr-FR"/>
        </w:rPr>
        <w:t>’</w:t>
      </w:r>
      <w:r w:rsidRPr="00357C7A">
        <w:rPr>
          <w:lang w:val="fr-FR"/>
        </w:rPr>
        <w:t xml:space="preserve">essai souple (FlexPLI) qui a été introduite dans ce RTM. Il est fondé sur le document GRSP-60-17 qui a été distribué sans cote lors de la soixantième session du Groupe de travail de la sécurité </w:t>
      </w:r>
      <w:r w:rsidR="000F1155">
        <w:rPr>
          <w:lang w:val="fr-FR"/>
        </w:rPr>
        <w:t>p</w:t>
      </w:r>
      <w:r w:rsidRPr="00357C7A">
        <w:rPr>
          <w:lang w:val="fr-FR"/>
        </w:rPr>
        <w:t>assive (GRSP) (ECE/TRANS/WP.29/GRSP/60, par.</w:t>
      </w:r>
      <w:r w:rsidR="008F0D32">
        <w:rPr>
          <w:lang w:val="fr-FR"/>
        </w:rPr>
        <w:t> </w:t>
      </w:r>
      <w:r w:rsidRPr="00357C7A">
        <w:rPr>
          <w:lang w:val="fr-FR"/>
        </w:rPr>
        <w:t>6 et 7). Les modifications qu</w:t>
      </w:r>
      <w:r w:rsidR="008965CD">
        <w:rPr>
          <w:lang w:val="fr-FR"/>
        </w:rPr>
        <w:t>’</w:t>
      </w:r>
      <w:r w:rsidRPr="00357C7A">
        <w:rPr>
          <w:lang w:val="fr-FR"/>
        </w:rPr>
        <w:t>il est proposé d</w:t>
      </w:r>
      <w:r w:rsidR="008965CD">
        <w:rPr>
          <w:lang w:val="fr-FR"/>
        </w:rPr>
        <w:t>’</w:t>
      </w:r>
      <w:r w:rsidRPr="00357C7A">
        <w:rPr>
          <w:lang w:val="fr-FR"/>
        </w:rPr>
        <w:t>apporter au texte du projet d</w:t>
      </w:r>
      <w:r w:rsidR="008965CD">
        <w:rPr>
          <w:lang w:val="fr-FR"/>
        </w:rPr>
        <w:t>’</w:t>
      </w:r>
      <w:r w:rsidRPr="00357C7A">
        <w:rPr>
          <w:lang w:val="fr-FR"/>
        </w:rPr>
        <w:t>amendement 2 au Règlement technique mondial (RTM) (ECE/TRANS/WP.29/GRSP/2014/5) sont signalées en caractères gras pour les ajouts ou en caractères biffés pour les suppressions.</w:t>
      </w:r>
    </w:p>
    <w:p w:rsidR="00357C7A" w:rsidRPr="00357C7A" w:rsidRDefault="008F0D32" w:rsidP="008F0D32">
      <w:pPr>
        <w:pStyle w:val="HChG"/>
        <w:rPr>
          <w:bCs/>
          <w:lang w:val="fr-FR"/>
        </w:rPr>
      </w:pPr>
      <w:r>
        <w:rPr>
          <w:lang w:val="fr-FR"/>
        </w:rPr>
        <w:br w:type="page"/>
      </w:r>
      <w:r>
        <w:rPr>
          <w:lang w:val="fr-FR"/>
        </w:rPr>
        <w:lastRenderedPageBreak/>
        <w:tab/>
      </w:r>
      <w:r w:rsidR="00357C7A" w:rsidRPr="00357C7A">
        <w:rPr>
          <w:lang w:val="fr-FR"/>
        </w:rPr>
        <w:t>I.</w:t>
      </w:r>
      <w:r w:rsidR="00357C7A" w:rsidRPr="00357C7A">
        <w:rPr>
          <w:lang w:val="fr-FR"/>
        </w:rPr>
        <w:tab/>
        <w:t>Proposition</w:t>
      </w:r>
    </w:p>
    <w:p w:rsidR="00357C7A" w:rsidRPr="00357C7A" w:rsidRDefault="00357C7A" w:rsidP="008F0D32">
      <w:pPr>
        <w:pStyle w:val="SingleTxtG"/>
        <w:rPr>
          <w:lang w:val="fr-FR"/>
        </w:rPr>
      </w:pPr>
      <w:r w:rsidRPr="008F0D32">
        <w:rPr>
          <w:i/>
          <w:lang w:val="fr-FR"/>
        </w:rPr>
        <w:t>P</w:t>
      </w:r>
      <w:r w:rsidR="00F83C9D">
        <w:rPr>
          <w:i/>
          <w:lang w:val="fr-FR"/>
        </w:rPr>
        <w:t>remière p</w:t>
      </w:r>
      <w:r w:rsidRPr="008F0D32">
        <w:rPr>
          <w:i/>
          <w:lang w:val="fr-FR"/>
        </w:rPr>
        <w:t>artie, justifications techniques, paragraphes 217 et 218</w:t>
      </w:r>
      <w:r w:rsidRPr="00357C7A">
        <w:rPr>
          <w:lang w:val="fr-FR"/>
        </w:rPr>
        <w:t>, modifier comme suit</w:t>
      </w:r>
      <w:r w:rsidR="00810517">
        <w:rPr>
          <w:lang w:val="fr-FR"/>
        </w:rPr>
        <w:t> </w:t>
      </w:r>
      <w:r w:rsidRPr="00357C7A">
        <w:rPr>
          <w:lang w:val="fr-FR"/>
        </w:rPr>
        <w:t>:</w:t>
      </w:r>
    </w:p>
    <w:p w:rsidR="00357C7A" w:rsidRPr="00357C7A" w:rsidRDefault="00357C7A" w:rsidP="008F0D32">
      <w:pPr>
        <w:pStyle w:val="HChG"/>
        <w:rPr>
          <w:lang w:val="fr-FR"/>
        </w:rPr>
      </w:pPr>
      <w:r w:rsidRPr="00357C7A">
        <w:rPr>
          <w:lang w:val="fr-FR"/>
        </w:rPr>
        <w:tab/>
      </w:r>
      <w:r w:rsidRPr="008F0D32">
        <w:rPr>
          <w:b w:val="0"/>
          <w:sz w:val="20"/>
          <w:lang w:val="fr-FR"/>
        </w:rPr>
        <w:t>« </w:t>
      </w:r>
      <w:r w:rsidRPr="00357C7A">
        <w:rPr>
          <w:lang w:val="fr-FR"/>
        </w:rPr>
        <w:t>I.</w:t>
      </w:r>
      <w:r w:rsidRPr="00357C7A">
        <w:rPr>
          <w:lang w:val="fr-FR"/>
        </w:rPr>
        <w:tab/>
        <w:t>Justifications techniques</w:t>
      </w:r>
    </w:p>
    <w:p w:rsidR="00357C7A" w:rsidRPr="00357C7A" w:rsidRDefault="008F0D32" w:rsidP="008F0D32">
      <w:pPr>
        <w:pStyle w:val="H1G"/>
        <w:rPr>
          <w:lang w:val="fr-FR"/>
        </w:rPr>
      </w:pPr>
      <w:r>
        <w:rPr>
          <w:lang w:val="fr-FR"/>
        </w:rPr>
        <w:tab/>
      </w:r>
      <w:r w:rsidR="00357C7A" w:rsidRPr="00357C7A">
        <w:rPr>
          <w:lang w:val="fr-FR"/>
        </w:rPr>
        <w:t>A.</w:t>
      </w:r>
      <w:r w:rsidR="00357C7A" w:rsidRPr="00357C7A">
        <w:rPr>
          <w:lang w:val="fr-FR"/>
        </w:rPr>
        <w:tab/>
        <w:t>Phase 1</w:t>
      </w:r>
    </w:p>
    <w:p w:rsidR="00357C7A" w:rsidRPr="00357C7A" w:rsidRDefault="00357C7A" w:rsidP="00810517">
      <w:pPr>
        <w:pStyle w:val="SingleTxtG"/>
        <w:rPr>
          <w:lang w:val="fr-FR"/>
        </w:rPr>
      </w:pPr>
      <w:r w:rsidRPr="00357C7A">
        <w:rPr>
          <w:lang w:val="fr-FR"/>
        </w:rPr>
        <w:t>…</w:t>
      </w:r>
    </w:p>
    <w:p w:rsidR="00357C7A" w:rsidRPr="00357C7A" w:rsidRDefault="008F0D32" w:rsidP="008F0D32">
      <w:pPr>
        <w:pStyle w:val="H1G"/>
        <w:rPr>
          <w:lang w:val="fr-FR"/>
        </w:rPr>
      </w:pPr>
      <w:r>
        <w:rPr>
          <w:lang w:val="fr-FR"/>
        </w:rPr>
        <w:tab/>
      </w:r>
      <w:r w:rsidR="00357C7A" w:rsidRPr="00357C7A">
        <w:rPr>
          <w:lang w:val="fr-FR"/>
        </w:rPr>
        <w:t>B.</w:t>
      </w:r>
      <w:r w:rsidR="00357C7A" w:rsidRPr="00357C7A">
        <w:rPr>
          <w:lang w:val="fr-FR"/>
        </w:rPr>
        <w:tab/>
        <w:t>Phase 2</w:t>
      </w:r>
    </w:p>
    <w:p w:rsidR="00357C7A" w:rsidRPr="00357C7A" w:rsidRDefault="00357C7A" w:rsidP="00810517">
      <w:pPr>
        <w:pStyle w:val="SingleTxtG"/>
        <w:rPr>
          <w:lang w:val="fr-FR"/>
        </w:rPr>
      </w:pPr>
      <w:r w:rsidRPr="00357C7A">
        <w:rPr>
          <w:lang w:val="fr-FR"/>
        </w:rPr>
        <w:t>…</w:t>
      </w:r>
    </w:p>
    <w:p w:rsidR="00357C7A" w:rsidRPr="00357C7A" w:rsidRDefault="008F0D32" w:rsidP="008F0D32">
      <w:pPr>
        <w:pStyle w:val="H23G"/>
        <w:rPr>
          <w:lang w:val="fr-FR"/>
        </w:rPr>
      </w:pPr>
      <w:r>
        <w:rPr>
          <w:lang w:val="fr-FR"/>
        </w:rPr>
        <w:tab/>
      </w:r>
      <w:r w:rsidR="00357C7A" w:rsidRPr="00357C7A">
        <w:rPr>
          <w:lang w:val="fr-FR"/>
        </w:rPr>
        <w:t>5.</w:t>
      </w:r>
      <w:r w:rsidR="00357C7A" w:rsidRPr="00357C7A">
        <w:rPr>
          <w:lang w:val="fr-FR"/>
        </w:rPr>
        <w:tab/>
        <w:t>Avantages et limites de l</w:t>
      </w:r>
      <w:r w:rsidR="008965CD">
        <w:rPr>
          <w:lang w:val="fr-FR"/>
        </w:rPr>
        <w:t>’</w:t>
      </w:r>
      <w:r w:rsidR="00357C7A" w:rsidRPr="00357C7A">
        <w:rPr>
          <w:lang w:val="fr-FR"/>
        </w:rPr>
        <w:t>introduction de la jambe d</w:t>
      </w:r>
      <w:r w:rsidR="008965CD">
        <w:rPr>
          <w:lang w:val="fr-FR"/>
        </w:rPr>
        <w:t>’</w:t>
      </w:r>
      <w:r w:rsidR="00357C7A" w:rsidRPr="00357C7A">
        <w:rPr>
          <w:lang w:val="fr-FR"/>
        </w:rPr>
        <w:t>essai souple</w:t>
      </w:r>
    </w:p>
    <w:p w:rsidR="00357C7A" w:rsidRPr="00357C7A" w:rsidRDefault="00357C7A" w:rsidP="00357C7A">
      <w:pPr>
        <w:pStyle w:val="SingleTxtG"/>
        <w:rPr>
          <w:b/>
          <w:lang w:val="fr-FR"/>
        </w:rPr>
      </w:pPr>
      <w:r w:rsidRPr="00357C7A">
        <w:rPr>
          <w:lang w:val="fr-FR"/>
        </w:rPr>
        <w:t>217.</w:t>
      </w:r>
      <w:r w:rsidRPr="00357C7A">
        <w:rPr>
          <w:lang w:val="fr-FR"/>
        </w:rPr>
        <w:tab/>
        <w:t>Lors de la sixième réunion du groupe de travail informel, les États-Unis d</w:t>
      </w:r>
      <w:r w:rsidR="008965CD">
        <w:rPr>
          <w:lang w:val="fr-FR"/>
        </w:rPr>
        <w:t>’</w:t>
      </w:r>
      <w:r w:rsidRPr="00357C7A">
        <w:rPr>
          <w:lang w:val="fr-FR"/>
        </w:rPr>
        <w:t>Amérique ont fait savoir qu</w:t>
      </w:r>
      <w:r w:rsidR="008965CD">
        <w:rPr>
          <w:lang w:val="fr-FR"/>
        </w:rPr>
        <w:t>’</w:t>
      </w:r>
      <w:r w:rsidRPr="00357C7A">
        <w:rPr>
          <w:lang w:val="fr-FR"/>
        </w:rPr>
        <w:t>ils étaient disposés à adopter les courbes de risque de blessure dans les délais prévus à l</w:t>
      </w:r>
      <w:r w:rsidR="008965CD">
        <w:rPr>
          <w:lang w:val="fr-FR"/>
        </w:rPr>
        <w:t>’</w:t>
      </w:r>
      <w:r w:rsidRPr="00357C7A">
        <w:rPr>
          <w:lang w:val="fr-FR"/>
        </w:rPr>
        <w:t>amendement</w:t>
      </w:r>
      <w:r w:rsidR="003441E9">
        <w:rPr>
          <w:lang w:val="fr-FR"/>
        </w:rPr>
        <w:t> </w:t>
      </w:r>
      <w:r w:rsidRPr="00357C7A">
        <w:rPr>
          <w:lang w:val="fr-FR"/>
        </w:rPr>
        <w:t>2 du présent RTM, mais qu</w:t>
      </w:r>
      <w:r w:rsidR="008965CD">
        <w:rPr>
          <w:lang w:val="fr-FR"/>
        </w:rPr>
        <w:t>’</w:t>
      </w:r>
      <w:r w:rsidRPr="00357C7A">
        <w:rPr>
          <w:lang w:val="fr-FR"/>
        </w:rPr>
        <w:t>ils ne seraient peut-être pas en mesure d</w:t>
      </w:r>
      <w:r w:rsidR="008965CD">
        <w:rPr>
          <w:lang w:val="fr-FR"/>
        </w:rPr>
        <w:t>’</w:t>
      </w:r>
      <w:r w:rsidRPr="00357C7A">
        <w:rPr>
          <w:lang w:val="fr-FR"/>
        </w:rPr>
        <w:t>accepter les valeurs de risque de blessure dans les délais impartis. L</w:t>
      </w:r>
      <w:r w:rsidR="008965CD">
        <w:rPr>
          <w:lang w:val="fr-FR"/>
        </w:rPr>
        <w:t>’</w:t>
      </w:r>
      <w:r w:rsidRPr="00357C7A">
        <w:rPr>
          <w:lang w:val="fr-FR"/>
        </w:rPr>
        <w:t>expert des États-Unis d</w:t>
      </w:r>
      <w:r w:rsidR="008965CD">
        <w:rPr>
          <w:lang w:val="fr-FR"/>
        </w:rPr>
        <w:t>’</w:t>
      </w:r>
      <w:r w:rsidRPr="00357C7A">
        <w:rPr>
          <w:lang w:val="fr-FR"/>
        </w:rPr>
        <w:t>Amérique a proposé que, étant donné que le rapport coûts-avantages était susceptible de varier selon la flotte de véhicules du pays concerné, le RTM ne devrait contenir que les courbes de risque de blessure, les Parties contractantes étant libres de choisir les valeurs de référence de l</w:t>
      </w:r>
      <w:r w:rsidR="008965CD">
        <w:rPr>
          <w:lang w:val="fr-FR"/>
        </w:rPr>
        <w:t>’</w:t>
      </w:r>
      <w:r w:rsidRPr="00357C7A">
        <w:rPr>
          <w:lang w:val="fr-FR"/>
        </w:rPr>
        <w:t xml:space="preserve">évaluation des blessures (IARV) au moment de transposer le RTM dans leur législation nationale. </w:t>
      </w:r>
      <w:r w:rsidRPr="00357C7A">
        <w:rPr>
          <w:b/>
          <w:lang w:val="fr-FR"/>
        </w:rPr>
        <w:t>Au cours des discussions qui ont suivi cette réunion, les États-Unis d</w:t>
      </w:r>
      <w:r w:rsidR="008965CD">
        <w:rPr>
          <w:b/>
          <w:lang w:val="fr-FR"/>
        </w:rPr>
        <w:t>’</w:t>
      </w:r>
      <w:r w:rsidRPr="00357C7A">
        <w:rPr>
          <w:b/>
          <w:lang w:val="fr-FR"/>
        </w:rPr>
        <w:t>Amérique ont décidé d</w:t>
      </w:r>
      <w:r w:rsidR="008965CD">
        <w:rPr>
          <w:b/>
          <w:lang w:val="fr-FR"/>
        </w:rPr>
        <w:t>’</w:t>
      </w:r>
      <w:r w:rsidRPr="00357C7A">
        <w:rPr>
          <w:b/>
          <w:lang w:val="fr-FR"/>
        </w:rPr>
        <w:t>accepter les IARV proposées pour faire avancer l</w:t>
      </w:r>
      <w:r w:rsidR="008965CD">
        <w:rPr>
          <w:b/>
          <w:lang w:val="fr-FR"/>
        </w:rPr>
        <w:t>’</w:t>
      </w:r>
      <w:r w:rsidRPr="00357C7A">
        <w:rPr>
          <w:b/>
          <w:lang w:val="fr-FR"/>
        </w:rPr>
        <w:t xml:space="preserve">élaboration de la </w:t>
      </w:r>
      <w:r w:rsidR="003441E9">
        <w:rPr>
          <w:b/>
          <w:lang w:val="fr-FR"/>
        </w:rPr>
        <w:t>p</w:t>
      </w:r>
      <w:r w:rsidRPr="00357C7A">
        <w:rPr>
          <w:b/>
          <w:lang w:val="fr-FR"/>
        </w:rPr>
        <w:t>hase</w:t>
      </w:r>
      <w:r w:rsidR="003441E9">
        <w:rPr>
          <w:b/>
          <w:lang w:val="fr-FR"/>
        </w:rPr>
        <w:t> </w:t>
      </w:r>
      <w:r w:rsidRPr="00357C7A">
        <w:rPr>
          <w:b/>
          <w:lang w:val="fr-FR"/>
        </w:rPr>
        <w:t>2 du RTM et de proposer d</w:t>
      </w:r>
      <w:r w:rsidR="008965CD">
        <w:rPr>
          <w:b/>
          <w:lang w:val="fr-FR"/>
        </w:rPr>
        <w:t>’</w:t>
      </w:r>
      <w:r w:rsidRPr="00357C7A">
        <w:rPr>
          <w:b/>
          <w:lang w:val="fr-FR"/>
        </w:rPr>
        <w:t>apporter des modifications à ces valeurs de référence par le biais du processus normal de l</w:t>
      </w:r>
      <w:r w:rsidR="008965CD">
        <w:rPr>
          <w:b/>
          <w:lang w:val="fr-FR"/>
        </w:rPr>
        <w:t>’</w:t>
      </w:r>
      <w:r w:rsidRPr="00357C7A">
        <w:rPr>
          <w:b/>
          <w:lang w:val="fr-FR"/>
        </w:rPr>
        <w:t>ONU si une analyse des avantages menée au cours de la procédure d</w:t>
      </w:r>
      <w:r w:rsidR="008965CD">
        <w:rPr>
          <w:b/>
          <w:lang w:val="fr-FR"/>
        </w:rPr>
        <w:t>’</w:t>
      </w:r>
      <w:r w:rsidRPr="00357C7A">
        <w:rPr>
          <w:b/>
          <w:lang w:val="fr-FR"/>
        </w:rPr>
        <w:t>adoption dans leurs règlements nationaux le justifiait.</w:t>
      </w:r>
    </w:p>
    <w:p w:rsidR="00357C7A" w:rsidRPr="00357C7A" w:rsidRDefault="00357C7A" w:rsidP="00357C7A">
      <w:pPr>
        <w:pStyle w:val="SingleTxtG"/>
        <w:rPr>
          <w:b/>
          <w:lang w:val="fr-FR"/>
        </w:rPr>
      </w:pPr>
      <w:r w:rsidRPr="00357C7A">
        <w:rPr>
          <w:lang w:val="fr-FR"/>
        </w:rPr>
        <w:t>218.</w:t>
      </w:r>
      <w:r w:rsidRPr="00357C7A">
        <w:rPr>
          <w:lang w:val="fr-FR"/>
        </w:rPr>
        <w:tab/>
        <w:t>Même si le groupe de travail informel a repoussé la proposition visant à retenir uniquement les courbes de risque de blessure, il est entendu que les États-Unis d</w:t>
      </w:r>
      <w:r w:rsidR="008965CD">
        <w:rPr>
          <w:lang w:val="fr-FR"/>
        </w:rPr>
        <w:t>’</w:t>
      </w:r>
      <w:r w:rsidRPr="00357C7A">
        <w:rPr>
          <w:lang w:val="fr-FR"/>
        </w:rPr>
        <w:t>Amérique effectueront une analyse complète des incidences des IARV sur le RTM. Ils procéderont à des essais de la FlexPLI afin d</w:t>
      </w:r>
      <w:r w:rsidR="008965CD">
        <w:rPr>
          <w:lang w:val="fr-FR"/>
        </w:rPr>
        <w:t>’</w:t>
      </w:r>
      <w:r w:rsidRPr="00357C7A">
        <w:rPr>
          <w:lang w:val="fr-FR"/>
        </w:rPr>
        <w:t>en évaluer les avantages. Il faudrait aussi examiner certaines légères améliorations, par exemple un abaissement des valeurs de seuil de blessure. Ces efforts pourraient permettre d</w:t>
      </w:r>
      <w:r w:rsidR="008965CD">
        <w:rPr>
          <w:lang w:val="fr-FR"/>
        </w:rPr>
        <w:t>’</w:t>
      </w:r>
      <w:r w:rsidRPr="00357C7A">
        <w:rPr>
          <w:lang w:val="fr-FR"/>
        </w:rPr>
        <w:t>élaborer des recommandations visant à ajuster les valeurs de risque de blessure et d</w:t>
      </w:r>
      <w:r w:rsidR="008965CD">
        <w:rPr>
          <w:lang w:val="fr-FR"/>
        </w:rPr>
        <w:t>’</w:t>
      </w:r>
      <w:r w:rsidRPr="00357C7A">
        <w:rPr>
          <w:lang w:val="fr-FR"/>
        </w:rPr>
        <w:t xml:space="preserve">autres aspects du présent RTM. </w:t>
      </w:r>
      <w:r w:rsidRPr="00357C7A">
        <w:rPr>
          <w:b/>
          <w:lang w:val="fr-FR"/>
        </w:rPr>
        <w:t>Les États-Unis d</w:t>
      </w:r>
      <w:r w:rsidR="008965CD">
        <w:rPr>
          <w:b/>
          <w:lang w:val="fr-FR"/>
        </w:rPr>
        <w:t>’</w:t>
      </w:r>
      <w:r w:rsidRPr="00357C7A">
        <w:rPr>
          <w:b/>
          <w:lang w:val="fr-FR"/>
        </w:rPr>
        <w:t>Amérique communiqueront à l</w:t>
      </w:r>
      <w:r w:rsidR="008965CD">
        <w:rPr>
          <w:b/>
          <w:lang w:val="fr-FR"/>
        </w:rPr>
        <w:t>’</w:t>
      </w:r>
      <w:r w:rsidRPr="00357C7A">
        <w:rPr>
          <w:b/>
          <w:lang w:val="fr-FR"/>
        </w:rPr>
        <w:t>ONU d</w:t>
      </w:r>
      <w:r w:rsidR="008965CD">
        <w:rPr>
          <w:b/>
          <w:lang w:val="fr-FR"/>
        </w:rPr>
        <w:t>’</w:t>
      </w:r>
      <w:r w:rsidRPr="00357C7A">
        <w:rPr>
          <w:b/>
          <w:lang w:val="fr-FR"/>
        </w:rPr>
        <w:t>éventuelles propositions d</w:t>
      </w:r>
      <w:r w:rsidR="008965CD">
        <w:rPr>
          <w:b/>
          <w:lang w:val="fr-FR"/>
        </w:rPr>
        <w:t>’</w:t>
      </w:r>
      <w:r w:rsidRPr="00357C7A">
        <w:rPr>
          <w:b/>
          <w:lang w:val="fr-FR"/>
        </w:rPr>
        <w:t>ajustements en ce qui concerne les IARV une fois que l</w:t>
      </w:r>
      <w:r w:rsidR="008965CD">
        <w:rPr>
          <w:b/>
          <w:lang w:val="fr-FR"/>
        </w:rPr>
        <w:t>’</w:t>
      </w:r>
      <w:r w:rsidRPr="00357C7A">
        <w:rPr>
          <w:b/>
          <w:lang w:val="fr-FR"/>
        </w:rPr>
        <w:t>analyse coûts-avantages aura été achevée.</w:t>
      </w:r>
    </w:p>
    <w:p w:rsidR="00357C7A" w:rsidRPr="00357C7A" w:rsidRDefault="00357C7A" w:rsidP="00357C7A">
      <w:pPr>
        <w:pStyle w:val="SingleTxtG"/>
        <w:rPr>
          <w:b/>
          <w:lang w:val="fr-FR"/>
        </w:rPr>
      </w:pPr>
      <w:r w:rsidRPr="00357C7A">
        <w:rPr>
          <w:lang w:val="fr-FR"/>
        </w:rPr>
        <w:t>… ».</w:t>
      </w:r>
    </w:p>
    <w:p w:rsidR="00357C7A" w:rsidRPr="00357C7A" w:rsidRDefault="00357C7A" w:rsidP="00357C7A">
      <w:pPr>
        <w:pStyle w:val="SingleTxtG"/>
        <w:rPr>
          <w:lang w:val="fr-FR"/>
        </w:rPr>
      </w:pPr>
      <w:r w:rsidRPr="00357C7A">
        <w:rPr>
          <w:i/>
          <w:lang w:val="fr-FR"/>
        </w:rPr>
        <w:t xml:space="preserve">Deuxième partie, </w:t>
      </w:r>
      <w:r w:rsidR="00BC4DAB">
        <w:rPr>
          <w:i/>
          <w:lang w:val="fr-FR"/>
        </w:rPr>
        <w:t>t</w:t>
      </w:r>
      <w:r w:rsidRPr="00357C7A">
        <w:rPr>
          <w:i/>
          <w:lang w:val="fr-FR"/>
        </w:rPr>
        <w:t>exte du Règlement</w:t>
      </w:r>
      <w:r w:rsidRPr="00357C7A">
        <w:rPr>
          <w:lang w:val="fr-FR"/>
        </w:rPr>
        <w:t>, modifier comme suit</w:t>
      </w:r>
      <w:r w:rsidR="00BC4DAB">
        <w:rPr>
          <w:lang w:val="fr-FR"/>
        </w:rPr>
        <w:t> </w:t>
      </w:r>
      <w:r w:rsidRPr="00357C7A">
        <w:rPr>
          <w:lang w:val="fr-FR"/>
        </w:rPr>
        <w:t>:</w:t>
      </w:r>
    </w:p>
    <w:p w:rsidR="00357C7A" w:rsidRPr="00357C7A" w:rsidRDefault="00357C7A" w:rsidP="00BC4DAB">
      <w:pPr>
        <w:pStyle w:val="HChG"/>
        <w:rPr>
          <w:lang w:val="fr-FR"/>
        </w:rPr>
      </w:pPr>
      <w:r w:rsidRPr="00357C7A">
        <w:rPr>
          <w:lang w:val="fr-FR"/>
        </w:rPr>
        <w:tab/>
        <w:t>II.</w:t>
      </w:r>
      <w:r w:rsidRPr="00357C7A">
        <w:rPr>
          <w:lang w:val="fr-FR"/>
        </w:rPr>
        <w:tab/>
        <w:t>Texte du Règlement</w:t>
      </w:r>
    </w:p>
    <w:p w:rsidR="00357C7A" w:rsidRPr="00357C7A" w:rsidRDefault="00357C7A" w:rsidP="00BC4DAB">
      <w:pPr>
        <w:pStyle w:val="SingleTxtG"/>
        <w:rPr>
          <w:lang w:val="fr-FR"/>
        </w:rPr>
      </w:pPr>
      <w:r w:rsidRPr="00357C7A">
        <w:rPr>
          <w:i/>
          <w:lang w:val="fr-FR"/>
        </w:rPr>
        <w:t>Paragraphe 5.1.1</w:t>
      </w:r>
      <w:r w:rsidRPr="00357C7A">
        <w:rPr>
          <w:lang w:val="fr-FR"/>
        </w:rPr>
        <w:t>, modifier comme suit</w:t>
      </w:r>
      <w:r w:rsidR="00BC4DAB">
        <w:rPr>
          <w:lang w:val="fr-FR"/>
        </w:rPr>
        <w:t> </w:t>
      </w:r>
      <w:r w:rsidRPr="00357C7A">
        <w:rPr>
          <w:lang w:val="fr-FR"/>
        </w:rPr>
        <w:t>:</w:t>
      </w:r>
    </w:p>
    <w:p w:rsidR="00357C7A" w:rsidRPr="00357C7A" w:rsidRDefault="00357C7A" w:rsidP="00BC4DAB">
      <w:pPr>
        <w:pStyle w:val="SingleTxtG"/>
        <w:ind w:left="2268" w:hanging="1134"/>
        <w:rPr>
          <w:lang w:val="fr-FR"/>
        </w:rPr>
      </w:pPr>
      <w:r w:rsidRPr="00357C7A">
        <w:rPr>
          <w:lang w:val="fr-FR"/>
        </w:rPr>
        <w:t>« 5.1.1</w:t>
      </w:r>
      <w:r w:rsidRPr="00357C7A">
        <w:rPr>
          <w:lang w:val="fr-FR"/>
        </w:rPr>
        <w:tab/>
        <w:t>Lors d</w:t>
      </w:r>
      <w:r w:rsidR="008965CD">
        <w:rPr>
          <w:lang w:val="fr-FR"/>
        </w:rPr>
        <w:t>’</w:t>
      </w:r>
      <w:r w:rsidRPr="00357C7A">
        <w:rPr>
          <w:lang w:val="fr-FR"/>
        </w:rPr>
        <w:t>un essai exécuté conformément au paragraphe</w:t>
      </w:r>
      <w:r w:rsidR="00BC4DAB">
        <w:rPr>
          <w:lang w:val="fr-FR"/>
        </w:rPr>
        <w:t> </w:t>
      </w:r>
      <w:r w:rsidRPr="00357C7A">
        <w:rPr>
          <w:lang w:val="fr-FR"/>
        </w:rPr>
        <w:t>7.1.1 (jambe d</w:t>
      </w:r>
      <w:r w:rsidR="008965CD">
        <w:rPr>
          <w:lang w:val="fr-FR"/>
        </w:rPr>
        <w:t>’</w:t>
      </w:r>
      <w:r w:rsidRPr="00357C7A">
        <w:rPr>
          <w:lang w:val="fr-FR"/>
        </w:rPr>
        <w:t>essai souple contre pare-chocs), la valeur absolue de l</w:t>
      </w:r>
      <w:r w:rsidR="008965CD">
        <w:rPr>
          <w:lang w:val="fr-FR"/>
        </w:rPr>
        <w:t>’</w:t>
      </w:r>
      <w:r w:rsidRPr="00357C7A">
        <w:rPr>
          <w:lang w:val="fr-FR"/>
        </w:rPr>
        <w:t xml:space="preserve">allongement dynamique maximum du ligament latéral interne au niveau du genou ne doit pas dépasser </w:t>
      </w:r>
      <w:r w:rsidRPr="00582547">
        <w:rPr>
          <w:strike/>
          <w:lang w:val="fr-FR"/>
        </w:rPr>
        <w:t>[</w:t>
      </w:r>
      <w:r w:rsidRPr="00357C7A">
        <w:rPr>
          <w:lang w:val="fr-FR"/>
        </w:rPr>
        <w:t>22</w:t>
      </w:r>
      <w:r w:rsidR="00BC4DAB">
        <w:rPr>
          <w:lang w:val="fr-FR"/>
        </w:rPr>
        <w:t> </w:t>
      </w:r>
      <w:r w:rsidRPr="00357C7A">
        <w:rPr>
          <w:lang w:val="fr-FR"/>
        </w:rPr>
        <w:t>mm</w:t>
      </w:r>
      <w:r w:rsidRPr="00582547">
        <w:rPr>
          <w:strike/>
          <w:lang w:val="fr-FR"/>
        </w:rPr>
        <w:t>]</w:t>
      </w:r>
      <w:r w:rsidRPr="00357C7A">
        <w:rPr>
          <w:lang w:val="fr-FR"/>
        </w:rPr>
        <w:t xml:space="preserve"> et l</w:t>
      </w:r>
      <w:r w:rsidR="008965CD">
        <w:rPr>
          <w:lang w:val="fr-FR"/>
        </w:rPr>
        <w:t>’</w:t>
      </w:r>
      <w:r w:rsidRPr="00357C7A">
        <w:rPr>
          <w:lang w:val="fr-FR"/>
        </w:rPr>
        <w:t>allongement dynamique maximum du ligament croisé antérieur et du ligament croisé postérieur ne doit pas dépasser 13</w:t>
      </w:r>
      <w:r w:rsidR="00BC4DAB">
        <w:rPr>
          <w:lang w:val="fr-FR"/>
        </w:rPr>
        <w:t> </w:t>
      </w:r>
      <w:r w:rsidRPr="00357C7A">
        <w:rPr>
          <w:lang w:val="fr-FR"/>
        </w:rPr>
        <w:t xml:space="preserve">mm. La valeur absolue du moment dynamique de flexion du tibia ne doit pas non plus dépasser </w:t>
      </w:r>
      <w:r w:rsidRPr="00582547">
        <w:rPr>
          <w:strike/>
          <w:lang w:val="fr-FR"/>
        </w:rPr>
        <w:t>[</w:t>
      </w:r>
      <w:r w:rsidRPr="00357C7A">
        <w:rPr>
          <w:lang w:val="fr-FR"/>
        </w:rPr>
        <w:t>340</w:t>
      </w:r>
      <w:r w:rsidR="00BC4DAB">
        <w:rPr>
          <w:lang w:val="fr-FR"/>
        </w:rPr>
        <w:t> </w:t>
      </w:r>
      <w:r w:rsidRPr="00357C7A">
        <w:rPr>
          <w:lang w:val="fr-FR"/>
        </w:rPr>
        <w:t>Nm</w:t>
      </w:r>
      <w:r w:rsidRPr="00582547">
        <w:rPr>
          <w:strike/>
          <w:lang w:val="fr-FR"/>
        </w:rPr>
        <w:t>]</w:t>
      </w:r>
      <w:r w:rsidRPr="00357C7A">
        <w:rPr>
          <w:lang w:val="fr-FR"/>
        </w:rPr>
        <w:t>. En outre, le constructeur peut choisir sur les pare-chocs des zones pouvant mesurer au total jusqu</w:t>
      </w:r>
      <w:r w:rsidR="008965CD">
        <w:rPr>
          <w:lang w:val="fr-FR"/>
        </w:rPr>
        <w:t>’</w:t>
      </w:r>
      <w:r w:rsidRPr="00357C7A">
        <w:rPr>
          <w:lang w:val="fr-FR"/>
        </w:rPr>
        <w:t>à 264</w:t>
      </w:r>
      <w:r w:rsidR="00BC4DAB">
        <w:rPr>
          <w:lang w:val="fr-FR"/>
        </w:rPr>
        <w:t> </w:t>
      </w:r>
      <w:r w:rsidRPr="00357C7A">
        <w:rPr>
          <w:lang w:val="fr-FR"/>
        </w:rPr>
        <w:t xml:space="preserve">mm de largeur, dans lesquelles la valeur absolue du moment de flexion du tibia ne doit pas </w:t>
      </w:r>
      <w:r w:rsidRPr="00357C7A">
        <w:rPr>
          <w:lang w:val="fr-FR"/>
        </w:rPr>
        <w:lastRenderedPageBreak/>
        <w:t>dépasser 380</w:t>
      </w:r>
      <w:r w:rsidR="00BC4DAB">
        <w:rPr>
          <w:lang w:val="fr-FR"/>
        </w:rPr>
        <w:t> </w:t>
      </w:r>
      <w:r w:rsidRPr="00357C7A">
        <w:rPr>
          <w:lang w:val="fr-FR"/>
        </w:rPr>
        <w:t>Nm. Une Partie contractante peut, dans sa législation nationale, restreindre l</w:t>
      </w:r>
      <w:r w:rsidR="008965CD">
        <w:rPr>
          <w:lang w:val="fr-FR"/>
        </w:rPr>
        <w:t>’</w:t>
      </w:r>
      <w:r w:rsidRPr="00357C7A">
        <w:rPr>
          <w:lang w:val="fr-FR"/>
        </w:rPr>
        <w:t>application de la prescription relative à la zone d</w:t>
      </w:r>
      <w:r w:rsidR="008965CD">
        <w:rPr>
          <w:lang w:val="fr-FR"/>
        </w:rPr>
        <w:t>’</w:t>
      </w:r>
      <w:r w:rsidRPr="00357C7A">
        <w:rPr>
          <w:lang w:val="fr-FR"/>
        </w:rPr>
        <w:t>exception si elle le juge approprié. ».</w:t>
      </w:r>
    </w:p>
    <w:p w:rsidR="00357C7A" w:rsidRPr="00357C7A" w:rsidRDefault="000D78B7" w:rsidP="000D78B7">
      <w:pPr>
        <w:pStyle w:val="HChG"/>
        <w:rPr>
          <w:bCs/>
          <w:lang w:val="fr-FR"/>
        </w:rPr>
      </w:pPr>
      <w:r>
        <w:rPr>
          <w:lang w:val="fr-FR"/>
        </w:rPr>
        <w:tab/>
      </w:r>
      <w:r w:rsidR="00357C7A" w:rsidRPr="00357C7A">
        <w:rPr>
          <w:lang w:val="fr-FR"/>
        </w:rPr>
        <w:t>II.</w:t>
      </w:r>
      <w:r w:rsidR="00357C7A" w:rsidRPr="00357C7A">
        <w:rPr>
          <w:lang w:val="fr-FR"/>
        </w:rPr>
        <w:tab/>
        <w:t>Justification</w:t>
      </w:r>
    </w:p>
    <w:p w:rsidR="00357C7A" w:rsidRDefault="00357C7A" w:rsidP="000D78B7">
      <w:pPr>
        <w:pStyle w:val="SingleTxtG"/>
        <w:ind w:firstLine="567"/>
        <w:rPr>
          <w:lang w:val="fr-FR"/>
        </w:rPr>
      </w:pPr>
      <w:r w:rsidRPr="00357C7A">
        <w:rPr>
          <w:lang w:val="fr-FR"/>
        </w:rPr>
        <w:t>Il est proposé, au titre de la phase</w:t>
      </w:r>
      <w:r w:rsidR="000D78B7">
        <w:rPr>
          <w:lang w:val="fr-FR"/>
        </w:rPr>
        <w:t> </w:t>
      </w:r>
      <w:r w:rsidRPr="00357C7A">
        <w:rPr>
          <w:lang w:val="fr-FR"/>
        </w:rPr>
        <w:t xml:space="preserve">2, de modifier le RTM </w:t>
      </w:r>
      <w:r w:rsidR="000D78B7" w:rsidRPr="000D78B7">
        <w:rPr>
          <w:rFonts w:eastAsia="MS Mincho"/>
          <w:szCs w:val="22"/>
          <w:lang w:val="fr-FR"/>
        </w:rPr>
        <w:t>n</w:t>
      </w:r>
      <w:r w:rsidR="000D78B7" w:rsidRPr="000D78B7">
        <w:rPr>
          <w:rFonts w:eastAsia="MS Mincho"/>
          <w:szCs w:val="22"/>
          <w:vertAlign w:val="superscript"/>
          <w:lang w:val="fr-FR"/>
        </w:rPr>
        <w:t>o</w:t>
      </w:r>
      <w:r w:rsidR="000D78B7">
        <w:rPr>
          <w:lang w:val="fr-FR"/>
        </w:rPr>
        <w:t> </w:t>
      </w:r>
      <w:r w:rsidRPr="00357C7A">
        <w:rPr>
          <w:lang w:val="fr-FR"/>
        </w:rPr>
        <w:t>9 en faisant de la jambe d</w:t>
      </w:r>
      <w:r w:rsidR="008965CD">
        <w:rPr>
          <w:lang w:val="fr-FR"/>
        </w:rPr>
        <w:t>’</w:t>
      </w:r>
      <w:r w:rsidRPr="00357C7A">
        <w:rPr>
          <w:lang w:val="fr-FR"/>
        </w:rPr>
        <w:t>essai souple FlexPLI un instrument d</w:t>
      </w:r>
      <w:r w:rsidR="008965CD">
        <w:rPr>
          <w:lang w:val="fr-FR"/>
        </w:rPr>
        <w:t>’</w:t>
      </w:r>
      <w:r w:rsidRPr="00357C7A">
        <w:rPr>
          <w:lang w:val="fr-FR"/>
        </w:rPr>
        <w:t>essai harmonisé unique pour améliorer la protection de la partie inférieure des jambes des piétons. L</w:t>
      </w:r>
      <w:r w:rsidR="008965CD">
        <w:rPr>
          <w:lang w:val="fr-FR"/>
        </w:rPr>
        <w:t>’</w:t>
      </w:r>
      <w:r w:rsidRPr="00357C7A">
        <w:rPr>
          <w:lang w:val="fr-FR"/>
        </w:rPr>
        <w:t>Administration nationale de la sécurité routière (NHTSA) s</w:t>
      </w:r>
      <w:r w:rsidR="008965CD">
        <w:rPr>
          <w:lang w:val="fr-FR"/>
        </w:rPr>
        <w:t>’</w:t>
      </w:r>
      <w:r w:rsidRPr="00357C7A">
        <w:rPr>
          <w:lang w:val="fr-FR"/>
        </w:rPr>
        <w:t>est demandé</w:t>
      </w:r>
      <w:r w:rsidR="000F1155">
        <w:rPr>
          <w:lang w:val="fr-FR"/>
        </w:rPr>
        <w:t>e</w:t>
      </w:r>
      <w:r w:rsidRPr="00357C7A">
        <w:rPr>
          <w:lang w:val="fr-FR"/>
        </w:rPr>
        <w:t xml:space="preserve"> si les IARV appliquées à ce RTM seraient bien en mesure de réduire la gravité des blessures aux États-Unis d</w:t>
      </w:r>
      <w:r w:rsidR="008965CD">
        <w:rPr>
          <w:lang w:val="fr-FR"/>
        </w:rPr>
        <w:t>’</w:t>
      </w:r>
      <w:r w:rsidRPr="00357C7A">
        <w:rPr>
          <w:lang w:val="fr-FR"/>
        </w:rPr>
        <w:t>Amérique. Nous avions précédemment suggéré d</w:t>
      </w:r>
      <w:r w:rsidR="008965CD">
        <w:rPr>
          <w:lang w:val="fr-FR"/>
        </w:rPr>
        <w:t>’</w:t>
      </w:r>
      <w:r w:rsidRPr="00357C7A">
        <w:rPr>
          <w:lang w:val="fr-FR"/>
        </w:rPr>
        <w:t>inclure seulement les courbes de risque de blessure et de laisser les Parties contractantes choisir les IARV adéquates lors de la transposition du présent RTM dans leur législation nationale. Nous sommes conscients que le Groupe de travail informel a ajouté des éléments de texte dans la partie</w:t>
      </w:r>
      <w:r w:rsidR="00582547">
        <w:rPr>
          <w:lang w:val="fr-FR"/>
        </w:rPr>
        <w:t> </w:t>
      </w:r>
      <w:r w:rsidRPr="00357C7A">
        <w:rPr>
          <w:lang w:val="fr-FR"/>
        </w:rPr>
        <w:t>A (maintenant la partie</w:t>
      </w:r>
      <w:r w:rsidR="000D78B7">
        <w:rPr>
          <w:lang w:val="fr-FR"/>
        </w:rPr>
        <w:t> </w:t>
      </w:r>
      <w:r w:rsidRPr="00357C7A">
        <w:rPr>
          <w:lang w:val="fr-FR"/>
        </w:rPr>
        <w:t>I proposée) pour tenter de répondre aux préoccupations de l</w:t>
      </w:r>
      <w:r w:rsidR="008965CD">
        <w:rPr>
          <w:lang w:val="fr-FR"/>
        </w:rPr>
        <w:t>’</w:t>
      </w:r>
      <w:r w:rsidRPr="00357C7A">
        <w:rPr>
          <w:lang w:val="fr-FR"/>
        </w:rPr>
        <w:t>expert des États-Unis d</w:t>
      </w:r>
      <w:r w:rsidR="008965CD">
        <w:rPr>
          <w:lang w:val="fr-FR"/>
        </w:rPr>
        <w:t>’</w:t>
      </w:r>
      <w:r w:rsidRPr="00357C7A">
        <w:rPr>
          <w:lang w:val="fr-FR"/>
        </w:rPr>
        <w:t>Amérique et que les IARV figurent actuellement entre crochets pour permettre un examen approfondi et pour accorder un délai supplémentaire aux États-Unis d</w:t>
      </w:r>
      <w:r w:rsidR="008965CD">
        <w:rPr>
          <w:lang w:val="fr-FR"/>
        </w:rPr>
        <w:t>’</w:t>
      </w:r>
      <w:r w:rsidRPr="00357C7A">
        <w:rPr>
          <w:lang w:val="fr-FR"/>
        </w:rPr>
        <w:t>Amérique afin qu</w:t>
      </w:r>
      <w:r w:rsidR="008965CD">
        <w:rPr>
          <w:lang w:val="fr-FR"/>
        </w:rPr>
        <w:t>’</w:t>
      </w:r>
      <w:r w:rsidRPr="00357C7A">
        <w:rPr>
          <w:lang w:val="fr-FR"/>
        </w:rPr>
        <w:t>ils achèvent leur analyse des avantages. Les États-Unis d</w:t>
      </w:r>
      <w:r w:rsidR="008965CD">
        <w:rPr>
          <w:lang w:val="fr-FR"/>
        </w:rPr>
        <w:t>’</w:t>
      </w:r>
      <w:r w:rsidRPr="00357C7A">
        <w:rPr>
          <w:lang w:val="fr-FR"/>
        </w:rPr>
        <w:t>Amérique soumettent la présente proposition afin de faire avancer cette phase de l</w:t>
      </w:r>
      <w:r w:rsidR="008965CD">
        <w:rPr>
          <w:lang w:val="fr-FR"/>
        </w:rPr>
        <w:t>’</w:t>
      </w:r>
      <w:r w:rsidRPr="00357C7A">
        <w:rPr>
          <w:lang w:val="fr-FR"/>
        </w:rPr>
        <w:t>élaboration du RTM.</w:t>
      </w:r>
    </w:p>
    <w:p w:rsidR="00582547" w:rsidRPr="00582547" w:rsidRDefault="00582547" w:rsidP="00582547">
      <w:pPr>
        <w:pStyle w:val="SingleTxtG"/>
        <w:spacing w:before="240" w:after="0"/>
        <w:jc w:val="center"/>
        <w:rPr>
          <w:u w:val="single"/>
        </w:rPr>
      </w:pPr>
      <w:r>
        <w:rPr>
          <w:u w:val="single"/>
        </w:rPr>
        <w:tab/>
      </w:r>
      <w:r>
        <w:rPr>
          <w:u w:val="single"/>
        </w:rPr>
        <w:tab/>
      </w:r>
      <w:r>
        <w:rPr>
          <w:u w:val="single"/>
        </w:rPr>
        <w:tab/>
      </w:r>
    </w:p>
    <w:sectPr w:rsidR="00582547" w:rsidRPr="00582547" w:rsidSect="0079718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EF" w:rsidRDefault="00D14FEF" w:rsidP="00F95C08">
      <w:pPr>
        <w:spacing w:line="240" w:lineRule="auto"/>
      </w:pPr>
    </w:p>
  </w:endnote>
  <w:endnote w:type="continuationSeparator" w:id="0">
    <w:p w:rsidR="00D14FEF" w:rsidRPr="00AC3823" w:rsidRDefault="00D14FEF" w:rsidP="00AC3823">
      <w:pPr>
        <w:pStyle w:val="Footer"/>
      </w:pPr>
    </w:p>
  </w:endnote>
  <w:endnote w:type="continuationNotice" w:id="1">
    <w:p w:rsidR="00D14FEF" w:rsidRDefault="00D14F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85" w:rsidRPr="00797185" w:rsidRDefault="00797185" w:rsidP="00797185">
    <w:pPr>
      <w:pStyle w:val="Footer"/>
      <w:tabs>
        <w:tab w:val="right" w:pos="9638"/>
      </w:tabs>
    </w:pPr>
    <w:r w:rsidRPr="00797185">
      <w:rPr>
        <w:b/>
        <w:sz w:val="18"/>
      </w:rPr>
      <w:fldChar w:fldCharType="begin"/>
    </w:r>
    <w:r w:rsidRPr="00797185">
      <w:rPr>
        <w:b/>
        <w:sz w:val="18"/>
      </w:rPr>
      <w:instrText xml:space="preserve"> PAGE  \* MERGEFORMAT </w:instrText>
    </w:r>
    <w:r w:rsidRPr="00797185">
      <w:rPr>
        <w:b/>
        <w:sz w:val="18"/>
      </w:rPr>
      <w:fldChar w:fldCharType="separate"/>
    </w:r>
    <w:r w:rsidR="00216D66">
      <w:rPr>
        <w:b/>
        <w:noProof/>
        <w:sz w:val="18"/>
      </w:rPr>
      <w:t>2</w:t>
    </w:r>
    <w:r w:rsidRPr="00797185">
      <w:rPr>
        <w:b/>
        <w:sz w:val="18"/>
      </w:rPr>
      <w:fldChar w:fldCharType="end"/>
    </w:r>
    <w:r>
      <w:rPr>
        <w:b/>
        <w:sz w:val="18"/>
      </w:rPr>
      <w:tab/>
    </w:r>
    <w:r>
      <w:t>GE.17-02488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85" w:rsidRPr="00797185" w:rsidRDefault="00797185" w:rsidP="00797185">
    <w:pPr>
      <w:pStyle w:val="Footer"/>
      <w:tabs>
        <w:tab w:val="right" w:pos="9638"/>
      </w:tabs>
      <w:rPr>
        <w:b/>
        <w:sz w:val="18"/>
      </w:rPr>
    </w:pPr>
    <w:r>
      <w:t>GE.17-02488</w:t>
    </w:r>
    <w:r>
      <w:tab/>
    </w:r>
    <w:r w:rsidRPr="00797185">
      <w:rPr>
        <w:b/>
        <w:sz w:val="18"/>
      </w:rPr>
      <w:fldChar w:fldCharType="begin"/>
    </w:r>
    <w:r w:rsidRPr="00797185">
      <w:rPr>
        <w:b/>
        <w:sz w:val="18"/>
      </w:rPr>
      <w:instrText xml:space="preserve"> PAGE  \* MERGEFORMAT </w:instrText>
    </w:r>
    <w:r w:rsidRPr="00797185">
      <w:rPr>
        <w:b/>
        <w:sz w:val="18"/>
      </w:rPr>
      <w:fldChar w:fldCharType="separate"/>
    </w:r>
    <w:r w:rsidR="00216D66">
      <w:rPr>
        <w:b/>
        <w:noProof/>
        <w:sz w:val="18"/>
      </w:rPr>
      <w:t>3</w:t>
    </w:r>
    <w:r w:rsidRPr="007971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797185" w:rsidRDefault="00797185" w:rsidP="00797185">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7B18E8E" wp14:editId="11B69AC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17-02488  (F)</w:t>
    </w:r>
    <w:r w:rsidR="008F0D32">
      <w:rPr>
        <w:sz w:val="20"/>
      </w:rPr>
      <w:t xml:space="preserve">    270217    0</w:t>
    </w:r>
    <w:r w:rsidR="00F83C9D">
      <w:rPr>
        <w:sz w:val="20"/>
      </w:rPr>
      <w:t>9</w:t>
    </w:r>
    <w:r w:rsidR="008F0D32">
      <w:rPr>
        <w:sz w:val="20"/>
      </w:rPr>
      <w:t>0317</w:t>
    </w:r>
    <w:r>
      <w:rPr>
        <w:sz w:val="20"/>
      </w:rPr>
      <w:br/>
    </w:r>
    <w:r w:rsidRPr="00797185">
      <w:rPr>
        <w:rFonts w:ascii="C39T30Lfz" w:hAnsi="C39T30Lfz"/>
        <w:sz w:val="56"/>
      </w:rPr>
      <w:t></w:t>
    </w:r>
    <w:r w:rsidRPr="00797185">
      <w:rPr>
        <w:rFonts w:ascii="C39T30Lfz" w:hAnsi="C39T30Lfz"/>
        <w:sz w:val="56"/>
      </w:rPr>
      <w:t></w:t>
    </w:r>
    <w:r w:rsidRPr="00797185">
      <w:rPr>
        <w:rFonts w:ascii="C39T30Lfz" w:hAnsi="C39T30Lfz"/>
        <w:sz w:val="56"/>
      </w:rPr>
      <w:t></w:t>
    </w:r>
    <w:r w:rsidRPr="00797185">
      <w:rPr>
        <w:rFonts w:ascii="C39T30Lfz" w:hAnsi="C39T30Lfz"/>
        <w:sz w:val="56"/>
      </w:rPr>
      <w:t></w:t>
    </w:r>
    <w:r w:rsidRPr="00797185">
      <w:rPr>
        <w:rFonts w:ascii="C39T30Lfz" w:hAnsi="C39T30Lfz"/>
        <w:sz w:val="56"/>
      </w:rPr>
      <w:t></w:t>
    </w:r>
    <w:r w:rsidRPr="00797185">
      <w:rPr>
        <w:rFonts w:ascii="C39T30Lfz" w:hAnsi="C39T30Lfz"/>
        <w:sz w:val="56"/>
      </w:rPr>
      <w:t></w:t>
    </w:r>
    <w:r w:rsidRPr="00797185">
      <w:rPr>
        <w:rFonts w:ascii="C39T30Lfz" w:hAnsi="C39T30Lfz"/>
        <w:sz w:val="56"/>
      </w:rPr>
      <w:t></w:t>
    </w:r>
    <w:r w:rsidRPr="00797185">
      <w:rPr>
        <w:rFonts w:ascii="C39T30Lfz" w:hAnsi="C39T30Lfz"/>
        <w:sz w:val="56"/>
      </w:rPr>
      <w:t></w:t>
    </w:r>
    <w:r w:rsidRPr="0079718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P/201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EF" w:rsidRPr="00AC3823" w:rsidRDefault="00D14FEF" w:rsidP="00AC3823">
      <w:pPr>
        <w:pStyle w:val="Footer"/>
        <w:tabs>
          <w:tab w:val="right" w:pos="2155"/>
        </w:tabs>
        <w:spacing w:after="80" w:line="240" w:lineRule="atLeast"/>
        <w:ind w:left="680"/>
        <w:rPr>
          <w:u w:val="single"/>
        </w:rPr>
      </w:pPr>
      <w:r>
        <w:rPr>
          <w:u w:val="single"/>
        </w:rPr>
        <w:tab/>
      </w:r>
    </w:p>
  </w:footnote>
  <w:footnote w:type="continuationSeparator" w:id="0">
    <w:p w:rsidR="00D14FEF" w:rsidRPr="00AC3823" w:rsidRDefault="00D14FEF" w:rsidP="00AC3823">
      <w:pPr>
        <w:pStyle w:val="Footer"/>
        <w:tabs>
          <w:tab w:val="right" w:pos="2155"/>
        </w:tabs>
        <w:spacing w:after="80" w:line="240" w:lineRule="atLeast"/>
        <w:ind w:left="680"/>
        <w:rPr>
          <w:u w:val="single"/>
        </w:rPr>
      </w:pPr>
      <w:r>
        <w:rPr>
          <w:u w:val="single"/>
        </w:rPr>
        <w:tab/>
      </w:r>
    </w:p>
  </w:footnote>
  <w:footnote w:type="continuationNotice" w:id="1">
    <w:p w:rsidR="00D14FEF" w:rsidRPr="00AC3823" w:rsidRDefault="00D14FEF">
      <w:pPr>
        <w:spacing w:line="240" w:lineRule="auto"/>
        <w:rPr>
          <w:sz w:val="2"/>
          <w:szCs w:val="2"/>
        </w:rPr>
      </w:pPr>
    </w:p>
  </w:footnote>
  <w:footnote w:id="2">
    <w:p w:rsidR="00357C7A" w:rsidRPr="00AC4130" w:rsidRDefault="00357C7A" w:rsidP="008F0D32">
      <w:pPr>
        <w:pStyle w:val="FootnoteText"/>
      </w:pPr>
      <w:r>
        <w:tab/>
      </w:r>
      <w:r w:rsidRPr="008F0D32">
        <w:rPr>
          <w:sz w:val="20"/>
        </w:rPr>
        <w:t>*</w:t>
      </w:r>
      <w:r>
        <w:tab/>
        <w:t>Conformément au programme de travail du Comité des transports intérieurs pour la période 2016</w:t>
      </w:r>
      <w:r w:rsidR="008F0D32">
        <w:noBreakHyphen/>
      </w:r>
      <w:r>
        <w:t>2017 (ECE/TRANS/254, par.</w:t>
      </w:r>
      <w:r w:rsidR="008F0D32">
        <w:t> </w:t>
      </w:r>
      <w:r>
        <w:t>159, et ECE/TRANS/2016/28/Add.1, module</w:t>
      </w:r>
      <w:r w:rsidR="008F0D32">
        <w:t> </w:t>
      </w:r>
      <w:r>
        <w:t>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85" w:rsidRPr="00797185" w:rsidRDefault="00216D66">
    <w:pPr>
      <w:pStyle w:val="Header"/>
    </w:pPr>
    <w:r>
      <w:fldChar w:fldCharType="begin"/>
    </w:r>
    <w:r>
      <w:instrText xml:space="preserve"> TITLE  \* MERGEFORMAT </w:instrText>
    </w:r>
    <w:r>
      <w:fldChar w:fldCharType="separate"/>
    </w:r>
    <w:r w:rsidR="00D736D2">
      <w:t>ECE/TRANS/WP.29/GRSP/2017/3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85" w:rsidRPr="00797185" w:rsidRDefault="00216D66" w:rsidP="00797185">
    <w:pPr>
      <w:pStyle w:val="Header"/>
      <w:jc w:val="right"/>
    </w:pPr>
    <w:r>
      <w:fldChar w:fldCharType="begin"/>
    </w:r>
    <w:r>
      <w:instrText xml:space="preserve"> TITLE  \* MERGEFORMAT </w:instrText>
    </w:r>
    <w:r>
      <w:fldChar w:fldCharType="separate"/>
    </w:r>
    <w:r w:rsidR="00D736D2">
      <w:t>ECE/TRANS/WP.29/GRSP/2017/3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EF"/>
    <w:rsid w:val="00017F94"/>
    <w:rsid w:val="00023842"/>
    <w:rsid w:val="000334F9"/>
    <w:rsid w:val="00045FEB"/>
    <w:rsid w:val="0007796D"/>
    <w:rsid w:val="000B7790"/>
    <w:rsid w:val="000D78B7"/>
    <w:rsid w:val="000F1155"/>
    <w:rsid w:val="00111F2F"/>
    <w:rsid w:val="0014365E"/>
    <w:rsid w:val="00143C66"/>
    <w:rsid w:val="00176178"/>
    <w:rsid w:val="001F525A"/>
    <w:rsid w:val="00216D66"/>
    <w:rsid w:val="00223272"/>
    <w:rsid w:val="0024779E"/>
    <w:rsid w:val="00257168"/>
    <w:rsid w:val="002744B8"/>
    <w:rsid w:val="002832AC"/>
    <w:rsid w:val="002D7C93"/>
    <w:rsid w:val="00305801"/>
    <w:rsid w:val="003441E9"/>
    <w:rsid w:val="00357C7A"/>
    <w:rsid w:val="003916DE"/>
    <w:rsid w:val="00441C3B"/>
    <w:rsid w:val="00446FE5"/>
    <w:rsid w:val="00452396"/>
    <w:rsid w:val="004837D8"/>
    <w:rsid w:val="004E468C"/>
    <w:rsid w:val="005505B7"/>
    <w:rsid w:val="00573BE5"/>
    <w:rsid w:val="00582547"/>
    <w:rsid w:val="00586ED3"/>
    <w:rsid w:val="00596AA9"/>
    <w:rsid w:val="0071601D"/>
    <w:rsid w:val="00797185"/>
    <w:rsid w:val="007A62E6"/>
    <w:rsid w:val="007F20FA"/>
    <w:rsid w:val="0080684C"/>
    <w:rsid w:val="00810517"/>
    <w:rsid w:val="00871C75"/>
    <w:rsid w:val="008776DC"/>
    <w:rsid w:val="008965CD"/>
    <w:rsid w:val="008F0D32"/>
    <w:rsid w:val="009446C0"/>
    <w:rsid w:val="009705C8"/>
    <w:rsid w:val="009C1CF4"/>
    <w:rsid w:val="009F6B74"/>
    <w:rsid w:val="00A30353"/>
    <w:rsid w:val="00AC3823"/>
    <w:rsid w:val="00AE323C"/>
    <w:rsid w:val="00AF0CB5"/>
    <w:rsid w:val="00B00181"/>
    <w:rsid w:val="00B00B0D"/>
    <w:rsid w:val="00B765F7"/>
    <w:rsid w:val="00BA0CA9"/>
    <w:rsid w:val="00BC4DAB"/>
    <w:rsid w:val="00C02897"/>
    <w:rsid w:val="00C97039"/>
    <w:rsid w:val="00D14FEF"/>
    <w:rsid w:val="00D3439C"/>
    <w:rsid w:val="00D736D2"/>
    <w:rsid w:val="00DB1831"/>
    <w:rsid w:val="00DD3BFD"/>
    <w:rsid w:val="00DF6678"/>
    <w:rsid w:val="00E85C74"/>
    <w:rsid w:val="00EA6547"/>
    <w:rsid w:val="00EF2E22"/>
    <w:rsid w:val="00F35BAF"/>
    <w:rsid w:val="00F660DF"/>
    <w:rsid w:val="00F83C9D"/>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4</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ECE/TRANS/WP.29/GRSP/2017/3</vt:lpstr>
      <vt:lpstr>ECE/TRANS/WP.29/GRSP/2017/3</vt:lpstr>
    </vt:vector>
  </TitlesOfParts>
  <Company>DCM</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ECE/TRANS/WP.29/GRSP/2017/3</dc:title>
  <dc:creator>Robert Corinne</dc:creator>
  <cp:lastModifiedBy>Benedicte Boudol</cp:lastModifiedBy>
  <cp:revision>2</cp:revision>
  <cp:lastPrinted>2017-03-08T13:44:00Z</cp:lastPrinted>
  <dcterms:created xsi:type="dcterms:W3CDTF">2017-03-09T09:04:00Z</dcterms:created>
  <dcterms:modified xsi:type="dcterms:W3CDTF">2017-03-09T09:04:00Z</dcterms:modified>
</cp:coreProperties>
</file>