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297A3A"/>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297A3A" w:rsidP="00297A3A">
            <w:pPr>
              <w:jc w:val="right"/>
            </w:pPr>
            <w:r w:rsidRPr="00297A3A">
              <w:rPr>
                <w:sz w:val="40"/>
              </w:rPr>
              <w:t>ECE</w:t>
            </w:r>
            <w:r>
              <w:t>/TRANS/WP.29/GRSG/2017/10</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eastAsia="fr-CH"/>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297A3A" w:rsidP="00892A2F">
            <w:pPr>
              <w:spacing w:before="240"/>
            </w:pPr>
            <w:r>
              <w:t>Distr. générale</w:t>
            </w:r>
          </w:p>
          <w:p w:rsidR="00297A3A" w:rsidRDefault="00A70397" w:rsidP="00297A3A">
            <w:pPr>
              <w:spacing w:line="240" w:lineRule="exact"/>
            </w:pPr>
            <w:r>
              <w:t>2</w:t>
            </w:r>
            <w:r w:rsidR="00297A3A">
              <w:t xml:space="preserve"> février 2017</w:t>
            </w:r>
          </w:p>
          <w:p w:rsidR="00297A3A" w:rsidRDefault="00297A3A" w:rsidP="00297A3A">
            <w:pPr>
              <w:spacing w:line="240" w:lineRule="exact"/>
            </w:pPr>
            <w:r>
              <w:t>Français</w:t>
            </w:r>
          </w:p>
          <w:p w:rsidR="00297A3A" w:rsidRPr="00DB58B5" w:rsidRDefault="00297A3A" w:rsidP="00297A3A">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297A3A" w:rsidRDefault="00297A3A"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297A3A" w:rsidRDefault="00297A3A" w:rsidP="00257168">
      <w:pPr>
        <w:spacing w:before="120" w:after="120" w:line="240" w:lineRule="exact"/>
        <w:rPr>
          <w:b/>
        </w:rPr>
      </w:pPr>
      <w:r>
        <w:rPr>
          <w:b/>
        </w:rPr>
        <w:t>Groupe de travail des dispositions générales de sécurité</w:t>
      </w:r>
    </w:p>
    <w:p w:rsidR="00297A3A" w:rsidRDefault="00297A3A" w:rsidP="00257168">
      <w:pPr>
        <w:spacing w:before="120" w:line="240" w:lineRule="exact"/>
        <w:rPr>
          <w:b/>
        </w:rPr>
      </w:pPr>
      <w:r>
        <w:rPr>
          <w:b/>
        </w:rPr>
        <w:t>112</w:t>
      </w:r>
      <w:r w:rsidRPr="00297A3A">
        <w:rPr>
          <w:b/>
          <w:vertAlign w:val="superscript"/>
        </w:rPr>
        <w:t>e</w:t>
      </w:r>
      <w:r>
        <w:rPr>
          <w:b/>
        </w:rPr>
        <w:t> session</w:t>
      </w:r>
    </w:p>
    <w:p w:rsidR="00297A3A" w:rsidRDefault="00297A3A" w:rsidP="00257168">
      <w:pPr>
        <w:spacing w:line="240" w:lineRule="exact"/>
      </w:pPr>
      <w:r>
        <w:t xml:space="preserve">Genève, </w:t>
      </w:r>
      <w:r w:rsidRPr="00297A3A">
        <w:t>24-28 avril 2017</w:t>
      </w:r>
    </w:p>
    <w:p w:rsidR="00297A3A" w:rsidRDefault="00297A3A" w:rsidP="00257168">
      <w:pPr>
        <w:spacing w:line="240" w:lineRule="exact"/>
      </w:pPr>
      <w:r>
        <w:t>Point 7 de l’ordre du jour provisoire</w:t>
      </w:r>
    </w:p>
    <w:p w:rsidR="00F9573C" w:rsidRDefault="00297A3A" w:rsidP="00AF0CB5">
      <w:pPr>
        <w:rPr>
          <w:b/>
        </w:rPr>
      </w:pPr>
      <w:r w:rsidRPr="00297A3A">
        <w:rPr>
          <w:b/>
        </w:rPr>
        <w:t xml:space="preserve">Règlement </w:t>
      </w:r>
      <w:r w:rsidRPr="00297A3A">
        <w:rPr>
          <w:rFonts w:eastAsia="MS Mincho"/>
          <w:b/>
          <w:szCs w:val="22"/>
        </w:rPr>
        <w:t>n</w:t>
      </w:r>
      <w:r w:rsidRPr="00297A3A">
        <w:rPr>
          <w:rFonts w:eastAsia="MS Mincho"/>
          <w:b/>
          <w:szCs w:val="22"/>
          <w:vertAlign w:val="superscript"/>
        </w:rPr>
        <w:t>o</w:t>
      </w:r>
      <w:r w:rsidRPr="00297A3A">
        <w:rPr>
          <w:b/>
        </w:rPr>
        <w:t> 67 (Véhicules alimentés au GPL)</w:t>
      </w:r>
    </w:p>
    <w:p w:rsidR="00297A3A" w:rsidRPr="00297A3A" w:rsidRDefault="00297A3A" w:rsidP="00297A3A">
      <w:pPr>
        <w:pStyle w:val="HChG"/>
      </w:pPr>
      <w:r>
        <w:tab/>
      </w:r>
      <w:r>
        <w:tab/>
        <w:t>Proposition de complément 15 à la série </w:t>
      </w:r>
      <w:r w:rsidRPr="00297A3A">
        <w:t xml:space="preserve">01 d’amendements au Règlement </w:t>
      </w:r>
      <w:r w:rsidRPr="002D76F4">
        <w:rPr>
          <w:rFonts w:eastAsia="MS Mincho"/>
          <w:szCs w:val="22"/>
        </w:rPr>
        <w:t>n</w:t>
      </w:r>
      <w:r w:rsidRPr="002D76F4">
        <w:rPr>
          <w:rFonts w:eastAsia="MS Mincho"/>
          <w:szCs w:val="22"/>
          <w:vertAlign w:val="superscript"/>
        </w:rPr>
        <w:t>o</w:t>
      </w:r>
      <w:r>
        <w:t> </w:t>
      </w:r>
      <w:r w:rsidRPr="00297A3A">
        <w:t>67 (Véhicules alimentés au GPL)</w:t>
      </w:r>
    </w:p>
    <w:p w:rsidR="00297A3A" w:rsidRPr="00297A3A" w:rsidRDefault="00297A3A" w:rsidP="00297A3A">
      <w:pPr>
        <w:pStyle w:val="H1G"/>
        <w:rPr>
          <w:vertAlign w:val="superscript"/>
        </w:rPr>
      </w:pPr>
      <w:r>
        <w:tab/>
      </w:r>
      <w:r>
        <w:tab/>
      </w:r>
      <w:r w:rsidRPr="00297A3A">
        <w:t>Communication de l’expert de la Pologne</w:t>
      </w:r>
      <w:r w:rsidRPr="00297A3A">
        <w:rPr>
          <w:rStyle w:val="Appelnotedebasdep"/>
          <w:b w:val="0"/>
        </w:rPr>
        <w:footnoteReference w:customMarkFollows="1" w:id="2"/>
        <w:t>*</w:t>
      </w:r>
    </w:p>
    <w:p w:rsidR="0055270B" w:rsidRDefault="00297A3A" w:rsidP="00297A3A">
      <w:pPr>
        <w:pStyle w:val="SingleTxtG"/>
        <w:ind w:firstLine="567"/>
      </w:pPr>
      <w:r w:rsidRPr="00297A3A">
        <w:t>Le texte reproduit ci-après, établi par l’expert de la Pologne,</w:t>
      </w:r>
      <w:r w:rsidR="008B5C16">
        <w:t xml:space="preserve"> </w:t>
      </w:r>
      <w:r w:rsidRPr="00297A3A">
        <w:t>vise à préciser, dans le Règlement n° 67 sur les gaz de pétrole liquéfié (GPL), la définition des accessoires pour réservoirs à GPL dont le type a été homologué. Il est fondé sur le document informel GRSG-111-17, distribué à la 111</w:t>
      </w:r>
      <w:r w:rsidRPr="00297A3A">
        <w:rPr>
          <w:vertAlign w:val="superscript"/>
        </w:rPr>
        <w:t>e</w:t>
      </w:r>
      <w:r w:rsidR="0055270B">
        <w:t> </w:t>
      </w:r>
      <w:r w:rsidRPr="00297A3A">
        <w:t>session du Groupe de travail des dispositions générales de sécurité (GRSG) (voir le rappor</w:t>
      </w:r>
      <w:r w:rsidR="0055270B">
        <w:t>t ECE/TRANS/WP.29/GRSG/90, par. </w:t>
      </w:r>
      <w:r w:rsidRPr="00297A3A">
        <w:t>26). Les</w:t>
      </w:r>
      <w:r w:rsidR="00C25359">
        <w:t> </w:t>
      </w:r>
      <w:bookmarkStart w:id="0" w:name="_GoBack"/>
      <w:bookmarkEnd w:id="0"/>
      <w:r w:rsidRPr="00297A3A">
        <w:t xml:space="preserve">modifications qu’il est proposé d’apporter au texte actuel du Règlement </w:t>
      </w:r>
      <w:r w:rsidR="0055270B" w:rsidRPr="002D76F4">
        <w:rPr>
          <w:rFonts w:eastAsia="MS Mincho"/>
          <w:szCs w:val="22"/>
        </w:rPr>
        <w:t>n</w:t>
      </w:r>
      <w:r w:rsidR="0055270B" w:rsidRPr="002D76F4">
        <w:rPr>
          <w:rFonts w:eastAsia="MS Mincho"/>
          <w:szCs w:val="22"/>
          <w:vertAlign w:val="superscript"/>
        </w:rPr>
        <w:t>o</w:t>
      </w:r>
      <w:r w:rsidRPr="00297A3A">
        <w:t> 67 sont signalées en caractères gras pour les ajouts ou biffés pour les suppressions.</w:t>
      </w:r>
    </w:p>
    <w:p w:rsidR="0055270B" w:rsidRPr="0055270B" w:rsidRDefault="0055270B" w:rsidP="0055270B">
      <w:pPr>
        <w:pStyle w:val="HChG"/>
      </w:pPr>
      <w:r>
        <w:br w:type="page"/>
      </w:r>
      <w:r>
        <w:lastRenderedPageBreak/>
        <w:tab/>
      </w:r>
      <w:r w:rsidRPr="0055270B">
        <w:t>I.</w:t>
      </w:r>
      <w:r w:rsidRPr="0055270B">
        <w:tab/>
        <w:t>Proposition</w:t>
      </w:r>
    </w:p>
    <w:p w:rsidR="0055270B" w:rsidRPr="0055270B" w:rsidRDefault="0055270B" w:rsidP="0055270B">
      <w:pPr>
        <w:pStyle w:val="SingleTxtG"/>
        <w:rPr>
          <w:bCs/>
        </w:rPr>
      </w:pPr>
      <w:r w:rsidRPr="0055270B">
        <w:rPr>
          <w:bCs/>
          <w:i/>
        </w:rPr>
        <w:t>Ajouter les nouv</w:t>
      </w:r>
      <w:r>
        <w:rPr>
          <w:bCs/>
          <w:i/>
        </w:rPr>
        <w:t>eaux paragraphes </w:t>
      </w:r>
      <w:r w:rsidRPr="0055270B">
        <w:rPr>
          <w:bCs/>
          <w:i/>
        </w:rPr>
        <w:t>2.21 à 2.23.2</w:t>
      </w:r>
      <w:r w:rsidRPr="0055270B">
        <w:t>, libellés comme suit :</w:t>
      </w:r>
    </w:p>
    <w:p w:rsidR="0055270B" w:rsidRPr="0055270B" w:rsidRDefault="0055270B" w:rsidP="008B5C16">
      <w:pPr>
        <w:pStyle w:val="SingleTxtG"/>
        <w:ind w:left="2552" w:hanging="1418"/>
        <w:rPr>
          <w:b/>
          <w:bCs/>
          <w:iCs/>
        </w:rPr>
      </w:pPr>
      <w:r w:rsidRPr="0055270B">
        <w:t>«</w:t>
      </w:r>
      <w:r w:rsidRPr="0055270B">
        <w:rPr>
          <w:b/>
          <w:bCs/>
          <w:iCs/>
        </w:rPr>
        <w:t> 2.21</w:t>
      </w:r>
      <w:r w:rsidRPr="0055270B">
        <w:rPr>
          <w:b/>
          <w:bCs/>
          <w:iCs/>
        </w:rPr>
        <w:tab/>
        <w:t xml:space="preserve">Par </w:t>
      </w:r>
      <w:r w:rsidR="008B5C16">
        <w:rPr>
          <w:b/>
          <w:bCs/>
          <w:i/>
          <w:iCs/>
          <w:lang w:val="en-GB"/>
        </w:rPr>
        <w:t>“</w:t>
      </w:r>
      <w:r w:rsidRPr="0055270B">
        <w:rPr>
          <w:b/>
          <w:bCs/>
          <w:i/>
          <w:iCs/>
        </w:rPr>
        <w:t>type de bloc multivannes</w:t>
      </w:r>
      <w:r w:rsidR="008B5C16">
        <w:rPr>
          <w:b/>
          <w:bCs/>
          <w:i/>
          <w:iCs/>
          <w:lang w:val="en-GB"/>
        </w:rPr>
        <w:t>”</w:t>
      </w:r>
      <w:r w:rsidRPr="0055270B">
        <w:rPr>
          <w:b/>
          <w:bCs/>
          <w:iCs/>
        </w:rPr>
        <w:t>, des blocs multivannes</w:t>
      </w:r>
      <w:r w:rsidR="008B5C16">
        <w:rPr>
          <w:b/>
          <w:bCs/>
          <w:iCs/>
        </w:rPr>
        <w:t xml:space="preserve"> </w:t>
      </w:r>
      <w:r w:rsidRPr="0055270B">
        <w:rPr>
          <w:b/>
          <w:bCs/>
          <w:iCs/>
        </w:rPr>
        <w:t>qui ne présentent pas entre eux de différences</w:t>
      </w:r>
      <w:r w:rsidR="008B5C16">
        <w:rPr>
          <w:b/>
          <w:bCs/>
          <w:iCs/>
        </w:rPr>
        <w:t xml:space="preserve"> </w:t>
      </w:r>
      <w:r w:rsidRPr="0055270B">
        <w:rPr>
          <w:b/>
          <w:bCs/>
          <w:iCs/>
        </w:rPr>
        <w:t>quant aux caractéristiques suivantes :</w:t>
      </w:r>
    </w:p>
    <w:p w:rsidR="0055270B" w:rsidRPr="0055270B" w:rsidRDefault="0055270B" w:rsidP="008B5C16">
      <w:pPr>
        <w:pStyle w:val="SingleTxtG"/>
        <w:ind w:left="3119" w:hanging="567"/>
        <w:rPr>
          <w:b/>
          <w:bCs/>
          <w:iCs/>
        </w:rPr>
      </w:pPr>
      <w:r w:rsidRPr="0055270B">
        <w:rPr>
          <w:b/>
          <w:bCs/>
          <w:iCs/>
        </w:rPr>
        <w:t>a)</w:t>
      </w:r>
      <w:r w:rsidRPr="0055270B">
        <w:rPr>
          <w:b/>
          <w:bCs/>
          <w:iCs/>
        </w:rPr>
        <w:tab/>
        <w:t>Le jeu d’accessoires ;</w:t>
      </w:r>
    </w:p>
    <w:p w:rsidR="0055270B" w:rsidRPr="0055270B" w:rsidRDefault="0055270B" w:rsidP="008B5C16">
      <w:pPr>
        <w:pStyle w:val="SingleTxtG"/>
        <w:ind w:left="3119" w:hanging="567"/>
        <w:rPr>
          <w:b/>
          <w:bCs/>
          <w:iCs/>
        </w:rPr>
      </w:pPr>
      <w:r w:rsidRPr="0055270B">
        <w:rPr>
          <w:b/>
          <w:bCs/>
          <w:iCs/>
        </w:rPr>
        <w:t>b)</w:t>
      </w:r>
      <w:r w:rsidRPr="0055270B">
        <w:rPr>
          <w:b/>
          <w:bCs/>
          <w:iCs/>
        </w:rPr>
        <w:tab/>
        <w:t>La conception du corps et les matériaux qui les composent ;</w:t>
      </w:r>
    </w:p>
    <w:p w:rsidR="0055270B" w:rsidRPr="0055270B" w:rsidRDefault="0055270B" w:rsidP="008B5C16">
      <w:pPr>
        <w:pStyle w:val="SingleTxtG"/>
        <w:ind w:left="3119" w:hanging="567"/>
        <w:rPr>
          <w:b/>
          <w:bCs/>
          <w:iCs/>
        </w:rPr>
      </w:pPr>
      <w:r w:rsidRPr="0055270B">
        <w:rPr>
          <w:b/>
          <w:bCs/>
          <w:iCs/>
        </w:rPr>
        <w:t>c)</w:t>
      </w:r>
      <w:r w:rsidRPr="0055270B">
        <w:rPr>
          <w:b/>
          <w:bCs/>
          <w:iCs/>
        </w:rPr>
        <w:tab/>
        <w:t>La conception de la soupape de surpression (lorsqu’il y en a une) et les matériaux qui la composent, à l’exception de la modification</w:t>
      </w:r>
      <w:r w:rsidR="008B5C16">
        <w:rPr>
          <w:b/>
          <w:bCs/>
          <w:iCs/>
        </w:rPr>
        <w:t xml:space="preserve"> </w:t>
      </w:r>
      <w:r w:rsidRPr="0055270B">
        <w:rPr>
          <w:b/>
          <w:bCs/>
          <w:iCs/>
        </w:rPr>
        <w:t>mentionnée</w:t>
      </w:r>
      <w:r w:rsidR="008B5C16">
        <w:rPr>
          <w:b/>
          <w:bCs/>
          <w:iCs/>
        </w:rPr>
        <w:t xml:space="preserve"> à l’alinéa </w:t>
      </w:r>
      <w:r w:rsidRPr="0055270B">
        <w:rPr>
          <w:b/>
          <w:bCs/>
          <w:iCs/>
        </w:rPr>
        <w:t>2.21.1 a) ci-dessous ;</w:t>
      </w:r>
    </w:p>
    <w:p w:rsidR="0055270B" w:rsidRPr="0055270B" w:rsidRDefault="0055270B" w:rsidP="008B5C16">
      <w:pPr>
        <w:pStyle w:val="SingleTxtG"/>
        <w:ind w:left="3119" w:hanging="567"/>
        <w:rPr>
          <w:b/>
          <w:bCs/>
          <w:iCs/>
        </w:rPr>
      </w:pPr>
      <w:r w:rsidRPr="0055270B">
        <w:rPr>
          <w:b/>
          <w:bCs/>
          <w:iCs/>
        </w:rPr>
        <w:t>d)</w:t>
      </w:r>
      <w:r w:rsidRPr="0055270B">
        <w:rPr>
          <w:b/>
          <w:bCs/>
          <w:iCs/>
        </w:rPr>
        <w:tab/>
        <w:t>La conception du bouchon fusible (lorsqu’il y en a un) et les matériaux qui le composent, à l’exception de la modification</w:t>
      </w:r>
      <w:r w:rsidR="008B5C16">
        <w:rPr>
          <w:b/>
          <w:bCs/>
          <w:iCs/>
        </w:rPr>
        <w:t xml:space="preserve"> </w:t>
      </w:r>
      <w:r w:rsidRPr="0055270B">
        <w:rPr>
          <w:b/>
          <w:bCs/>
          <w:iCs/>
        </w:rPr>
        <w:t>mentionnée à l’alinéa</w:t>
      </w:r>
      <w:r w:rsidR="008B5C16">
        <w:rPr>
          <w:b/>
          <w:bCs/>
          <w:iCs/>
        </w:rPr>
        <w:t> </w:t>
      </w:r>
      <w:r w:rsidRPr="0055270B">
        <w:rPr>
          <w:b/>
          <w:bCs/>
          <w:iCs/>
        </w:rPr>
        <w:t>2.21.1 b) ci-dessous ;</w:t>
      </w:r>
    </w:p>
    <w:p w:rsidR="0055270B" w:rsidRPr="0055270B" w:rsidRDefault="0055270B" w:rsidP="008B5C16">
      <w:pPr>
        <w:pStyle w:val="SingleTxtG"/>
        <w:ind w:left="3119" w:hanging="567"/>
        <w:rPr>
          <w:b/>
          <w:bCs/>
          <w:iCs/>
        </w:rPr>
      </w:pPr>
      <w:r w:rsidRPr="0055270B">
        <w:rPr>
          <w:b/>
          <w:bCs/>
          <w:iCs/>
        </w:rPr>
        <w:t>e)</w:t>
      </w:r>
      <w:r w:rsidRPr="0055270B">
        <w:rPr>
          <w:b/>
          <w:bCs/>
          <w:iCs/>
        </w:rPr>
        <w:tab/>
        <w:t xml:space="preserve">La conception du limiteur de remplissage à 80 % (lorsqu’il y en a un) et les matériaux qui le composent, à l’exception de la modification mentionnée </w:t>
      </w:r>
      <w:r w:rsidR="008B5C16">
        <w:rPr>
          <w:b/>
          <w:bCs/>
          <w:iCs/>
        </w:rPr>
        <w:t>à l’alinéa </w:t>
      </w:r>
      <w:r w:rsidRPr="0055270B">
        <w:rPr>
          <w:b/>
          <w:bCs/>
          <w:iCs/>
        </w:rPr>
        <w:t>2.21.1 c) ci-dessous.</w:t>
      </w:r>
    </w:p>
    <w:p w:rsidR="0055270B" w:rsidRPr="0055270B" w:rsidRDefault="0055270B" w:rsidP="008B5C16">
      <w:pPr>
        <w:pStyle w:val="SingleTxtG"/>
        <w:ind w:left="2552" w:hanging="1418"/>
        <w:rPr>
          <w:b/>
          <w:bCs/>
          <w:iCs/>
        </w:rPr>
      </w:pPr>
      <w:r w:rsidRPr="0055270B">
        <w:rPr>
          <w:b/>
          <w:bCs/>
          <w:iCs/>
        </w:rPr>
        <w:t>2.21.1</w:t>
      </w:r>
      <w:r w:rsidRPr="0055270B">
        <w:rPr>
          <w:b/>
          <w:bCs/>
          <w:iCs/>
        </w:rPr>
        <w:tab/>
        <w:t xml:space="preserve">Par </w:t>
      </w:r>
      <w:r w:rsidR="008B5C16">
        <w:rPr>
          <w:b/>
          <w:bCs/>
          <w:iCs/>
          <w:lang w:val="en-GB"/>
        </w:rPr>
        <w:t>“</w:t>
      </w:r>
      <w:r w:rsidRPr="0055270B">
        <w:rPr>
          <w:b/>
          <w:bCs/>
          <w:i/>
          <w:iCs/>
        </w:rPr>
        <w:t>version de bloc multivannes</w:t>
      </w:r>
      <w:r w:rsidR="008B5C16">
        <w:rPr>
          <w:b/>
          <w:bCs/>
          <w:i/>
          <w:iCs/>
          <w:lang w:val="en-GB"/>
        </w:rPr>
        <w:t>”</w:t>
      </w:r>
      <w:r w:rsidRPr="0055270B">
        <w:rPr>
          <w:b/>
          <w:bCs/>
          <w:iCs/>
        </w:rPr>
        <w:t>, des blocs multivannes qui sont adaptées à</w:t>
      </w:r>
      <w:r w:rsidR="008B5C16">
        <w:rPr>
          <w:b/>
          <w:bCs/>
          <w:iCs/>
        </w:rPr>
        <w:t xml:space="preserve"> </w:t>
      </w:r>
      <w:r w:rsidRPr="0055270B">
        <w:rPr>
          <w:b/>
          <w:bCs/>
          <w:iCs/>
        </w:rPr>
        <w:t>des types différents de réservoirs</w:t>
      </w:r>
      <w:r w:rsidR="008B5C16">
        <w:rPr>
          <w:b/>
          <w:bCs/>
          <w:iCs/>
        </w:rPr>
        <w:t> :</w:t>
      </w:r>
    </w:p>
    <w:p w:rsidR="0055270B" w:rsidRPr="0055270B" w:rsidRDefault="0055270B" w:rsidP="008B5C16">
      <w:pPr>
        <w:pStyle w:val="SingleTxtG"/>
        <w:ind w:left="2835" w:hanging="567"/>
        <w:rPr>
          <w:b/>
          <w:bCs/>
          <w:iCs/>
        </w:rPr>
      </w:pPr>
      <w:r w:rsidRPr="0055270B">
        <w:rPr>
          <w:b/>
          <w:bCs/>
          <w:iCs/>
        </w:rPr>
        <w:t>a)</w:t>
      </w:r>
      <w:r w:rsidRPr="0055270B">
        <w:rPr>
          <w:b/>
          <w:bCs/>
          <w:iCs/>
        </w:rPr>
        <w:tab/>
        <w:t>Les modifications apportées à la soupape de surpression ne peuvent</w:t>
      </w:r>
      <w:r w:rsidR="008B5C16">
        <w:rPr>
          <w:b/>
          <w:bCs/>
          <w:iCs/>
        </w:rPr>
        <w:t xml:space="preserve"> </w:t>
      </w:r>
      <w:r w:rsidRPr="0055270B">
        <w:rPr>
          <w:b/>
          <w:bCs/>
          <w:iCs/>
        </w:rPr>
        <w:t>porter que sur la longueur du tuyau qui relie la soupape à l’espace situé au-dessus de la surface de la phase liquide du GPL ;</w:t>
      </w:r>
    </w:p>
    <w:p w:rsidR="0055270B" w:rsidRPr="0055270B" w:rsidRDefault="0055270B" w:rsidP="008B5C16">
      <w:pPr>
        <w:pStyle w:val="SingleTxtG"/>
        <w:ind w:left="2835" w:hanging="567"/>
        <w:rPr>
          <w:b/>
          <w:bCs/>
          <w:iCs/>
        </w:rPr>
      </w:pPr>
      <w:r w:rsidRPr="0055270B">
        <w:rPr>
          <w:b/>
          <w:bCs/>
          <w:iCs/>
        </w:rPr>
        <w:t>b)</w:t>
      </w:r>
      <w:r w:rsidRPr="0055270B">
        <w:rPr>
          <w:b/>
          <w:bCs/>
          <w:iCs/>
        </w:rPr>
        <w:tab/>
        <w:t>Les modifications apportées au bouchon fusible ne peuvent</w:t>
      </w:r>
      <w:r w:rsidR="008B5C16">
        <w:rPr>
          <w:b/>
          <w:bCs/>
          <w:iCs/>
        </w:rPr>
        <w:t xml:space="preserve"> </w:t>
      </w:r>
      <w:r w:rsidRPr="0055270B">
        <w:rPr>
          <w:b/>
          <w:bCs/>
          <w:iCs/>
        </w:rPr>
        <w:t>porter que sur la longueur du tuyau qui relie la soupape à l’espace situé au-dessus de la surface de la phase liquide du GPL ;</w:t>
      </w:r>
    </w:p>
    <w:p w:rsidR="0055270B" w:rsidRPr="008B5C16" w:rsidRDefault="0055270B" w:rsidP="008B5C16">
      <w:pPr>
        <w:pStyle w:val="SingleTxtG"/>
        <w:ind w:left="2835" w:hanging="567"/>
        <w:rPr>
          <w:b/>
          <w:bCs/>
          <w:iCs/>
        </w:rPr>
      </w:pPr>
      <w:r w:rsidRPr="0055270B">
        <w:rPr>
          <w:b/>
          <w:bCs/>
          <w:iCs/>
        </w:rPr>
        <w:t>c)</w:t>
      </w:r>
      <w:r w:rsidRPr="0055270B">
        <w:rPr>
          <w:b/>
          <w:bCs/>
          <w:iCs/>
        </w:rPr>
        <w:tab/>
        <w:t>Le limiteur de remplissage à 80 % ne peut</w:t>
      </w:r>
      <w:r w:rsidR="008B5C16">
        <w:rPr>
          <w:b/>
          <w:bCs/>
          <w:iCs/>
        </w:rPr>
        <w:t xml:space="preserve"> </w:t>
      </w:r>
      <w:r w:rsidRPr="0055270B">
        <w:rPr>
          <w:b/>
          <w:bCs/>
          <w:iCs/>
        </w:rPr>
        <w:t>être modifié qu’afin de garantir le bon fonctionnement de la soupape conformément aux prescriptions du 6.15.1.3, sur toutes les réservoirs</w:t>
      </w:r>
      <w:r w:rsidR="008B5C16">
        <w:rPr>
          <w:b/>
          <w:bCs/>
          <w:iCs/>
        </w:rPr>
        <w:t xml:space="preserve"> </w:t>
      </w:r>
      <w:r w:rsidRPr="0055270B">
        <w:rPr>
          <w:b/>
          <w:bCs/>
          <w:iCs/>
        </w:rPr>
        <w:t>sur lesquelles il est destiné à être monté ;</w:t>
      </w:r>
    </w:p>
    <w:p w:rsidR="0055270B" w:rsidRPr="0055270B" w:rsidRDefault="0055270B" w:rsidP="008B5C16">
      <w:pPr>
        <w:pStyle w:val="SingleTxtG"/>
        <w:ind w:left="2552" w:hanging="1418"/>
        <w:rPr>
          <w:b/>
          <w:bCs/>
          <w:iCs/>
        </w:rPr>
      </w:pPr>
      <w:r w:rsidRPr="0055270B">
        <w:rPr>
          <w:b/>
          <w:bCs/>
          <w:iCs/>
        </w:rPr>
        <w:tab/>
        <w:t>si le service technique chargé de réaliser les</w:t>
      </w:r>
      <w:r w:rsidR="008B5C16">
        <w:rPr>
          <w:b/>
          <w:bCs/>
          <w:iCs/>
        </w:rPr>
        <w:t xml:space="preserve"> </w:t>
      </w:r>
      <w:r w:rsidRPr="0055270B">
        <w:rPr>
          <w:b/>
          <w:bCs/>
          <w:iCs/>
        </w:rPr>
        <w:t>essais d’homologation juge que</w:t>
      </w:r>
      <w:r w:rsidR="008B5C16">
        <w:rPr>
          <w:b/>
          <w:bCs/>
          <w:iCs/>
        </w:rPr>
        <w:t xml:space="preserve"> </w:t>
      </w:r>
      <w:r w:rsidRPr="0055270B">
        <w:rPr>
          <w:b/>
          <w:bCs/>
          <w:iCs/>
        </w:rPr>
        <w:t>c’est strictement nécessaire et ne nuit pas à la sécurité de</w:t>
      </w:r>
      <w:r w:rsidR="008B5C16">
        <w:rPr>
          <w:b/>
          <w:bCs/>
          <w:iCs/>
        </w:rPr>
        <w:t xml:space="preserve"> </w:t>
      </w:r>
      <w:r w:rsidRPr="0055270B">
        <w:rPr>
          <w:b/>
          <w:bCs/>
          <w:iCs/>
        </w:rPr>
        <w:t>fonctionnement.</w:t>
      </w:r>
    </w:p>
    <w:p w:rsidR="0055270B" w:rsidRPr="0055270B" w:rsidRDefault="0055270B" w:rsidP="008B5C16">
      <w:pPr>
        <w:pStyle w:val="SingleTxtG"/>
        <w:ind w:left="2552" w:hanging="1418"/>
        <w:rPr>
          <w:b/>
          <w:bCs/>
          <w:iCs/>
        </w:rPr>
      </w:pPr>
      <w:r w:rsidRPr="0055270B">
        <w:rPr>
          <w:b/>
          <w:bCs/>
          <w:iCs/>
        </w:rPr>
        <w:t>2.22</w:t>
      </w:r>
      <w:r w:rsidRPr="0055270B">
        <w:rPr>
          <w:b/>
          <w:bCs/>
          <w:iCs/>
        </w:rPr>
        <w:tab/>
        <w:t xml:space="preserve">Par </w:t>
      </w:r>
      <w:r w:rsidR="008B5C16">
        <w:rPr>
          <w:b/>
          <w:bCs/>
          <w:iCs/>
          <w:lang w:val="en-GB"/>
        </w:rPr>
        <w:t>“</w:t>
      </w:r>
      <w:r w:rsidRPr="0055270B">
        <w:rPr>
          <w:b/>
          <w:bCs/>
          <w:i/>
          <w:iCs/>
        </w:rPr>
        <w:t>type de soupape de surpression</w:t>
      </w:r>
      <w:r w:rsidR="008B5C16">
        <w:rPr>
          <w:b/>
          <w:bCs/>
          <w:i/>
          <w:iCs/>
          <w:lang w:val="en-GB"/>
        </w:rPr>
        <w:t>”</w:t>
      </w:r>
      <w:r w:rsidRPr="0055270B">
        <w:rPr>
          <w:b/>
          <w:bCs/>
          <w:iCs/>
        </w:rPr>
        <w:t>, des soupapes de surpression qui ne présentent pas entre elles de différences</w:t>
      </w:r>
      <w:r w:rsidR="008B5C16">
        <w:rPr>
          <w:b/>
          <w:bCs/>
          <w:iCs/>
        </w:rPr>
        <w:t xml:space="preserve"> </w:t>
      </w:r>
      <w:r w:rsidRPr="0055270B">
        <w:rPr>
          <w:b/>
          <w:bCs/>
          <w:iCs/>
        </w:rPr>
        <w:t>quant à leur conception et aux</w:t>
      </w:r>
      <w:r w:rsidR="008B5C16">
        <w:rPr>
          <w:b/>
          <w:bCs/>
          <w:iCs/>
        </w:rPr>
        <w:t xml:space="preserve"> </w:t>
      </w:r>
      <w:r w:rsidRPr="0055270B">
        <w:rPr>
          <w:b/>
          <w:bCs/>
          <w:iCs/>
        </w:rPr>
        <w:t>matériaux qui les composent, à l’exception de la modification mentionnée</w:t>
      </w:r>
      <w:r w:rsidR="008B5C16">
        <w:rPr>
          <w:b/>
          <w:bCs/>
          <w:iCs/>
        </w:rPr>
        <w:t xml:space="preserve"> </w:t>
      </w:r>
      <w:r w:rsidRPr="0055270B">
        <w:rPr>
          <w:b/>
          <w:bCs/>
          <w:iCs/>
        </w:rPr>
        <w:t xml:space="preserve">au </w:t>
      </w:r>
      <w:r w:rsidR="008B5C16">
        <w:rPr>
          <w:b/>
          <w:bCs/>
          <w:iCs/>
        </w:rPr>
        <w:t>paragraphe </w:t>
      </w:r>
      <w:r w:rsidRPr="0055270B">
        <w:rPr>
          <w:b/>
          <w:bCs/>
          <w:iCs/>
        </w:rPr>
        <w:t>2.22.1.</w:t>
      </w:r>
    </w:p>
    <w:p w:rsidR="0055270B" w:rsidRPr="0055270B" w:rsidRDefault="0055270B" w:rsidP="008B5C16">
      <w:pPr>
        <w:pStyle w:val="SingleTxtG"/>
        <w:ind w:left="2552" w:hanging="1418"/>
        <w:rPr>
          <w:b/>
          <w:bCs/>
          <w:iCs/>
        </w:rPr>
      </w:pPr>
      <w:r w:rsidRPr="0055270B">
        <w:rPr>
          <w:b/>
          <w:bCs/>
          <w:iCs/>
        </w:rPr>
        <w:t>2.22.1</w:t>
      </w:r>
      <w:r w:rsidRPr="0055270B">
        <w:rPr>
          <w:b/>
          <w:bCs/>
          <w:iCs/>
        </w:rPr>
        <w:tab/>
        <w:t xml:space="preserve">Par </w:t>
      </w:r>
      <w:r w:rsidR="008B5C16">
        <w:rPr>
          <w:b/>
          <w:bCs/>
          <w:iCs/>
          <w:lang w:val="en-GB"/>
        </w:rPr>
        <w:t>“</w:t>
      </w:r>
      <w:r w:rsidRPr="0055270B">
        <w:rPr>
          <w:b/>
          <w:bCs/>
          <w:i/>
          <w:iCs/>
        </w:rPr>
        <w:t>version de soupape de surpression</w:t>
      </w:r>
      <w:r w:rsidR="008B5C16">
        <w:rPr>
          <w:b/>
          <w:bCs/>
          <w:i/>
          <w:iCs/>
          <w:lang w:val="en-GB"/>
        </w:rPr>
        <w:t>”</w:t>
      </w:r>
      <w:r w:rsidRPr="0055270B">
        <w:rPr>
          <w:b/>
          <w:bCs/>
          <w:iCs/>
        </w:rPr>
        <w:t>, des soupapes de surpression destinées à être utilisées sur</w:t>
      </w:r>
      <w:r w:rsidR="008B5C16">
        <w:rPr>
          <w:b/>
          <w:bCs/>
          <w:iCs/>
        </w:rPr>
        <w:t xml:space="preserve"> </w:t>
      </w:r>
      <w:r w:rsidRPr="0055270B">
        <w:rPr>
          <w:b/>
          <w:bCs/>
          <w:iCs/>
        </w:rPr>
        <w:t xml:space="preserve">des types différents de </w:t>
      </w:r>
      <w:r w:rsidR="008B5C16">
        <w:rPr>
          <w:b/>
          <w:bCs/>
          <w:iCs/>
        </w:rPr>
        <w:t>réservoirs</w:t>
      </w:r>
      <w:r w:rsidRPr="0055270B">
        <w:rPr>
          <w:b/>
          <w:bCs/>
          <w:iCs/>
        </w:rPr>
        <w:t>.</w:t>
      </w:r>
    </w:p>
    <w:p w:rsidR="0055270B" w:rsidRPr="0055270B" w:rsidRDefault="0055270B" w:rsidP="008B5C16">
      <w:pPr>
        <w:pStyle w:val="SingleTxtG"/>
        <w:ind w:left="2552" w:hanging="1418"/>
        <w:rPr>
          <w:b/>
          <w:bCs/>
          <w:iCs/>
        </w:rPr>
      </w:pPr>
      <w:r w:rsidRPr="0055270B">
        <w:rPr>
          <w:b/>
          <w:bCs/>
          <w:iCs/>
        </w:rPr>
        <w:tab/>
        <w:t>L’adaptation d’une soupape de surpression ne peut</w:t>
      </w:r>
      <w:r w:rsidR="008B5C16">
        <w:rPr>
          <w:b/>
          <w:bCs/>
          <w:iCs/>
        </w:rPr>
        <w:t xml:space="preserve"> </w:t>
      </w:r>
      <w:r w:rsidRPr="0055270B">
        <w:rPr>
          <w:b/>
          <w:bCs/>
          <w:iCs/>
        </w:rPr>
        <w:t>porter que sur la longueur du tuyau qui relie la soupape à l’espace situé au-dessus de la surface de la phase liquide du GPL et sur la méthode d’installation de la soupape, s’agissant, par exemple, de modifier le type de filetage ou le diamètre de l’emboîtement de montage, si le service technique chargé de réaliser les épreuves d’homologation juge que c’est strictement nécessaire et ne nuit pas à la sécurité</w:t>
      </w:r>
      <w:r w:rsidR="008B5C16">
        <w:rPr>
          <w:b/>
          <w:bCs/>
          <w:iCs/>
        </w:rPr>
        <w:t xml:space="preserve"> </w:t>
      </w:r>
      <w:r w:rsidRPr="0055270B">
        <w:rPr>
          <w:b/>
          <w:bCs/>
          <w:iCs/>
        </w:rPr>
        <w:t>de fonctionnement.</w:t>
      </w:r>
    </w:p>
    <w:p w:rsidR="0055270B" w:rsidRPr="0055270B" w:rsidRDefault="0055270B" w:rsidP="008B5C16">
      <w:pPr>
        <w:pStyle w:val="SingleTxtG"/>
        <w:ind w:left="2552" w:hanging="1418"/>
        <w:rPr>
          <w:b/>
          <w:bCs/>
          <w:iCs/>
        </w:rPr>
      </w:pPr>
      <w:r w:rsidRPr="0055270B">
        <w:rPr>
          <w:b/>
          <w:bCs/>
          <w:iCs/>
        </w:rPr>
        <w:t>2.23</w:t>
      </w:r>
      <w:r w:rsidRPr="0055270B">
        <w:rPr>
          <w:b/>
          <w:bCs/>
          <w:iCs/>
        </w:rPr>
        <w:tab/>
        <w:t xml:space="preserve">Par </w:t>
      </w:r>
      <w:r w:rsidR="008B5C16">
        <w:rPr>
          <w:b/>
          <w:bCs/>
          <w:iCs/>
          <w:lang w:val="en-GB"/>
        </w:rPr>
        <w:t>“</w:t>
      </w:r>
      <w:r w:rsidRPr="0055270B">
        <w:rPr>
          <w:b/>
          <w:bCs/>
          <w:i/>
          <w:iCs/>
        </w:rPr>
        <w:t>bouchon fusible</w:t>
      </w:r>
      <w:r w:rsidR="008B5C16">
        <w:rPr>
          <w:b/>
          <w:bCs/>
          <w:i/>
          <w:iCs/>
          <w:lang w:val="en-GB"/>
        </w:rPr>
        <w:t>”</w:t>
      </w:r>
      <w:r w:rsidRPr="0055270B">
        <w:rPr>
          <w:b/>
          <w:bCs/>
          <w:iCs/>
        </w:rPr>
        <w:t xml:space="preserve"> (déclenché par la température), un dispositif qui s’ouvre de manière permanente lorsque la température dépasse une valeur prédéfinie afin de purger le carburant GPL du réservoir</w:t>
      </w:r>
      <w:r w:rsidR="008B5C16">
        <w:rPr>
          <w:b/>
          <w:bCs/>
          <w:iCs/>
        </w:rPr>
        <w:t xml:space="preserve"> </w:t>
      </w:r>
      <w:r w:rsidRPr="0055270B">
        <w:rPr>
          <w:b/>
          <w:bCs/>
          <w:iCs/>
        </w:rPr>
        <w:t>en cas d’incendie.</w:t>
      </w:r>
    </w:p>
    <w:p w:rsidR="0055270B" w:rsidRPr="0055270B" w:rsidRDefault="0055270B" w:rsidP="008B5C16">
      <w:pPr>
        <w:pStyle w:val="SingleTxtG"/>
        <w:ind w:left="2552" w:hanging="1418"/>
        <w:rPr>
          <w:b/>
          <w:bCs/>
          <w:iCs/>
        </w:rPr>
      </w:pPr>
      <w:r w:rsidRPr="0055270B">
        <w:rPr>
          <w:b/>
          <w:bCs/>
          <w:iCs/>
        </w:rPr>
        <w:lastRenderedPageBreak/>
        <w:t>2.23.1</w:t>
      </w:r>
      <w:r w:rsidRPr="0055270B">
        <w:rPr>
          <w:b/>
          <w:bCs/>
          <w:iCs/>
        </w:rPr>
        <w:tab/>
        <w:t xml:space="preserve">Par </w:t>
      </w:r>
      <w:r w:rsidR="008B5C16">
        <w:rPr>
          <w:b/>
          <w:bCs/>
          <w:iCs/>
          <w:lang w:val="en-GB"/>
        </w:rPr>
        <w:t>“</w:t>
      </w:r>
      <w:r w:rsidRPr="0055270B">
        <w:rPr>
          <w:b/>
          <w:bCs/>
          <w:i/>
          <w:iCs/>
        </w:rPr>
        <w:t>type de bouchon fusible</w:t>
      </w:r>
      <w:r w:rsidR="008B5C16">
        <w:rPr>
          <w:b/>
          <w:bCs/>
          <w:i/>
          <w:iCs/>
          <w:lang w:val="en-GB"/>
        </w:rPr>
        <w:t>”</w:t>
      </w:r>
      <w:r w:rsidRPr="0055270B">
        <w:rPr>
          <w:b/>
          <w:bCs/>
          <w:iCs/>
        </w:rPr>
        <w:t>, des bouchons fusibles qui ne présentent pas entre eux de différences</w:t>
      </w:r>
      <w:r w:rsidR="008B5C16">
        <w:rPr>
          <w:b/>
          <w:bCs/>
          <w:iCs/>
        </w:rPr>
        <w:t xml:space="preserve"> </w:t>
      </w:r>
      <w:r w:rsidRPr="0055270B">
        <w:rPr>
          <w:b/>
          <w:bCs/>
          <w:iCs/>
        </w:rPr>
        <w:t>quant à</w:t>
      </w:r>
      <w:r w:rsidR="008B5C16">
        <w:rPr>
          <w:b/>
          <w:bCs/>
          <w:iCs/>
        </w:rPr>
        <w:t xml:space="preserve"> </w:t>
      </w:r>
      <w:r w:rsidRPr="0055270B">
        <w:rPr>
          <w:b/>
          <w:bCs/>
          <w:iCs/>
        </w:rPr>
        <w:t>leur conception et aux</w:t>
      </w:r>
      <w:r w:rsidR="008B5C16">
        <w:rPr>
          <w:b/>
          <w:bCs/>
          <w:iCs/>
        </w:rPr>
        <w:t xml:space="preserve"> </w:t>
      </w:r>
      <w:r w:rsidRPr="0055270B">
        <w:rPr>
          <w:b/>
          <w:bCs/>
          <w:iCs/>
        </w:rPr>
        <w:t>matériaux qui les composent, à l’exception de la modification</w:t>
      </w:r>
      <w:r w:rsidR="008B5C16">
        <w:rPr>
          <w:b/>
          <w:bCs/>
          <w:iCs/>
        </w:rPr>
        <w:t xml:space="preserve"> </w:t>
      </w:r>
      <w:r w:rsidRPr="0055270B">
        <w:rPr>
          <w:b/>
          <w:bCs/>
          <w:iCs/>
        </w:rPr>
        <w:t>mentionnée au paragraphe 2.23.2.</w:t>
      </w:r>
    </w:p>
    <w:p w:rsidR="0055270B" w:rsidRPr="0055270B" w:rsidRDefault="0055270B" w:rsidP="008B5C16">
      <w:pPr>
        <w:pStyle w:val="SingleTxtG"/>
        <w:ind w:left="2552" w:hanging="1418"/>
        <w:rPr>
          <w:b/>
          <w:bCs/>
          <w:iCs/>
        </w:rPr>
      </w:pPr>
      <w:r w:rsidRPr="0055270B">
        <w:rPr>
          <w:b/>
          <w:bCs/>
          <w:iCs/>
        </w:rPr>
        <w:t>2.23.2</w:t>
      </w:r>
      <w:r w:rsidRPr="0055270B">
        <w:rPr>
          <w:b/>
          <w:bCs/>
          <w:iCs/>
        </w:rPr>
        <w:tab/>
        <w:t xml:space="preserve">Par </w:t>
      </w:r>
      <w:r w:rsidR="008B5C16">
        <w:rPr>
          <w:b/>
          <w:bCs/>
          <w:i/>
          <w:iCs/>
          <w:lang w:val="en-GB"/>
        </w:rPr>
        <w:t>“</w:t>
      </w:r>
      <w:r w:rsidRPr="0055270B">
        <w:rPr>
          <w:b/>
          <w:bCs/>
          <w:i/>
          <w:iCs/>
        </w:rPr>
        <w:t>versions de bouchon fusible</w:t>
      </w:r>
      <w:r w:rsidR="008B5C16">
        <w:rPr>
          <w:b/>
          <w:bCs/>
          <w:i/>
          <w:iCs/>
          <w:lang w:val="en-GB"/>
        </w:rPr>
        <w:t>”</w:t>
      </w:r>
      <w:r w:rsidRPr="0055270B">
        <w:rPr>
          <w:b/>
          <w:bCs/>
          <w:iCs/>
        </w:rPr>
        <w:t>, des bouchons fusibles destinés à être utilisés sur</w:t>
      </w:r>
      <w:r w:rsidR="008B5C16">
        <w:rPr>
          <w:b/>
          <w:bCs/>
          <w:iCs/>
        </w:rPr>
        <w:t xml:space="preserve"> </w:t>
      </w:r>
      <w:r w:rsidRPr="0055270B">
        <w:rPr>
          <w:b/>
          <w:bCs/>
          <w:iCs/>
        </w:rPr>
        <w:t xml:space="preserve">des types différents de </w:t>
      </w:r>
      <w:r w:rsidR="008B5C16">
        <w:rPr>
          <w:b/>
          <w:bCs/>
          <w:iCs/>
        </w:rPr>
        <w:t>réservoirs</w:t>
      </w:r>
      <w:r w:rsidRPr="0055270B">
        <w:rPr>
          <w:b/>
          <w:bCs/>
          <w:iCs/>
        </w:rPr>
        <w:t>.</w:t>
      </w:r>
    </w:p>
    <w:p w:rsidR="0055270B" w:rsidRPr="0055270B" w:rsidRDefault="0055270B" w:rsidP="008B5C16">
      <w:pPr>
        <w:pStyle w:val="SingleTxtG"/>
        <w:ind w:left="2552" w:hanging="1418"/>
        <w:rPr>
          <w:bCs/>
          <w:iCs/>
        </w:rPr>
      </w:pPr>
      <w:r w:rsidRPr="0055270B">
        <w:rPr>
          <w:b/>
          <w:bCs/>
          <w:iCs/>
        </w:rPr>
        <w:tab/>
        <w:t>L’adaptation d’un bouchon fusible ne peut</w:t>
      </w:r>
      <w:r w:rsidR="008B5C16">
        <w:rPr>
          <w:b/>
          <w:bCs/>
          <w:iCs/>
        </w:rPr>
        <w:t xml:space="preserve"> </w:t>
      </w:r>
      <w:r w:rsidRPr="0055270B">
        <w:rPr>
          <w:b/>
          <w:bCs/>
          <w:iCs/>
        </w:rPr>
        <w:t>porter que sur la longueur du tuyau qui relie la soupape à l’espace situé au-dessus de la surface de la phase liquide du GPL et sur la méthode d’installation du bouchon, s’agissant, par exemple, de modifier le type de filetage ou le diamètre de l’emboîtement de montage, si le service technique chargé de réaliser les épreuves d’homologation juge que</w:t>
      </w:r>
      <w:r w:rsidR="008B5C16">
        <w:rPr>
          <w:b/>
          <w:bCs/>
          <w:iCs/>
        </w:rPr>
        <w:t xml:space="preserve"> </w:t>
      </w:r>
      <w:r w:rsidRPr="0055270B">
        <w:rPr>
          <w:b/>
          <w:bCs/>
          <w:iCs/>
        </w:rPr>
        <w:t>c'est strictement nécessaire et ne nuit pas à la sécurité</w:t>
      </w:r>
      <w:r w:rsidR="008B5C16">
        <w:rPr>
          <w:b/>
          <w:bCs/>
          <w:iCs/>
        </w:rPr>
        <w:t xml:space="preserve"> </w:t>
      </w:r>
      <w:r w:rsidRPr="0055270B">
        <w:rPr>
          <w:b/>
          <w:bCs/>
          <w:iCs/>
        </w:rPr>
        <w:t>de fonctionnement</w:t>
      </w:r>
      <w:r w:rsidRPr="0055270B">
        <w:t> ».</w:t>
      </w:r>
    </w:p>
    <w:p w:rsidR="0055270B" w:rsidRPr="0055270B" w:rsidRDefault="0055270B" w:rsidP="0055270B">
      <w:pPr>
        <w:pStyle w:val="SingleTxtG"/>
        <w:rPr>
          <w:bCs/>
          <w:iCs/>
        </w:rPr>
      </w:pPr>
      <w:r w:rsidRPr="0055270B">
        <w:rPr>
          <w:bCs/>
          <w:i/>
          <w:iCs/>
        </w:rPr>
        <w:t>Paragraphes 6.15.8.5 et 6.15.8.6</w:t>
      </w:r>
      <w:r w:rsidRPr="0055270B">
        <w:t>, modifier comme suit :</w:t>
      </w:r>
    </w:p>
    <w:p w:rsidR="0055270B" w:rsidRPr="0055270B" w:rsidRDefault="0055270B" w:rsidP="008B5C16">
      <w:pPr>
        <w:pStyle w:val="SingleTxtG"/>
        <w:ind w:left="2552" w:hanging="1418"/>
        <w:rPr>
          <w:bCs/>
          <w:iCs/>
        </w:rPr>
      </w:pPr>
      <w:r w:rsidRPr="0055270B">
        <w:t>« 6.15.8.5</w:t>
      </w:r>
      <w:r w:rsidRPr="0055270B">
        <w:tab/>
        <w:t xml:space="preserve">Le </w:t>
      </w:r>
      <w:r w:rsidRPr="00996EFD">
        <w:rPr>
          <w:bCs/>
          <w:iCs/>
          <w:strike/>
        </w:rPr>
        <w:t>dispositif de surpression (fusible)</w:t>
      </w:r>
      <w:r w:rsidRPr="0055270B">
        <w:t xml:space="preserve"> </w:t>
      </w:r>
      <w:r w:rsidRPr="0055270B">
        <w:rPr>
          <w:b/>
          <w:bCs/>
          <w:iCs/>
        </w:rPr>
        <w:t>bouchon fusible</w:t>
      </w:r>
      <w:r w:rsidRPr="0055270B">
        <w:t xml:space="preserve"> doit être conçu pour s’</w:t>
      </w:r>
      <w:r w:rsidR="008B5C16">
        <w:t>ouvrir à une température de 120 ± 10 </w:t>
      </w:r>
      <w:r w:rsidRPr="0055270B">
        <w:t>°C.</w:t>
      </w:r>
    </w:p>
    <w:p w:rsidR="0055270B" w:rsidRPr="0055270B" w:rsidRDefault="0055270B" w:rsidP="008B5C16">
      <w:pPr>
        <w:pStyle w:val="SingleTxtG"/>
        <w:ind w:left="2552" w:hanging="1418"/>
        <w:rPr>
          <w:bCs/>
          <w:iCs/>
        </w:rPr>
      </w:pPr>
      <w:r w:rsidRPr="0055270B">
        <w:t>6.15.8.6</w:t>
      </w:r>
      <w:r w:rsidRPr="0055270B">
        <w:tab/>
        <w:t xml:space="preserve">Le </w:t>
      </w:r>
      <w:r w:rsidRPr="00996EFD">
        <w:rPr>
          <w:bCs/>
          <w:iCs/>
          <w:strike/>
        </w:rPr>
        <w:t>dispositif de surpression (fusible)</w:t>
      </w:r>
      <w:r w:rsidRPr="0055270B">
        <w:t xml:space="preserve"> </w:t>
      </w:r>
      <w:r w:rsidRPr="0055270B">
        <w:rPr>
          <w:b/>
          <w:bCs/>
          <w:iCs/>
        </w:rPr>
        <w:t>bouchon fusible</w:t>
      </w:r>
      <w:r w:rsidRPr="0055270B">
        <w:t xml:space="preserve"> doit être conçu pour avoir, en position ouverte, un débit de :</w:t>
      </w:r>
    </w:p>
    <w:p w:rsidR="0055270B" w:rsidRPr="0055270B" w:rsidRDefault="002D52C8" w:rsidP="008B5C16">
      <w:pPr>
        <w:pStyle w:val="SingleTxtG"/>
        <w:ind w:left="2552" w:hanging="1418"/>
        <w:rPr>
          <w:bCs/>
          <w:iCs/>
        </w:rPr>
      </w:pPr>
      <w:r>
        <w:tab/>
        <w:t>…</w:t>
      </w:r>
      <w:r w:rsidR="0055270B" w:rsidRPr="0055270B">
        <w:t> ».</w:t>
      </w:r>
    </w:p>
    <w:p w:rsidR="0055270B" w:rsidRPr="0055270B" w:rsidRDefault="0055270B" w:rsidP="0055270B">
      <w:pPr>
        <w:pStyle w:val="SingleTxtG"/>
        <w:rPr>
          <w:bCs/>
          <w:iCs/>
        </w:rPr>
      </w:pPr>
      <w:r w:rsidRPr="0055270B">
        <w:rPr>
          <w:bCs/>
          <w:i/>
          <w:iCs/>
        </w:rPr>
        <w:t>Paragraphe 17.3.1.13</w:t>
      </w:r>
      <w:r w:rsidRPr="0055270B">
        <w:t>, modifier comme suit :</w:t>
      </w:r>
    </w:p>
    <w:p w:rsidR="0055270B" w:rsidRPr="0055270B" w:rsidRDefault="0055270B" w:rsidP="008B5C16">
      <w:pPr>
        <w:pStyle w:val="SingleTxtG"/>
        <w:ind w:left="2268" w:hanging="1134"/>
        <w:rPr>
          <w:bCs/>
          <w:iCs/>
        </w:rPr>
      </w:pPr>
      <w:r w:rsidRPr="0055270B">
        <w:t>« 17.3.1.13</w:t>
      </w:r>
      <w:r w:rsidRPr="0055270B">
        <w:tab/>
        <w:t>Dispositif de surpression</w:t>
      </w:r>
      <w:r w:rsidRPr="0055270B">
        <w:rPr>
          <w:bCs/>
          <w:iCs/>
        </w:rPr>
        <w:t xml:space="preserve"> </w:t>
      </w:r>
      <w:r w:rsidRPr="00996EFD">
        <w:rPr>
          <w:bCs/>
          <w:iCs/>
          <w:strike/>
        </w:rPr>
        <w:t>(fusible)</w:t>
      </w:r>
      <w:r w:rsidRPr="0055270B">
        <w:t> ».</w:t>
      </w:r>
    </w:p>
    <w:p w:rsidR="0055270B" w:rsidRPr="0055270B" w:rsidRDefault="008B5C16" w:rsidP="0055270B">
      <w:pPr>
        <w:pStyle w:val="SingleTxtG"/>
        <w:rPr>
          <w:bCs/>
          <w:iCs/>
        </w:rPr>
      </w:pPr>
      <w:r>
        <w:rPr>
          <w:bCs/>
          <w:i/>
          <w:iCs/>
        </w:rPr>
        <w:t>Ajouter un nouveau paragraphe </w:t>
      </w:r>
      <w:r w:rsidR="0055270B" w:rsidRPr="0055270B">
        <w:rPr>
          <w:bCs/>
          <w:i/>
          <w:iCs/>
        </w:rPr>
        <w:t>22.6</w:t>
      </w:r>
      <w:r w:rsidR="0055270B" w:rsidRPr="0055270B">
        <w:t>, libellé comme suit :</w:t>
      </w:r>
    </w:p>
    <w:p w:rsidR="0055270B" w:rsidRPr="0055270B" w:rsidRDefault="0055270B" w:rsidP="002D52C8">
      <w:pPr>
        <w:pStyle w:val="SingleTxtG"/>
        <w:spacing w:after="240"/>
        <w:ind w:left="2552" w:hanging="1418"/>
        <w:rPr>
          <w:bCs/>
          <w:iCs/>
        </w:rPr>
      </w:pPr>
      <w:r w:rsidRPr="008B5C16">
        <w:t>«</w:t>
      </w:r>
      <w:r w:rsidR="002D52C8">
        <w:t> </w:t>
      </w:r>
      <w:r w:rsidRPr="0055270B">
        <w:rPr>
          <w:b/>
        </w:rPr>
        <w:t>22.6</w:t>
      </w:r>
      <w:r w:rsidRPr="0055270B">
        <w:rPr>
          <w:b/>
        </w:rPr>
        <w:tab/>
        <w:t xml:space="preserve">Passé un délai de 12 mois après la date officielle d’entrée en vigueur du présent Règlement, tel que modifié </w:t>
      </w:r>
      <w:r w:rsidR="008B5C16">
        <w:rPr>
          <w:b/>
        </w:rPr>
        <w:t>par le complément XX à la série </w:t>
      </w:r>
      <w:r w:rsidRPr="0055270B">
        <w:rPr>
          <w:b/>
        </w:rPr>
        <w:t>01 d’amendements, les Parties contractantes appliquant le présent Règlement ne pourront accorder des homologations de type que si</w:t>
      </w:r>
      <w:r w:rsidR="008B5C16">
        <w:rPr>
          <w:b/>
        </w:rPr>
        <w:t xml:space="preserve"> </w:t>
      </w:r>
      <w:r w:rsidRPr="0055270B">
        <w:rPr>
          <w:b/>
        </w:rPr>
        <w:t xml:space="preserve"> l’élément à homologuer satisfait aux prescriptions</w:t>
      </w:r>
      <w:r w:rsidR="008B5C16">
        <w:rPr>
          <w:b/>
        </w:rPr>
        <w:t xml:space="preserve"> </w:t>
      </w:r>
      <w:r w:rsidRPr="0055270B">
        <w:rPr>
          <w:b/>
        </w:rPr>
        <w:t>de ce</w:t>
      </w:r>
      <w:r w:rsidR="008B5C16">
        <w:rPr>
          <w:b/>
        </w:rPr>
        <w:t xml:space="preserve"> </w:t>
      </w:r>
      <w:r w:rsidRPr="0055270B">
        <w:rPr>
          <w:b/>
        </w:rPr>
        <w:t>Règlement tel que modifié par le complément XX à la série 01 d’amendements</w:t>
      </w:r>
      <w:r w:rsidR="002D52C8">
        <w:rPr>
          <w:b/>
        </w:rPr>
        <w:t> </w:t>
      </w:r>
      <w:r w:rsidRPr="0055270B">
        <w:t>».</w:t>
      </w:r>
    </w:p>
    <w:p w:rsidR="0055270B" w:rsidRPr="008B5C16" w:rsidRDefault="008B5C16" w:rsidP="002D52C8">
      <w:pPr>
        <w:pStyle w:val="SingleTxtG"/>
        <w:keepNext/>
        <w:keepLines/>
      </w:pPr>
      <w:r>
        <w:rPr>
          <w:bCs/>
          <w:i/>
          <w:iCs/>
        </w:rPr>
        <w:t>Annexe </w:t>
      </w:r>
      <w:r w:rsidR="0055270B" w:rsidRPr="0055270B">
        <w:rPr>
          <w:bCs/>
          <w:i/>
          <w:iCs/>
        </w:rPr>
        <w:t>1</w:t>
      </w:r>
      <w:r w:rsidR="0055270B" w:rsidRPr="008B5C16">
        <w:t>,</w:t>
      </w:r>
    </w:p>
    <w:p w:rsidR="0055270B" w:rsidRPr="0055270B" w:rsidRDefault="0055270B" w:rsidP="002D52C8">
      <w:pPr>
        <w:pStyle w:val="SingleTxtG"/>
        <w:keepNext/>
        <w:keepLines/>
        <w:rPr>
          <w:bCs/>
          <w:iCs/>
        </w:rPr>
      </w:pPr>
      <w:r w:rsidRPr="0055270B">
        <w:rPr>
          <w:bCs/>
          <w:i/>
          <w:iCs/>
        </w:rPr>
        <w:t>Ajouter les nouveaux points 1.2.4.5.8.4 à 1.2.4.5.8.4.6</w:t>
      </w:r>
      <w:r w:rsidR="008B5C16">
        <w:t>, ainsi conçus :</w:t>
      </w:r>
    </w:p>
    <w:p w:rsidR="0055270B" w:rsidRPr="0055270B" w:rsidRDefault="0055270B" w:rsidP="002D52C8">
      <w:pPr>
        <w:pStyle w:val="SingleTxtG"/>
        <w:tabs>
          <w:tab w:val="right" w:leader="dot" w:pos="8505"/>
        </w:tabs>
        <w:ind w:left="2552" w:hanging="1418"/>
        <w:rPr>
          <w:b/>
          <w:bCs/>
          <w:iCs/>
        </w:rPr>
      </w:pPr>
      <w:r w:rsidRPr="008B5C16">
        <w:t>«</w:t>
      </w:r>
      <w:r w:rsidR="002D52C8">
        <w:t> </w:t>
      </w:r>
      <w:r w:rsidRPr="0055270B">
        <w:rPr>
          <w:b/>
          <w:bCs/>
          <w:iCs/>
        </w:rPr>
        <w:t>1.2.4.5.8.4</w:t>
      </w:r>
      <w:r w:rsidRPr="0055270B">
        <w:rPr>
          <w:b/>
          <w:bCs/>
          <w:iCs/>
        </w:rPr>
        <w:tab/>
        <w:t>Bouchon fusible</w:t>
      </w:r>
      <w:r w:rsidR="002D52C8">
        <w:rPr>
          <w:b/>
          <w:bCs/>
          <w:iCs/>
        </w:rPr>
        <w:t xml:space="preserve"> : </w:t>
      </w:r>
      <w:r w:rsidR="008B5C16">
        <w:rPr>
          <w:b/>
          <w:bCs/>
          <w:iCs/>
        </w:rPr>
        <w:tab/>
      </w:r>
    </w:p>
    <w:p w:rsidR="0055270B" w:rsidRPr="0055270B" w:rsidRDefault="0055270B" w:rsidP="002D52C8">
      <w:pPr>
        <w:pStyle w:val="SingleTxtG"/>
        <w:tabs>
          <w:tab w:val="right" w:leader="dot" w:pos="8505"/>
        </w:tabs>
        <w:ind w:left="2552" w:hanging="1418"/>
        <w:rPr>
          <w:b/>
        </w:rPr>
      </w:pPr>
      <w:r w:rsidRPr="0055270B">
        <w:rPr>
          <w:b/>
        </w:rPr>
        <w:t>1.2.4.5.8.4.1</w:t>
      </w:r>
      <w:r w:rsidRPr="0055270B">
        <w:rPr>
          <w:b/>
        </w:rPr>
        <w:tab/>
        <w:t>Marque(s)</w:t>
      </w:r>
      <w:r w:rsidR="002D52C8">
        <w:rPr>
          <w:b/>
        </w:rPr>
        <w:t> </w:t>
      </w:r>
      <w:r w:rsidRPr="0055270B">
        <w:rPr>
          <w:b/>
        </w:rPr>
        <w:t xml:space="preserve">: </w:t>
      </w:r>
      <w:r w:rsidRPr="0055270B">
        <w:rPr>
          <w:b/>
        </w:rPr>
        <w:tab/>
      </w:r>
    </w:p>
    <w:p w:rsidR="0055270B" w:rsidRPr="0055270B" w:rsidRDefault="0055270B" w:rsidP="002D52C8">
      <w:pPr>
        <w:pStyle w:val="SingleTxtG"/>
        <w:tabs>
          <w:tab w:val="right" w:leader="dot" w:pos="8505"/>
        </w:tabs>
        <w:ind w:left="2552" w:hanging="1418"/>
        <w:rPr>
          <w:b/>
        </w:rPr>
      </w:pPr>
      <w:r w:rsidRPr="0055270B">
        <w:rPr>
          <w:b/>
        </w:rPr>
        <w:t>1.2.4.5.8.4.2</w:t>
      </w:r>
      <w:r w:rsidRPr="0055270B">
        <w:rPr>
          <w:b/>
        </w:rPr>
        <w:tab/>
        <w:t>Type(s)</w:t>
      </w:r>
      <w:r w:rsidR="002D52C8">
        <w:rPr>
          <w:b/>
        </w:rPr>
        <w:t> </w:t>
      </w:r>
      <w:r w:rsidRPr="0055270B">
        <w:rPr>
          <w:b/>
        </w:rPr>
        <w:t xml:space="preserve">: </w:t>
      </w:r>
      <w:r w:rsidRPr="0055270B">
        <w:rPr>
          <w:b/>
        </w:rPr>
        <w:tab/>
      </w:r>
    </w:p>
    <w:p w:rsidR="0055270B" w:rsidRPr="0055270B" w:rsidRDefault="0055270B" w:rsidP="002D52C8">
      <w:pPr>
        <w:pStyle w:val="SingleTxtG"/>
        <w:tabs>
          <w:tab w:val="right" w:leader="dot" w:pos="8505"/>
        </w:tabs>
        <w:ind w:left="2552" w:hanging="1418"/>
        <w:rPr>
          <w:b/>
        </w:rPr>
      </w:pPr>
      <w:r w:rsidRPr="0055270B">
        <w:rPr>
          <w:b/>
        </w:rPr>
        <w:t>1.2.4.5.8.4.3</w:t>
      </w:r>
      <w:r w:rsidRPr="0055270B">
        <w:rPr>
          <w:b/>
        </w:rPr>
        <w:tab/>
        <w:t>Description et schémas</w:t>
      </w:r>
      <w:r w:rsidR="002D52C8">
        <w:rPr>
          <w:b/>
        </w:rPr>
        <w:t> </w:t>
      </w:r>
      <w:r w:rsidRPr="0055270B">
        <w:rPr>
          <w:b/>
        </w:rPr>
        <w:t xml:space="preserve">: </w:t>
      </w:r>
      <w:r w:rsidRPr="0055270B">
        <w:rPr>
          <w:b/>
        </w:rPr>
        <w:tab/>
      </w:r>
    </w:p>
    <w:p w:rsidR="0055270B" w:rsidRPr="0055270B" w:rsidRDefault="0055270B" w:rsidP="002D52C8">
      <w:pPr>
        <w:pStyle w:val="SingleTxtG"/>
        <w:tabs>
          <w:tab w:val="right" w:leader="dot" w:pos="8505"/>
        </w:tabs>
        <w:ind w:left="2552" w:hanging="1418"/>
        <w:rPr>
          <w:b/>
        </w:rPr>
      </w:pPr>
      <w:r w:rsidRPr="0055270B">
        <w:rPr>
          <w:b/>
        </w:rPr>
        <w:t>1.2.4.5.8.4.4</w:t>
      </w:r>
      <w:r w:rsidRPr="0055270B">
        <w:rPr>
          <w:b/>
        </w:rPr>
        <w:tab/>
        <w:t>Température de fonctionnement</w:t>
      </w:r>
      <w:r w:rsidR="002D52C8">
        <w:rPr>
          <w:b/>
        </w:rPr>
        <w:t> </w:t>
      </w:r>
      <w:r w:rsidRPr="0055270B">
        <w:rPr>
          <w:b/>
        </w:rPr>
        <w:t xml:space="preserve">: </w:t>
      </w:r>
      <w:r w:rsidRPr="0055270B">
        <w:rPr>
          <w:b/>
        </w:rPr>
        <w:tab/>
      </w:r>
    </w:p>
    <w:p w:rsidR="0055270B" w:rsidRPr="0055270B" w:rsidRDefault="0055270B" w:rsidP="002D52C8">
      <w:pPr>
        <w:pStyle w:val="SingleTxtG"/>
        <w:tabs>
          <w:tab w:val="right" w:leader="dot" w:pos="8505"/>
        </w:tabs>
        <w:ind w:left="2552" w:hanging="1418"/>
        <w:rPr>
          <w:b/>
        </w:rPr>
      </w:pPr>
      <w:r w:rsidRPr="0055270B">
        <w:rPr>
          <w:b/>
        </w:rPr>
        <w:t>1.2.4.5.8.4.5</w:t>
      </w:r>
      <w:r w:rsidRPr="0055270B">
        <w:rPr>
          <w:b/>
        </w:rPr>
        <w:tab/>
        <w:t>Matériau</w:t>
      </w:r>
      <w:r w:rsidR="002D52C8">
        <w:rPr>
          <w:b/>
        </w:rPr>
        <w:t> </w:t>
      </w:r>
      <w:r w:rsidRPr="0055270B">
        <w:rPr>
          <w:b/>
        </w:rPr>
        <w:t xml:space="preserve">: </w:t>
      </w:r>
      <w:r w:rsidRPr="0055270B">
        <w:rPr>
          <w:b/>
        </w:rPr>
        <w:tab/>
      </w:r>
    </w:p>
    <w:p w:rsidR="0055270B" w:rsidRPr="0055270B" w:rsidRDefault="0055270B" w:rsidP="002D52C8">
      <w:pPr>
        <w:pStyle w:val="SingleTxtG"/>
        <w:tabs>
          <w:tab w:val="right" w:leader="dot" w:pos="8505"/>
        </w:tabs>
        <w:ind w:left="2552" w:hanging="1418"/>
      </w:pPr>
      <w:r w:rsidRPr="0055270B">
        <w:rPr>
          <w:b/>
        </w:rPr>
        <w:t>1.2.4.5.8.4.6</w:t>
      </w:r>
      <w:r w:rsidRPr="0055270B">
        <w:rPr>
          <w:b/>
        </w:rPr>
        <w:tab/>
        <w:t>Débit dans les conditions normales de fonctionnement</w:t>
      </w:r>
      <w:r w:rsidR="002D52C8">
        <w:rPr>
          <w:b/>
        </w:rPr>
        <w:t> </w:t>
      </w:r>
      <w:r w:rsidRPr="0055270B">
        <w:rPr>
          <w:b/>
        </w:rPr>
        <w:t xml:space="preserve">: </w:t>
      </w:r>
      <w:r w:rsidRPr="0055270B">
        <w:rPr>
          <w:b/>
        </w:rPr>
        <w:tab/>
      </w:r>
      <w:r w:rsidR="002D52C8">
        <w:rPr>
          <w:b/>
        </w:rPr>
        <w:t> </w:t>
      </w:r>
      <w:r w:rsidRPr="0055270B">
        <w:t>».</w:t>
      </w:r>
    </w:p>
    <w:p w:rsidR="0055270B" w:rsidRPr="0055270B" w:rsidRDefault="0055270B" w:rsidP="002D52C8">
      <w:pPr>
        <w:pStyle w:val="SingleTxtG"/>
        <w:spacing w:after="240"/>
        <w:rPr>
          <w:bCs/>
          <w:iCs/>
        </w:rPr>
      </w:pPr>
      <w:r w:rsidRPr="0055270B">
        <w:rPr>
          <w:bCs/>
          <w:i/>
          <w:iCs/>
        </w:rPr>
        <w:t xml:space="preserve">Les points 1.2.4.5.8.4 à 1.2.4.5.8.8.3 </w:t>
      </w:r>
      <w:r w:rsidRPr="0055270B">
        <w:t>deviennent les points 1.2.4.5.8.5 à 1.2.4.5.8.9.3.</w:t>
      </w:r>
    </w:p>
    <w:p w:rsidR="0055270B" w:rsidRPr="0055270B" w:rsidRDefault="0055270B" w:rsidP="008B5C16">
      <w:pPr>
        <w:pStyle w:val="SingleTxtG"/>
        <w:ind w:left="2552" w:hanging="1418"/>
        <w:rPr>
          <w:bCs/>
          <w:i/>
          <w:iCs/>
        </w:rPr>
      </w:pPr>
      <w:r w:rsidRPr="0055270B">
        <w:rPr>
          <w:i/>
        </w:rPr>
        <w:t>Annexe 2B, point 1</w:t>
      </w:r>
      <w:r w:rsidRPr="0055270B">
        <w:t xml:space="preserve">, </w:t>
      </w:r>
      <w:r w:rsidR="00996EFD" w:rsidRPr="0055270B">
        <w:t>modifié</w:t>
      </w:r>
      <w:r w:rsidRPr="0055270B">
        <w:t xml:space="preserve"> comme suit:</w:t>
      </w:r>
    </w:p>
    <w:p w:rsidR="0055270B" w:rsidRPr="0055270B" w:rsidRDefault="002D52C8" w:rsidP="008B5C16">
      <w:pPr>
        <w:pStyle w:val="SingleTxtG"/>
        <w:ind w:left="2552" w:hanging="1418"/>
        <w:rPr>
          <w:bCs/>
          <w:iCs/>
        </w:rPr>
      </w:pPr>
      <w:r>
        <w:t>« 1.</w:t>
      </w:r>
      <w:r>
        <w:tab/>
        <w:t>Équipement GPL…</w:t>
      </w:r>
    </w:p>
    <w:p w:rsidR="0055270B" w:rsidRPr="0055270B" w:rsidRDefault="002D52C8" w:rsidP="008B5C16">
      <w:pPr>
        <w:pStyle w:val="SingleTxtG"/>
        <w:ind w:left="2552" w:hanging="1418"/>
        <w:rPr>
          <w:bCs/>
          <w:iCs/>
        </w:rPr>
      </w:pPr>
      <w:r>
        <w:tab/>
        <w:t>…</w:t>
      </w:r>
    </w:p>
    <w:p w:rsidR="0055270B" w:rsidRPr="0055270B" w:rsidRDefault="0055270B" w:rsidP="008B5C16">
      <w:pPr>
        <w:pStyle w:val="SingleTxtG"/>
        <w:ind w:left="2552" w:hanging="1418"/>
        <w:rPr>
          <w:bCs/>
          <w:iCs/>
        </w:rPr>
      </w:pPr>
      <w:r w:rsidRPr="0055270B">
        <w:tab/>
        <w:t>Soupape de surpression</w:t>
      </w:r>
    </w:p>
    <w:p w:rsidR="0055270B" w:rsidRPr="0055270B" w:rsidRDefault="0055270B" w:rsidP="008B5C16">
      <w:pPr>
        <w:pStyle w:val="SingleTxtG"/>
        <w:ind w:left="2552" w:hanging="1418"/>
        <w:rPr>
          <w:b/>
          <w:bCs/>
          <w:iCs/>
        </w:rPr>
      </w:pPr>
      <w:r w:rsidRPr="0055270B">
        <w:tab/>
      </w:r>
      <w:r w:rsidRPr="0055270B">
        <w:rPr>
          <w:b/>
          <w:bCs/>
          <w:iCs/>
        </w:rPr>
        <w:t>Bouchon fusible</w:t>
      </w:r>
    </w:p>
    <w:p w:rsidR="0055270B" w:rsidRPr="0055270B" w:rsidRDefault="0055270B" w:rsidP="008B5C16">
      <w:pPr>
        <w:pStyle w:val="SingleTxtG"/>
        <w:ind w:left="2552" w:hanging="1418"/>
        <w:rPr>
          <w:bCs/>
          <w:iCs/>
        </w:rPr>
      </w:pPr>
      <w:r w:rsidRPr="0055270B">
        <w:lastRenderedPageBreak/>
        <w:tab/>
        <w:t>Vanne d’isolement télécommandée avec limiteur de débit</w:t>
      </w:r>
    </w:p>
    <w:p w:rsidR="0055270B" w:rsidRPr="0055270B" w:rsidRDefault="002D52C8" w:rsidP="002D52C8">
      <w:pPr>
        <w:pStyle w:val="SingleTxtG"/>
        <w:spacing w:after="240"/>
        <w:ind w:left="2552" w:hanging="1418"/>
        <w:rPr>
          <w:bCs/>
          <w:iCs/>
        </w:rPr>
      </w:pPr>
      <w:r>
        <w:tab/>
        <w:t>… </w:t>
      </w:r>
      <w:r w:rsidR="0055270B" w:rsidRPr="0055270B">
        <w:t>».</w:t>
      </w:r>
    </w:p>
    <w:p w:rsidR="0055270B" w:rsidRPr="0055270B" w:rsidRDefault="002D52C8" w:rsidP="0055270B">
      <w:pPr>
        <w:pStyle w:val="SingleTxtG"/>
        <w:rPr>
          <w:bCs/>
          <w:i/>
          <w:iCs/>
        </w:rPr>
      </w:pPr>
      <w:r>
        <w:rPr>
          <w:bCs/>
          <w:i/>
          <w:iCs/>
        </w:rPr>
        <w:t>Annexe </w:t>
      </w:r>
      <w:r w:rsidR="0055270B" w:rsidRPr="0055270B">
        <w:rPr>
          <w:bCs/>
          <w:i/>
          <w:iCs/>
        </w:rPr>
        <w:t>3</w:t>
      </w:r>
    </w:p>
    <w:p w:rsidR="0055270B" w:rsidRPr="0055270B" w:rsidRDefault="0055270B" w:rsidP="0055270B">
      <w:pPr>
        <w:pStyle w:val="SingleTxtG"/>
        <w:rPr>
          <w:bCs/>
          <w:i/>
          <w:iCs/>
        </w:rPr>
      </w:pPr>
      <w:r w:rsidRPr="0055270B">
        <w:rPr>
          <w:i/>
        </w:rPr>
        <w:t>Paragraphe 7.4</w:t>
      </w:r>
      <w:r w:rsidRPr="0055270B">
        <w:t>, modifier comme suit :</w:t>
      </w:r>
    </w:p>
    <w:p w:rsidR="0055270B" w:rsidRPr="0055270B" w:rsidRDefault="0055270B" w:rsidP="008B5C16">
      <w:pPr>
        <w:pStyle w:val="SingleTxtG"/>
        <w:ind w:left="2552" w:hanging="1418"/>
        <w:rPr>
          <w:bCs/>
          <w:iCs/>
        </w:rPr>
      </w:pPr>
      <w:r w:rsidRPr="0055270B">
        <w:t>«</w:t>
      </w:r>
      <w:r w:rsidR="002D52C8">
        <w:t> </w:t>
      </w:r>
      <w:r w:rsidRPr="0055270B">
        <w:t>7.4</w:t>
      </w:r>
      <w:r w:rsidRPr="0055270B">
        <w:tab/>
        <w:t>Températures nominales</w:t>
      </w:r>
    </w:p>
    <w:p w:rsidR="0055270B" w:rsidRPr="0055270B" w:rsidRDefault="0055270B" w:rsidP="008B5C16">
      <w:pPr>
        <w:pStyle w:val="SingleTxtG"/>
        <w:ind w:left="2552" w:hanging="1418"/>
        <w:rPr>
          <w:bCs/>
          <w:iCs/>
        </w:rPr>
      </w:pPr>
      <w:r w:rsidRPr="0055270B">
        <w:tab/>
        <w:t xml:space="preserve">Le </w:t>
      </w:r>
      <w:r w:rsidRPr="00996EFD">
        <w:rPr>
          <w:strike/>
        </w:rPr>
        <w:t>dispositif de surpression (fusible)</w:t>
      </w:r>
      <w:r w:rsidRPr="0055270B">
        <w:rPr>
          <w:b/>
        </w:rPr>
        <w:t xml:space="preserve"> bouchon fusible</w:t>
      </w:r>
      <w:r w:rsidRPr="0055270B">
        <w:t xml:space="preserve"> doit être conçu pour s’ouvri</w:t>
      </w:r>
      <w:r w:rsidR="002D52C8">
        <w:t>r à une température de 120 ± 10 </w:t>
      </w:r>
      <w:r w:rsidRPr="0055270B">
        <w:t>°C</w:t>
      </w:r>
      <w:r w:rsidR="002D52C8">
        <w:t> </w:t>
      </w:r>
      <w:r w:rsidRPr="0055270B">
        <w:t>».</w:t>
      </w:r>
    </w:p>
    <w:p w:rsidR="0055270B" w:rsidRPr="0055270B" w:rsidRDefault="002D52C8" w:rsidP="0055270B">
      <w:pPr>
        <w:pStyle w:val="SingleTxtG"/>
        <w:rPr>
          <w:bCs/>
          <w:iCs/>
        </w:rPr>
      </w:pPr>
      <w:r>
        <w:rPr>
          <w:i/>
        </w:rPr>
        <w:t>Paragraphe </w:t>
      </w:r>
      <w:r w:rsidR="0055270B" w:rsidRPr="0055270B">
        <w:rPr>
          <w:i/>
        </w:rPr>
        <w:t>7.7</w:t>
      </w:r>
      <w:r w:rsidR="0055270B" w:rsidRPr="0055270B">
        <w:t>, modifier comme suit :</w:t>
      </w:r>
    </w:p>
    <w:p w:rsidR="0055270B" w:rsidRPr="0055270B" w:rsidRDefault="0055270B" w:rsidP="008B5C16">
      <w:pPr>
        <w:pStyle w:val="SingleTxtG"/>
        <w:ind w:left="2552" w:hanging="1418"/>
        <w:rPr>
          <w:bCs/>
          <w:iCs/>
        </w:rPr>
      </w:pPr>
      <w:r w:rsidRPr="0055270B">
        <w:t>«</w:t>
      </w:r>
      <w:r w:rsidR="002D52C8">
        <w:t> </w:t>
      </w:r>
      <w:r w:rsidRPr="0055270B">
        <w:t>7.7</w:t>
      </w:r>
      <w:r w:rsidRPr="0055270B">
        <w:tab/>
        <w:t xml:space="preserve">Prescriptions relatives au </w:t>
      </w:r>
      <w:r w:rsidRPr="00996EFD">
        <w:rPr>
          <w:strike/>
        </w:rPr>
        <w:t>dispositif de surpression (fusible)</w:t>
      </w:r>
      <w:r w:rsidRPr="0055270B">
        <w:rPr>
          <w:b/>
        </w:rPr>
        <w:t xml:space="preserve"> bouchon fusible</w:t>
      </w:r>
    </w:p>
    <w:p w:rsidR="0055270B" w:rsidRPr="0055270B" w:rsidRDefault="0055270B" w:rsidP="008B5C16">
      <w:pPr>
        <w:pStyle w:val="SingleTxtG"/>
        <w:ind w:left="2552" w:hanging="1418"/>
        <w:rPr>
          <w:bCs/>
          <w:iCs/>
        </w:rPr>
      </w:pPr>
      <w:r w:rsidRPr="0055270B">
        <w:tab/>
        <w:t xml:space="preserve">Pour s’assurer qu’il est compatible avec les conditions d’utilisation, on soumet le </w:t>
      </w:r>
      <w:r w:rsidRPr="00996EFD">
        <w:rPr>
          <w:strike/>
        </w:rPr>
        <w:t>dispositif de surpression (fusible)</w:t>
      </w:r>
      <w:r w:rsidRPr="0055270B">
        <w:rPr>
          <w:b/>
        </w:rPr>
        <w:t xml:space="preserve"> bouchon fusible</w:t>
      </w:r>
      <w:r w:rsidRPr="0055270B">
        <w:t xml:space="preserve"> défini par le</w:t>
      </w:r>
      <w:r w:rsidR="00996EFD">
        <w:t> </w:t>
      </w:r>
      <w:r w:rsidRPr="0055270B">
        <w:t>fabricant aux essais suivants</w:t>
      </w:r>
      <w:r w:rsidR="002D52C8">
        <w:t> </w:t>
      </w:r>
      <w:r w:rsidRPr="0055270B">
        <w:t>:</w:t>
      </w:r>
    </w:p>
    <w:p w:rsidR="0055270B" w:rsidRPr="0055270B" w:rsidRDefault="002D52C8" w:rsidP="008B5C16">
      <w:pPr>
        <w:pStyle w:val="SingleTxtG"/>
        <w:ind w:left="2552" w:hanging="1418"/>
        <w:rPr>
          <w:bCs/>
          <w:iCs/>
        </w:rPr>
      </w:pPr>
      <w:r>
        <w:tab/>
        <w:t>… </w:t>
      </w:r>
      <w:r w:rsidR="0055270B" w:rsidRPr="0055270B">
        <w:t>».</w:t>
      </w:r>
    </w:p>
    <w:p w:rsidR="0055270B" w:rsidRPr="0055270B" w:rsidRDefault="002D52C8" w:rsidP="0055270B">
      <w:pPr>
        <w:pStyle w:val="SingleTxtG"/>
        <w:rPr>
          <w:bCs/>
          <w:iCs/>
        </w:rPr>
      </w:pPr>
      <w:r>
        <w:rPr>
          <w:bCs/>
          <w:i/>
          <w:iCs/>
        </w:rPr>
        <w:t>Annexe 10, paragraphe 2.6.2 </w:t>
      </w:r>
      <w:r w:rsidR="0055270B" w:rsidRPr="0055270B">
        <w:rPr>
          <w:bCs/>
          <w:i/>
          <w:iCs/>
        </w:rPr>
        <w:t>b)</w:t>
      </w:r>
      <w:r>
        <w:t>, modifier comme suit :</w:t>
      </w:r>
    </w:p>
    <w:p w:rsidR="0055270B" w:rsidRPr="0055270B" w:rsidRDefault="0055270B" w:rsidP="008B5C16">
      <w:pPr>
        <w:pStyle w:val="SingleTxtG"/>
        <w:ind w:left="2552" w:hanging="1418"/>
        <w:rPr>
          <w:bCs/>
          <w:iCs/>
        </w:rPr>
      </w:pPr>
      <w:r w:rsidRPr="0055270B">
        <w:t>« 2.6.2</w:t>
      </w:r>
      <w:r w:rsidRPr="0055270B">
        <w:tab/>
        <w:t>Mise en place du réservoir</w:t>
      </w:r>
    </w:p>
    <w:p w:rsidR="0055270B" w:rsidRPr="0055270B" w:rsidRDefault="002D52C8" w:rsidP="008B5C16">
      <w:pPr>
        <w:pStyle w:val="SingleTxtG"/>
        <w:ind w:left="2552" w:hanging="1418"/>
        <w:rPr>
          <w:bCs/>
          <w:iCs/>
        </w:rPr>
      </w:pPr>
      <w:r>
        <w:tab/>
        <w:t>…</w:t>
      </w:r>
    </w:p>
    <w:p w:rsidR="0055270B" w:rsidRPr="0055270B" w:rsidRDefault="0055270B" w:rsidP="002D52C8">
      <w:pPr>
        <w:pStyle w:val="SingleTxtG"/>
        <w:ind w:left="3119" w:hanging="567"/>
        <w:rPr>
          <w:bCs/>
          <w:iCs/>
        </w:rPr>
      </w:pPr>
      <w:r w:rsidRPr="0055270B">
        <w:t>b)</w:t>
      </w:r>
      <w:r w:rsidRPr="0055270B">
        <w:tab/>
        <w:t xml:space="preserve">Un écran doit empêcher tout contact direct entre les flammes et le bouchon fusible </w:t>
      </w:r>
      <w:r w:rsidRPr="00996EFD">
        <w:rPr>
          <w:strike/>
        </w:rPr>
        <w:t>(dispositif de surpression)</w:t>
      </w:r>
      <w:r w:rsidRPr="0055270B">
        <w:t xml:space="preserve"> si le réservoir en est équipé. L’écran ne doit pas toucher directement le bouchon fusible </w:t>
      </w:r>
      <w:r w:rsidRPr="00996EFD">
        <w:rPr>
          <w:strike/>
        </w:rPr>
        <w:t>(dispositif de surpression)</w:t>
      </w:r>
      <w:r w:rsidR="00996EFD" w:rsidRPr="00996EFD">
        <w:t> </w:t>
      </w:r>
      <w:r w:rsidR="00996EFD">
        <w:t>;</w:t>
      </w:r>
    </w:p>
    <w:p w:rsidR="0055270B" w:rsidRPr="0055270B" w:rsidRDefault="002D52C8" w:rsidP="008B5C16">
      <w:pPr>
        <w:pStyle w:val="SingleTxtG"/>
        <w:ind w:left="2552" w:hanging="1418"/>
        <w:rPr>
          <w:bCs/>
          <w:iCs/>
        </w:rPr>
      </w:pPr>
      <w:r>
        <w:tab/>
        <w:t>… </w:t>
      </w:r>
      <w:r w:rsidR="0055270B" w:rsidRPr="0055270B">
        <w:t>».</w:t>
      </w:r>
    </w:p>
    <w:p w:rsidR="0055270B" w:rsidRPr="0055270B" w:rsidRDefault="0055270B" w:rsidP="00996EFD">
      <w:pPr>
        <w:pStyle w:val="HChG"/>
      </w:pPr>
      <w:r w:rsidRPr="0055270B">
        <w:tab/>
        <w:t>II.</w:t>
      </w:r>
      <w:r w:rsidRPr="0055270B">
        <w:tab/>
        <w:t>Justification</w:t>
      </w:r>
    </w:p>
    <w:p w:rsidR="0055270B" w:rsidRPr="006F2A6A" w:rsidRDefault="0055270B" w:rsidP="00996EFD">
      <w:pPr>
        <w:pStyle w:val="H1G"/>
        <w:rPr>
          <w:b w:val="0"/>
        </w:rPr>
      </w:pPr>
      <w:r w:rsidRPr="006F2A6A">
        <w:rPr>
          <w:b w:val="0"/>
        </w:rPr>
        <w:tab/>
        <w:t>A.</w:t>
      </w:r>
      <w:r w:rsidRPr="006F2A6A">
        <w:rPr>
          <w:b w:val="0"/>
        </w:rPr>
        <w:tab/>
      </w:r>
      <w:r w:rsidR="00996EFD" w:rsidRPr="006F2A6A">
        <w:rPr>
          <w:b w:val="0"/>
        </w:rPr>
        <w:t>Introduction</w:t>
      </w:r>
    </w:p>
    <w:p w:rsidR="0055270B" w:rsidRPr="0055270B" w:rsidRDefault="0055270B" w:rsidP="0055270B">
      <w:pPr>
        <w:pStyle w:val="SingleTxtG"/>
      </w:pPr>
      <w:r w:rsidRPr="0055270B">
        <w:t>1.</w:t>
      </w:r>
      <w:r w:rsidRPr="0055270B">
        <w:tab/>
        <w:t>La présente proposition concerne</w:t>
      </w:r>
      <w:r w:rsidR="008B5C16">
        <w:t xml:space="preserve"> </w:t>
      </w:r>
      <w:r w:rsidRPr="0055270B">
        <w:t xml:space="preserve">des amendements au Règlement </w:t>
      </w:r>
      <w:r w:rsidR="00996EFD" w:rsidRPr="002D76F4">
        <w:rPr>
          <w:rFonts w:eastAsia="MS Mincho"/>
          <w:szCs w:val="22"/>
        </w:rPr>
        <w:t>n</w:t>
      </w:r>
      <w:r w:rsidR="00996EFD" w:rsidRPr="002D76F4">
        <w:rPr>
          <w:rFonts w:eastAsia="MS Mincho"/>
          <w:szCs w:val="22"/>
          <w:vertAlign w:val="superscript"/>
        </w:rPr>
        <w:t>o</w:t>
      </w:r>
      <w:r w:rsidRPr="0055270B">
        <w:t> 67</w:t>
      </w:r>
      <w:r w:rsidR="008B5C16">
        <w:t xml:space="preserve"> </w:t>
      </w:r>
      <w:r w:rsidRPr="0055270B">
        <w:t>portant sur les définitions d’accessoires dont le type a été homologué pour une utilisation sur des</w:t>
      </w:r>
      <w:r w:rsidR="008B5C16">
        <w:t xml:space="preserve"> </w:t>
      </w:r>
      <w:r w:rsidRPr="0055270B">
        <w:t>réservoirs à GPL. Il s’agit de faciliter la coordination de l’homologation</w:t>
      </w:r>
      <w:r w:rsidR="008B5C16">
        <w:t xml:space="preserve"> </w:t>
      </w:r>
      <w:r w:rsidRPr="0055270B">
        <w:t>du réservoir à GPL et de ses accessoires.</w:t>
      </w:r>
    </w:p>
    <w:p w:rsidR="0055270B" w:rsidRPr="0055270B" w:rsidRDefault="0055270B" w:rsidP="0055270B">
      <w:pPr>
        <w:pStyle w:val="SingleTxtG"/>
      </w:pPr>
      <w:r w:rsidRPr="0055270B">
        <w:t>2.</w:t>
      </w:r>
      <w:r w:rsidRPr="0055270B">
        <w:tab/>
        <w:t>Cette proposition n’introduit aucune modification dans les prescriptions techniques ou les méthodes d’épreuves. Les modifications proposées visent à éviter que des accessoires</w:t>
      </w:r>
      <w:r w:rsidR="008B5C16">
        <w:t xml:space="preserve"> </w:t>
      </w:r>
      <w:r w:rsidRPr="0055270B">
        <w:t>soient mal choisis en raison de l’absence de dispositions explicites à ce sujet dans les certificats d’homologation de type délivrés pour les accessoires fixés au réservoir.</w:t>
      </w:r>
    </w:p>
    <w:p w:rsidR="0055270B" w:rsidRPr="006F2A6A" w:rsidRDefault="0055270B" w:rsidP="00996EFD">
      <w:pPr>
        <w:pStyle w:val="H1G"/>
        <w:rPr>
          <w:b w:val="0"/>
        </w:rPr>
      </w:pPr>
      <w:r w:rsidRPr="006F2A6A">
        <w:rPr>
          <w:b w:val="0"/>
        </w:rPr>
        <w:tab/>
        <w:t>B.</w:t>
      </w:r>
      <w:r w:rsidRPr="006F2A6A">
        <w:rPr>
          <w:b w:val="0"/>
        </w:rPr>
        <w:tab/>
      </w:r>
      <w:r w:rsidR="00996EFD" w:rsidRPr="006F2A6A">
        <w:rPr>
          <w:b w:val="0"/>
        </w:rPr>
        <w:t>Description du problème</w:t>
      </w:r>
    </w:p>
    <w:p w:rsidR="0055270B" w:rsidRPr="0055270B" w:rsidRDefault="0055270B" w:rsidP="0055270B">
      <w:pPr>
        <w:pStyle w:val="SingleTxtG"/>
      </w:pPr>
      <w:r w:rsidRPr="0055270B">
        <w:t>3.</w:t>
      </w:r>
      <w:r w:rsidRPr="0055270B">
        <w:tab/>
        <w:t xml:space="preserve">Selon le Règlement </w:t>
      </w:r>
      <w:r w:rsidR="00996EFD" w:rsidRPr="002D76F4">
        <w:rPr>
          <w:rFonts w:eastAsia="MS Mincho"/>
          <w:szCs w:val="22"/>
        </w:rPr>
        <w:t>n</w:t>
      </w:r>
      <w:r w:rsidR="00996EFD" w:rsidRPr="002D76F4">
        <w:rPr>
          <w:rFonts w:eastAsia="MS Mincho"/>
          <w:szCs w:val="22"/>
          <w:vertAlign w:val="superscript"/>
        </w:rPr>
        <w:t>o</w:t>
      </w:r>
      <w:r w:rsidRPr="0055270B">
        <w:t> 67, l’homologation du réservoir à GPL et de ses accessoires relèvent de deux procédures distinctes. C’est pourquoi un certificat d’homologation de type est délivré pour chaque élément.</w:t>
      </w:r>
    </w:p>
    <w:p w:rsidR="0055270B" w:rsidRPr="0055270B" w:rsidRDefault="0055270B" w:rsidP="0055270B">
      <w:pPr>
        <w:pStyle w:val="SingleTxtG"/>
      </w:pPr>
      <w:r w:rsidRPr="0055270B">
        <w:t>4.</w:t>
      </w:r>
      <w:r w:rsidRPr="0055270B">
        <w:tab/>
        <w:t>Néanmoins, dans le cas d’un essai à la flamme vive, il est nécessaire, aux fins du processus d’homologation du type de réservoir à GPL, de contrôler le comportement</w:t>
      </w:r>
      <w:r w:rsidR="008B5C16">
        <w:t xml:space="preserve"> </w:t>
      </w:r>
      <w:r w:rsidRPr="0055270B">
        <w:t>du réservoir et de ses accessoires. Les accessoires ont pour fonction de purger le réservoir assez rapidement pour limiter la pression maximale et ainsi protéger</w:t>
      </w:r>
      <w:r w:rsidR="008B5C16">
        <w:t xml:space="preserve"> </w:t>
      </w:r>
      <w:r w:rsidRPr="0055270B">
        <w:t>sa paroi</w:t>
      </w:r>
      <w:r w:rsidR="008B5C16">
        <w:t xml:space="preserve"> </w:t>
      </w:r>
      <w:r w:rsidRPr="0055270B">
        <w:t>contre l’éclatement.</w:t>
      </w:r>
    </w:p>
    <w:p w:rsidR="0055270B" w:rsidRPr="0055270B" w:rsidRDefault="0055270B" w:rsidP="0055270B">
      <w:pPr>
        <w:pStyle w:val="SingleTxtG"/>
      </w:pPr>
      <w:r w:rsidRPr="0055270B">
        <w:t>5.</w:t>
      </w:r>
      <w:r w:rsidRPr="0055270B">
        <w:tab/>
        <w:t>L’homologation d’un jeu d’accessoires pouvant être fixés sur le réservoir</w:t>
      </w:r>
      <w:r w:rsidR="008B5C16">
        <w:t xml:space="preserve"> </w:t>
      </w:r>
      <w:r w:rsidRPr="0055270B">
        <w:t xml:space="preserve">est conditionnée par les résultats positifs de l’essai à la flamme vive, ce qui permet de garantir </w:t>
      </w:r>
      <w:r w:rsidRPr="0055270B">
        <w:lastRenderedPageBreak/>
        <w:t>que l’équipement a été convenablement sélectionné en fonction de la taille et du modèle</w:t>
      </w:r>
      <w:r w:rsidR="008B5C16">
        <w:t xml:space="preserve"> </w:t>
      </w:r>
      <w:r w:rsidRPr="0055270B">
        <w:t>du réservoir à GPL. Une fois cet essai effectué, on peut établir la liste des accessoires dont le type a été approuvé pour un réservoir</w:t>
      </w:r>
      <w:r w:rsidR="008B5C16">
        <w:t xml:space="preserve"> </w:t>
      </w:r>
      <w:r w:rsidRPr="0055270B">
        <w:t>particulier</w:t>
      </w:r>
      <w:r w:rsidR="008B5C16">
        <w:t xml:space="preserve"> </w:t>
      </w:r>
      <w:r w:rsidRPr="0055270B">
        <w:t xml:space="preserve">(Règlement </w:t>
      </w:r>
      <w:r w:rsidR="00996EFD" w:rsidRPr="002D76F4">
        <w:rPr>
          <w:rFonts w:eastAsia="MS Mincho"/>
          <w:szCs w:val="22"/>
        </w:rPr>
        <w:t>n</w:t>
      </w:r>
      <w:r w:rsidR="00996EFD" w:rsidRPr="002D76F4">
        <w:rPr>
          <w:rFonts w:eastAsia="MS Mincho"/>
          <w:szCs w:val="22"/>
          <w:vertAlign w:val="superscript"/>
        </w:rPr>
        <w:t>o</w:t>
      </w:r>
      <w:r w:rsidRPr="0055270B">
        <w:t> 67, annexe 10, par. 2.6).</w:t>
      </w:r>
    </w:p>
    <w:p w:rsidR="0055270B" w:rsidRPr="0055270B" w:rsidRDefault="0055270B" w:rsidP="0055270B">
      <w:pPr>
        <w:pStyle w:val="SingleTxtG"/>
      </w:pPr>
      <w:r w:rsidRPr="0055270B">
        <w:t>6.</w:t>
      </w:r>
      <w:r w:rsidRPr="0055270B">
        <w:tab/>
        <w:t>Les progrès techniques au niveau de la conception</w:t>
      </w:r>
      <w:r w:rsidR="008B5C16">
        <w:t xml:space="preserve"> </w:t>
      </w:r>
      <w:r w:rsidRPr="0055270B">
        <w:t>du réservoir font constamment évoluer les accessoires. C’est la raison pour laquelle</w:t>
      </w:r>
      <w:r w:rsidR="008B5C16">
        <w:t xml:space="preserve"> </w:t>
      </w:r>
      <w:r w:rsidRPr="0055270B">
        <w:t>des recherches sont menées et de nouvelles extensions d’homologations de type délivrées. En l’absence de définitions concernant les accessoires, il est possible d’apporter n’importe quelle modification technique à un produit déjà homologué, dans le cadre d’une seule et même homologation de</w:t>
      </w:r>
      <w:r w:rsidR="00996EFD">
        <w:t> </w:t>
      </w:r>
      <w:r w:rsidRPr="0055270B">
        <w:t>type.</w:t>
      </w:r>
    </w:p>
    <w:p w:rsidR="0055270B" w:rsidRPr="0055270B" w:rsidRDefault="00996EFD" w:rsidP="0055270B">
      <w:pPr>
        <w:pStyle w:val="SingleTxtG"/>
      </w:pPr>
      <w:r w:rsidRPr="0055270B">
        <w:t>7.</w:t>
      </w:r>
      <w:r w:rsidRPr="0055270B">
        <w:tab/>
        <w:t>Il est donc acceptable de modifier la conception d’un élément</w:t>
      </w:r>
      <w:r>
        <w:t xml:space="preserve"> </w:t>
      </w:r>
      <w:r w:rsidRPr="0055270B">
        <w:t>ayant une incidence sur la sécurité</w:t>
      </w:r>
      <w:r>
        <w:t xml:space="preserve"> </w:t>
      </w:r>
      <w:r w:rsidRPr="0055270B">
        <w:t xml:space="preserve">du réservoir (soupape de surpression ou fusible thermique) après son homologation en tant qu’accessoire pour </w:t>
      </w:r>
      <w:r>
        <w:t xml:space="preserve">réservoir. </w:t>
      </w:r>
      <w:r w:rsidR="0055270B" w:rsidRPr="0055270B">
        <w:t xml:space="preserve">En théorie tout est maîtrisé. </w:t>
      </w:r>
      <w:r w:rsidRPr="0055270B">
        <w:t>La nouvelle version d’un accessoire ne devrait pas être installée sur</w:t>
      </w:r>
      <w:r>
        <w:t xml:space="preserve"> </w:t>
      </w:r>
      <w:r w:rsidRPr="0055270B">
        <w:t>un réservoir avant que le dispositif en question</w:t>
      </w:r>
      <w:r>
        <w:t xml:space="preserve"> </w:t>
      </w:r>
      <w:r w:rsidRPr="0055270B">
        <w:t xml:space="preserve">ait été ajouté à la liste des accessoires admis pour </w:t>
      </w:r>
      <w:r>
        <w:t>le réservoir.</w:t>
      </w:r>
    </w:p>
    <w:p w:rsidR="0055270B" w:rsidRPr="0055270B" w:rsidRDefault="0055270B" w:rsidP="0055270B">
      <w:pPr>
        <w:pStyle w:val="SingleTxtG"/>
      </w:pPr>
      <w:r w:rsidRPr="0055270B">
        <w:t>8.</w:t>
      </w:r>
      <w:r w:rsidRPr="0055270B">
        <w:tab/>
        <w:t xml:space="preserve">Le fabricant est tenu d’indiquer sur le produit le numéro de l’homologation de type qui y correspond, mais pas celui de l’extension d’homologation éventuellement applicable (Règlement </w:t>
      </w:r>
      <w:r w:rsidR="00996EFD" w:rsidRPr="002D76F4">
        <w:rPr>
          <w:rFonts w:eastAsia="MS Mincho"/>
          <w:szCs w:val="22"/>
        </w:rPr>
        <w:t>n</w:t>
      </w:r>
      <w:r w:rsidR="00996EFD" w:rsidRPr="002D76F4">
        <w:rPr>
          <w:rFonts w:eastAsia="MS Mincho"/>
          <w:szCs w:val="22"/>
          <w:vertAlign w:val="superscript"/>
        </w:rPr>
        <w:t>o</w:t>
      </w:r>
      <w:r w:rsidRPr="0055270B">
        <w:t> 67, par. 4.1) ; on ne peut donc savoir avec certitude, en ayant sous les yeux un</w:t>
      </w:r>
      <w:r w:rsidR="008B5C16">
        <w:t xml:space="preserve"> </w:t>
      </w:r>
      <w:r w:rsidRPr="0055270B">
        <w:t xml:space="preserve">élément homologué au titre du Règlement </w:t>
      </w:r>
      <w:r w:rsidR="00996EFD" w:rsidRPr="002D76F4">
        <w:rPr>
          <w:rFonts w:eastAsia="MS Mincho"/>
          <w:szCs w:val="22"/>
        </w:rPr>
        <w:t>n</w:t>
      </w:r>
      <w:r w:rsidR="00996EFD" w:rsidRPr="002D76F4">
        <w:rPr>
          <w:rFonts w:eastAsia="MS Mincho"/>
          <w:szCs w:val="22"/>
          <w:vertAlign w:val="superscript"/>
        </w:rPr>
        <w:t>o</w:t>
      </w:r>
      <w:r w:rsidRPr="0055270B">
        <w:t> 67, si une extension d’homologation s’applique.</w:t>
      </w:r>
    </w:p>
    <w:p w:rsidR="0055270B" w:rsidRPr="0055270B" w:rsidRDefault="0055270B" w:rsidP="0055270B">
      <w:pPr>
        <w:pStyle w:val="SingleTxtG"/>
      </w:pPr>
      <w:r w:rsidRPr="0055270B">
        <w:t>9.</w:t>
      </w:r>
      <w:r w:rsidRPr="0055270B">
        <w:tab/>
        <w:t>En outre, un seul et même type</w:t>
      </w:r>
      <w:r w:rsidR="008B5C16">
        <w:t xml:space="preserve"> </w:t>
      </w:r>
      <w:r w:rsidRPr="0055270B">
        <w:t>d’élément peut correspondre à deux dispositifs ou davantage</w:t>
      </w:r>
      <w:r w:rsidR="008B5C16">
        <w:t xml:space="preserve"> </w:t>
      </w:r>
      <w:r w:rsidRPr="0055270B">
        <w:t>présentant entre eux des différences de construction fondamentales.</w:t>
      </w:r>
      <w:r w:rsidR="008B5C16">
        <w:t xml:space="preserve"> </w:t>
      </w:r>
      <w:r w:rsidRPr="0055270B">
        <w:t>Ces</w:t>
      </w:r>
      <w:r w:rsidR="00996EFD">
        <w:t> </w:t>
      </w:r>
      <w:r w:rsidRPr="0055270B">
        <w:t>dispositifs peuvent également être homologués sous deux versions d’un même type. Le fabricant est tenu d’indiquer sur le produit le type et le numéro de l’homologation</w:t>
      </w:r>
      <w:r w:rsidR="008B5C16">
        <w:t xml:space="preserve"> </w:t>
      </w:r>
      <w:r w:rsidRPr="0055270B">
        <w:t>qui y</w:t>
      </w:r>
      <w:r w:rsidR="00996EFD">
        <w:t> </w:t>
      </w:r>
      <w:r w:rsidRPr="0055270B">
        <w:t xml:space="preserve">correspondent, mais pas la version du produit (Règlement </w:t>
      </w:r>
      <w:r w:rsidR="00996EFD" w:rsidRPr="002D76F4">
        <w:rPr>
          <w:rFonts w:eastAsia="MS Mincho"/>
          <w:szCs w:val="22"/>
        </w:rPr>
        <w:t>n</w:t>
      </w:r>
      <w:r w:rsidR="00996EFD" w:rsidRPr="002D76F4">
        <w:rPr>
          <w:rFonts w:eastAsia="MS Mincho"/>
          <w:szCs w:val="22"/>
          <w:vertAlign w:val="superscript"/>
        </w:rPr>
        <w:t>o</w:t>
      </w:r>
      <w:r w:rsidRPr="0055270B">
        <w:t> 67, par. 4.1).</w:t>
      </w:r>
    </w:p>
    <w:p w:rsidR="00297A3A" w:rsidRDefault="0055270B" w:rsidP="0055270B">
      <w:pPr>
        <w:pStyle w:val="SingleTxtG"/>
      </w:pPr>
      <w:r w:rsidRPr="0055270B">
        <w:t>10.</w:t>
      </w:r>
      <w:r w:rsidRPr="0055270B">
        <w:tab/>
        <w:t>En introduisant les présentes propositions, l’expert de la Pologne</w:t>
      </w:r>
      <w:r w:rsidR="008B5C16">
        <w:t xml:space="preserve"> </w:t>
      </w:r>
      <w:r w:rsidRPr="0055270B">
        <w:t>cherche à préciser clairement les limites</w:t>
      </w:r>
      <w:r w:rsidR="008B5C16">
        <w:t xml:space="preserve"> </w:t>
      </w:r>
      <w:r w:rsidRPr="0055270B">
        <w:t>applicables, en ce qui concerne l’homologation des réservoirs</w:t>
      </w:r>
      <w:r w:rsidR="008B5C16">
        <w:t xml:space="preserve"> </w:t>
      </w:r>
      <w:r w:rsidRPr="0055270B">
        <w:t>à GPL,</w:t>
      </w:r>
      <w:r w:rsidR="008B5C16">
        <w:t xml:space="preserve"> </w:t>
      </w:r>
      <w:r w:rsidRPr="0055270B">
        <w:t>aux modifications apportées au niveau de la construction d’un accessoire dans le cadre d’un type de dispositifs homologué.</w:t>
      </w:r>
    </w:p>
    <w:p w:rsidR="00996EFD" w:rsidRPr="00996EFD" w:rsidRDefault="00996EFD" w:rsidP="00996EFD">
      <w:pPr>
        <w:pStyle w:val="SingleTxtG"/>
        <w:spacing w:before="240" w:after="0"/>
        <w:jc w:val="center"/>
        <w:rPr>
          <w:u w:val="single"/>
        </w:rPr>
      </w:pPr>
      <w:r>
        <w:rPr>
          <w:u w:val="single"/>
        </w:rPr>
        <w:tab/>
      </w:r>
      <w:r>
        <w:rPr>
          <w:u w:val="single"/>
        </w:rPr>
        <w:tab/>
      </w:r>
      <w:r>
        <w:rPr>
          <w:u w:val="single"/>
        </w:rPr>
        <w:tab/>
      </w:r>
    </w:p>
    <w:sectPr w:rsidR="00996EFD" w:rsidRPr="00996EFD" w:rsidSect="00297A3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E14" w:rsidRDefault="007A4E14" w:rsidP="00F95C08">
      <w:pPr>
        <w:spacing w:line="240" w:lineRule="auto"/>
      </w:pPr>
    </w:p>
  </w:endnote>
  <w:endnote w:type="continuationSeparator" w:id="0">
    <w:p w:rsidR="007A4E14" w:rsidRPr="00AC3823" w:rsidRDefault="007A4E14" w:rsidP="00AC3823">
      <w:pPr>
        <w:pStyle w:val="Pieddepage"/>
      </w:pPr>
    </w:p>
  </w:endnote>
  <w:endnote w:type="continuationNotice" w:id="1">
    <w:p w:rsidR="007A4E14" w:rsidRDefault="007A4E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A3A" w:rsidRPr="00297A3A" w:rsidRDefault="00297A3A" w:rsidP="00297A3A">
    <w:pPr>
      <w:pStyle w:val="Pieddepage"/>
      <w:tabs>
        <w:tab w:val="right" w:pos="9638"/>
      </w:tabs>
    </w:pPr>
    <w:r w:rsidRPr="00297A3A">
      <w:rPr>
        <w:b/>
        <w:sz w:val="18"/>
      </w:rPr>
      <w:fldChar w:fldCharType="begin"/>
    </w:r>
    <w:r w:rsidRPr="00297A3A">
      <w:rPr>
        <w:b/>
        <w:sz w:val="18"/>
      </w:rPr>
      <w:instrText xml:space="preserve"> PAGE  \* MERGEFORMAT </w:instrText>
    </w:r>
    <w:r w:rsidRPr="00297A3A">
      <w:rPr>
        <w:b/>
        <w:sz w:val="18"/>
      </w:rPr>
      <w:fldChar w:fldCharType="separate"/>
    </w:r>
    <w:r w:rsidR="00C25359">
      <w:rPr>
        <w:b/>
        <w:noProof/>
        <w:sz w:val="18"/>
      </w:rPr>
      <w:t>4</w:t>
    </w:r>
    <w:r w:rsidRPr="00297A3A">
      <w:rPr>
        <w:b/>
        <w:sz w:val="18"/>
      </w:rPr>
      <w:fldChar w:fldCharType="end"/>
    </w:r>
    <w:r>
      <w:rPr>
        <w:b/>
        <w:sz w:val="18"/>
      </w:rPr>
      <w:tab/>
    </w:r>
    <w:r>
      <w:t>GE.17-01525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A3A" w:rsidRPr="00297A3A" w:rsidRDefault="00297A3A" w:rsidP="00297A3A">
    <w:pPr>
      <w:pStyle w:val="Pieddepage"/>
      <w:tabs>
        <w:tab w:val="right" w:pos="9638"/>
      </w:tabs>
      <w:rPr>
        <w:b/>
        <w:sz w:val="18"/>
      </w:rPr>
    </w:pPr>
    <w:r>
      <w:t>GE.17-01525</w:t>
    </w:r>
    <w:r>
      <w:tab/>
    </w:r>
    <w:r w:rsidRPr="00297A3A">
      <w:rPr>
        <w:b/>
        <w:sz w:val="18"/>
      </w:rPr>
      <w:fldChar w:fldCharType="begin"/>
    </w:r>
    <w:r w:rsidRPr="00297A3A">
      <w:rPr>
        <w:b/>
        <w:sz w:val="18"/>
      </w:rPr>
      <w:instrText xml:space="preserve"> PAGE  \* MERGEFORMAT </w:instrText>
    </w:r>
    <w:r w:rsidRPr="00297A3A">
      <w:rPr>
        <w:b/>
        <w:sz w:val="18"/>
      </w:rPr>
      <w:fldChar w:fldCharType="separate"/>
    </w:r>
    <w:r w:rsidR="00C25359">
      <w:rPr>
        <w:b/>
        <w:noProof/>
        <w:sz w:val="18"/>
      </w:rPr>
      <w:t>5</w:t>
    </w:r>
    <w:r w:rsidRPr="00297A3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297A3A" w:rsidRDefault="00297A3A" w:rsidP="00297A3A">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21F24A1" wp14:editId="7FCCF3C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17-01525  (F)</w:t>
    </w:r>
    <w:r w:rsidR="0055270B">
      <w:rPr>
        <w:sz w:val="20"/>
      </w:rPr>
      <w:t xml:space="preserve">    200217    </w:t>
    </w:r>
    <w:r w:rsidR="0055270B" w:rsidRPr="00ED68D5">
      <w:rPr>
        <w:sz w:val="20"/>
      </w:rPr>
      <w:t>020317</w:t>
    </w:r>
    <w:r>
      <w:rPr>
        <w:sz w:val="20"/>
      </w:rPr>
      <w:br/>
    </w:r>
    <w:r w:rsidRPr="00297A3A">
      <w:rPr>
        <w:rFonts w:ascii="C39T30Lfz" w:hAnsi="C39T30Lfz"/>
        <w:sz w:val="56"/>
      </w:rPr>
      <w:t></w:t>
    </w:r>
    <w:r w:rsidRPr="00297A3A">
      <w:rPr>
        <w:rFonts w:ascii="C39T30Lfz" w:hAnsi="C39T30Lfz"/>
        <w:sz w:val="56"/>
      </w:rPr>
      <w:t></w:t>
    </w:r>
    <w:r w:rsidRPr="00297A3A">
      <w:rPr>
        <w:rFonts w:ascii="C39T30Lfz" w:hAnsi="C39T30Lfz"/>
        <w:sz w:val="56"/>
      </w:rPr>
      <w:t></w:t>
    </w:r>
    <w:r w:rsidRPr="00297A3A">
      <w:rPr>
        <w:rFonts w:ascii="C39T30Lfz" w:hAnsi="C39T30Lfz"/>
        <w:sz w:val="56"/>
      </w:rPr>
      <w:t></w:t>
    </w:r>
    <w:r w:rsidRPr="00297A3A">
      <w:rPr>
        <w:rFonts w:ascii="C39T30Lfz" w:hAnsi="C39T30Lfz"/>
        <w:sz w:val="56"/>
      </w:rPr>
      <w:t></w:t>
    </w:r>
    <w:r w:rsidRPr="00297A3A">
      <w:rPr>
        <w:rFonts w:ascii="C39T30Lfz" w:hAnsi="C39T30Lfz"/>
        <w:sz w:val="56"/>
      </w:rPr>
      <w:t></w:t>
    </w:r>
    <w:r w:rsidRPr="00297A3A">
      <w:rPr>
        <w:rFonts w:ascii="C39T30Lfz" w:hAnsi="C39T30Lfz"/>
        <w:sz w:val="56"/>
      </w:rPr>
      <w:t></w:t>
    </w:r>
    <w:r w:rsidRPr="00297A3A">
      <w:rPr>
        <w:rFonts w:ascii="C39T30Lfz" w:hAnsi="C39T30Lfz"/>
        <w:sz w:val="56"/>
      </w:rPr>
      <w:t></w:t>
    </w:r>
    <w:r w:rsidRPr="00297A3A">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undocs.org/m2/QRCode.ashx?DS=ECE/TRANS/WP.29/GRSG/2017/1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G/2017/1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E14" w:rsidRPr="00AC3823" w:rsidRDefault="007A4E14" w:rsidP="00AC3823">
      <w:pPr>
        <w:pStyle w:val="Pieddepage"/>
        <w:tabs>
          <w:tab w:val="right" w:pos="2155"/>
        </w:tabs>
        <w:spacing w:after="80" w:line="240" w:lineRule="atLeast"/>
        <w:ind w:left="680"/>
        <w:rPr>
          <w:u w:val="single"/>
        </w:rPr>
      </w:pPr>
      <w:r>
        <w:rPr>
          <w:u w:val="single"/>
        </w:rPr>
        <w:tab/>
      </w:r>
    </w:p>
  </w:footnote>
  <w:footnote w:type="continuationSeparator" w:id="0">
    <w:p w:rsidR="007A4E14" w:rsidRPr="00AC3823" w:rsidRDefault="007A4E14" w:rsidP="00AC3823">
      <w:pPr>
        <w:pStyle w:val="Pieddepage"/>
        <w:tabs>
          <w:tab w:val="right" w:pos="2155"/>
        </w:tabs>
        <w:spacing w:after="80" w:line="240" w:lineRule="atLeast"/>
        <w:ind w:left="680"/>
        <w:rPr>
          <w:u w:val="single"/>
        </w:rPr>
      </w:pPr>
      <w:r>
        <w:rPr>
          <w:u w:val="single"/>
        </w:rPr>
        <w:tab/>
      </w:r>
    </w:p>
  </w:footnote>
  <w:footnote w:type="continuationNotice" w:id="1">
    <w:p w:rsidR="007A4E14" w:rsidRPr="00AC3823" w:rsidRDefault="007A4E14">
      <w:pPr>
        <w:spacing w:line="240" w:lineRule="auto"/>
        <w:rPr>
          <w:sz w:val="2"/>
          <w:szCs w:val="2"/>
        </w:rPr>
      </w:pPr>
    </w:p>
  </w:footnote>
  <w:footnote w:id="2">
    <w:p w:rsidR="00297A3A" w:rsidRPr="00B14735" w:rsidRDefault="00297A3A" w:rsidP="00297A3A">
      <w:pPr>
        <w:pStyle w:val="Notedebasdepage"/>
      </w:pPr>
      <w:r>
        <w:tab/>
      </w:r>
      <w:r>
        <w:t>*</w:t>
      </w:r>
      <w:r>
        <w:tab/>
        <w:t>Conformément au programme de travail du Comité des transports intérieurs pour la période</w:t>
      </w:r>
      <w:r>
        <w:t xml:space="preserve"> 2016-2017 (ECE/TRANS/254, par. </w:t>
      </w:r>
      <w:r>
        <w:t>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A3A" w:rsidRPr="00297A3A" w:rsidRDefault="00297A3A">
    <w:pPr>
      <w:pStyle w:val="En-tte"/>
    </w:pPr>
    <w:fldSimple w:instr=" TITLE  \* MERGEFORMAT ">
      <w:r w:rsidR="00C25359">
        <w:t>ECE/TRANS/WP.29/GRSG/2017/10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A3A" w:rsidRPr="00297A3A" w:rsidRDefault="00297A3A" w:rsidP="00297A3A">
    <w:pPr>
      <w:pStyle w:val="En-tte"/>
      <w:jc w:val="right"/>
    </w:pPr>
    <w:fldSimple w:instr=" TITLE  \* MERGEFORMAT ">
      <w:r w:rsidR="00C25359">
        <w:t>ECE/TRANS/WP.29/GRSG/2017/10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E14"/>
    <w:rsid w:val="00017F94"/>
    <w:rsid w:val="00023842"/>
    <w:rsid w:val="000334F9"/>
    <w:rsid w:val="00045FEB"/>
    <w:rsid w:val="0007796D"/>
    <w:rsid w:val="000A687A"/>
    <w:rsid w:val="000B7790"/>
    <w:rsid w:val="00111F2F"/>
    <w:rsid w:val="0014365E"/>
    <w:rsid w:val="00143C66"/>
    <w:rsid w:val="00176178"/>
    <w:rsid w:val="001F525A"/>
    <w:rsid w:val="00223272"/>
    <w:rsid w:val="0024779E"/>
    <w:rsid w:val="00257168"/>
    <w:rsid w:val="002744B8"/>
    <w:rsid w:val="002832AC"/>
    <w:rsid w:val="00297A3A"/>
    <w:rsid w:val="002D52C8"/>
    <w:rsid w:val="002D7B93"/>
    <w:rsid w:val="002D7C93"/>
    <w:rsid w:val="00305801"/>
    <w:rsid w:val="003916DE"/>
    <w:rsid w:val="00441C3B"/>
    <w:rsid w:val="00446FE5"/>
    <w:rsid w:val="00452396"/>
    <w:rsid w:val="004837D8"/>
    <w:rsid w:val="004E468C"/>
    <w:rsid w:val="005505B7"/>
    <w:rsid w:val="0055270B"/>
    <w:rsid w:val="00573BE5"/>
    <w:rsid w:val="00586ED3"/>
    <w:rsid w:val="00596AA9"/>
    <w:rsid w:val="006F2A6A"/>
    <w:rsid w:val="0071601D"/>
    <w:rsid w:val="007A4E14"/>
    <w:rsid w:val="007A62E6"/>
    <w:rsid w:val="007F20FA"/>
    <w:rsid w:val="0080684C"/>
    <w:rsid w:val="00871C75"/>
    <w:rsid w:val="008776DC"/>
    <w:rsid w:val="008957EA"/>
    <w:rsid w:val="008B5C16"/>
    <w:rsid w:val="009446C0"/>
    <w:rsid w:val="009705C8"/>
    <w:rsid w:val="00996EFD"/>
    <w:rsid w:val="009C1CF4"/>
    <w:rsid w:val="009F6B74"/>
    <w:rsid w:val="00A30353"/>
    <w:rsid w:val="00A70397"/>
    <w:rsid w:val="00AC3823"/>
    <w:rsid w:val="00AE323C"/>
    <w:rsid w:val="00AF0CB5"/>
    <w:rsid w:val="00B00181"/>
    <w:rsid w:val="00B00B0D"/>
    <w:rsid w:val="00B765F7"/>
    <w:rsid w:val="00BA0CA9"/>
    <w:rsid w:val="00C02897"/>
    <w:rsid w:val="00C25359"/>
    <w:rsid w:val="00D3439C"/>
    <w:rsid w:val="00DB1831"/>
    <w:rsid w:val="00DD3BFD"/>
    <w:rsid w:val="00DF6678"/>
    <w:rsid w:val="00E85C74"/>
    <w:rsid w:val="00EA6547"/>
    <w:rsid w:val="00ED68D5"/>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5</Pages>
  <Words>1659</Words>
  <Characters>9247</Characters>
  <Application>Microsoft Office Word</Application>
  <DocSecurity>0</DocSecurity>
  <Lines>134</Lines>
  <Paragraphs>23</Paragraphs>
  <ScaleCrop>false</ScaleCrop>
  <HeadingPairs>
    <vt:vector size="2" baseType="variant">
      <vt:variant>
        <vt:lpstr>Titre</vt:lpstr>
      </vt:variant>
      <vt:variant>
        <vt:i4>1</vt:i4>
      </vt:variant>
    </vt:vector>
  </HeadingPairs>
  <TitlesOfParts>
    <vt:vector size="1" baseType="lpstr">
      <vt:lpstr>ECE/TRANS/WP.29/GRSG/2017/10</vt:lpstr>
    </vt:vector>
  </TitlesOfParts>
  <Company>DCM</Company>
  <LinksUpToDate>false</LinksUpToDate>
  <CharactersWithSpaces>10883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ECE/TRANS/WP.29/GRSG/2017/10</dc:title>
  <dc:subject/>
  <dc:creator>Bourion</dc:creator>
  <cp:keywords/>
  <cp:lastModifiedBy>Bourion</cp:lastModifiedBy>
  <cp:revision>3</cp:revision>
  <cp:lastPrinted>2017-03-02T17:07:00Z</cp:lastPrinted>
  <dcterms:created xsi:type="dcterms:W3CDTF">2017-03-02T17:07:00Z</dcterms:created>
  <dcterms:modified xsi:type="dcterms:W3CDTF">2017-03-02T17:08:00Z</dcterms:modified>
</cp:coreProperties>
</file>