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73199F" w:rsidTr="00776766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GRRF-84-</w:t>
            </w:r>
            <w:r w:rsidR="00E550BD">
              <w:rPr>
                <w:b/>
                <w:bCs/>
                <w:color w:val="000000"/>
                <w:sz w:val="23"/>
                <w:szCs w:val="23"/>
                <w:lang w:val="en-US"/>
              </w:rPr>
              <w:t>16</w:t>
            </w:r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84th GRRF, 19-22 September 2017 </w:t>
            </w:r>
          </w:p>
          <w:p w:rsidR="00674A8F" w:rsidRPr="0073199F" w:rsidRDefault="00674A8F" w:rsidP="00807CE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c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  <w:r w:rsidRPr="00881F6A">
        <w:rPr>
          <w:rFonts w:ascii="Arial" w:hAnsi="Arial" w:cs="Arial"/>
          <w:b/>
          <w:lang w:val="en-US"/>
        </w:rPr>
        <w:t xml:space="preserve">Amendments to the </w:t>
      </w:r>
      <w:r w:rsidR="00776766" w:rsidRPr="00776766">
        <w:rPr>
          <w:rFonts w:ascii="Arial" w:hAnsi="Arial" w:cs="Arial"/>
          <w:b/>
          <w:lang w:val="en-US"/>
        </w:rPr>
        <w:t xml:space="preserve">Proposal for amendments to Regulation No. 54 </w:t>
      </w:r>
      <w:r w:rsidRPr="00881F6A">
        <w:rPr>
          <w:rFonts w:ascii="Arial" w:hAnsi="Arial" w:cs="Arial"/>
          <w:b/>
          <w:lang w:val="en-US"/>
        </w:rPr>
        <w:t>(</w:t>
      </w:r>
      <w:r w:rsidR="00776766" w:rsidRPr="00776766">
        <w:rPr>
          <w:rFonts w:ascii="Arial" w:hAnsi="Arial" w:cs="Arial"/>
          <w:b/>
          <w:lang w:val="en-US"/>
        </w:rPr>
        <w:t>ECE/TRANS/WP.29/GRRF/2017/18</w:t>
      </w:r>
      <w:r w:rsidRPr="00881F6A">
        <w:rPr>
          <w:rFonts w:ascii="Arial" w:hAnsi="Arial" w:cs="Arial"/>
          <w:b/>
          <w:lang w:val="en-US"/>
        </w:rPr>
        <w:t>)</w:t>
      </w:r>
    </w:p>
    <w:p w:rsidR="00674A8F" w:rsidRDefault="00674A8F" w:rsidP="00674A8F">
      <w:pPr>
        <w:spacing w:line="240" w:lineRule="auto"/>
        <w:jc w:val="both"/>
        <w:rPr>
          <w:rFonts w:ascii="Arial" w:hAnsi="Arial" w:cs="Arial"/>
          <w:lang w:val="en-US"/>
        </w:rPr>
      </w:pPr>
    </w:p>
    <w:p w:rsidR="00674A8F" w:rsidRPr="00881F6A" w:rsidRDefault="00674A8F" w:rsidP="00674A8F">
      <w:pPr>
        <w:spacing w:line="240" w:lineRule="auto"/>
        <w:jc w:val="both"/>
        <w:rPr>
          <w:rFonts w:ascii="Arial" w:hAnsi="Arial" w:cs="Arial"/>
          <w:lang w:val="en-US"/>
        </w:rPr>
      </w:pPr>
      <w:r w:rsidRPr="00881F6A">
        <w:rPr>
          <w:rFonts w:ascii="Arial" w:hAnsi="Arial" w:cs="Arial"/>
          <w:lang w:val="en-US"/>
        </w:rPr>
        <w:t xml:space="preserve">It was felt that </w:t>
      </w:r>
      <w:r>
        <w:rPr>
          <w:rFonts w:ascii="Arial" w:hAnsi="Arial" w:cs="Arial"/>
          <w:lang w:val="en-US"/>
        </w:rPr>
        <w:t xml:space="preserve">to take into account specific requirements by </w:t>
      </w:r>
      <w:r w:rsidR="00776766">
        <w:rPr>
          <w:rFonts w:ascii="Arial" w:hAnsi="Arial" w:cs="Arial"/>
          <w:lang w:val="en-US"/>
        </w:rPr>
        <w:t xml:space="preserve">Tire and Rim Association guidelines when considering “Annex 5 </w:t>
      </w:r>
      <w:r w:rsidR="00776766" w:rsidRPr="00776766">
        <w:rPr>
          <w:rFonts w:ascii="Arial" w:hAnsi="Arial" w:cs="Arial"/>
          <w:lang w:val="en-US"/>
        </w:rPr>
        <w:t>Part II - United States tyres</w:t>
      </w:r>
      <w:r w:rsidR="00776766">
        <w:rPr>
          <w:rFonts w:ascii="Arial" w:hAnsi="Arial" w:cs="Arial"/>
          <w:lang w:val="en-US"/>
        </w:rPr>
        <w:t>” and introducing the new dimensional guidelines, additional footnotes would be needed</w:t>
      </w:r>
      <w:r w:rsidRPr="00881F6A">
        <w:rPr>
          <w:rFonts w:ascii="Arial" w:hAnsi="Arial" w:cs="Arial"/>
          <w:lang w:val="en-US"/>
        </w:rPr>
        <w:t>.</w:t>
      </w:r>
      <w:r w:rsidR="00776766">
        <w:rPr>
          <w:rFonts w:ascii="Arial" w:hAnsi="Arial" w:cs="Arial"/>
          <w:lang w:val="en-US"/>
        </w:rPr>
        <w:t xml:space="preserve"> </w:t>
      </w:r>
      <w:r w:rsidR="00776766" w:rsidRPr="00776766">
        <w:rPr>
          <w:rFonts w:ascii="Arial" w:hAnsi="Arial" w:cs="Arial"/>
          <w:lang w:val="en-US"/>
        </w:rPr>
        <w:t>The issue deals with the different te</w:t>
      </w:r>
      <w:bookmarkStart w:id="0" w:name="_GoBack"/>
      <w:bookmarkEnd w:id="0"/>
      <w:r w:rsidR="00776766" w:rsidRPr="00776766">
        <w:rPr>
          <w:rFonts w:ascii="Arial" w:hAnsi="Arial" w:cs="Arial"/>
          <w:lang w:val="en-US"/>
        </w:rPr>
        <w:t xml:space="preserve">rminology in Europe than in the US.  The current table for Outer Diameter has (and has always been) listed as “Normal” and “Snow”.  However, in the TRA yearbook, </w:t>
      </w:r>
      <w:r w:rsidR="00776766">
        <w:rPr>
          <w:rFonts w:ascii="Arial" w:hAnsi="Arial" w:cs="Arial"/>
          <w:lang w:val="en-US"/>
        </w:rPr>
        <w:t>one</w:t>
      </w:r>
      <w:r w:rsidR="00776766" w:rsidRPr="00776766">
        <w:rPr>
          <w:rFonts w:ascii="Arial" w:hAnsi="Arial" w:cs="Arial"/>
          <w:lang w:val="en-US"/>
        </w:rPr>
        <w:t xml:space="preserve"> design</w:t>
      </w:r>
      <w:r w:rsidR="00776766">
        <w:rPr>
          <w:rFonts w:ascii="Arial" w:hAnsi="Arial" w:cs="Arial"/>
          <w:lang w:val="en-US"/>
        </w:rPr>
        <w:t>s</w:t>
      </w:r>
      <w:r w:rsidR="00776766" w:rsidRPr="00776766">
        <w:rPr>
          <w:rFonts w:ascii="Arial" w:hAnsi="Arial" w:cs="Arial"/>
          <w:lang w:val="en-US"/>
        </w:rPr>
        <w:t xml:space="preserve"> to either “Highway Tread” or “Traction Tread” for Outer Diameter.  With that said, all High Flotation tires with a Highway Tread will likely have the “M+S” marking because they are considered All-Season tires for the North America market.  So, when any High Flotation tires are being approved by a type approval authority in Europe, they will all be considered as Snow tires even though they may have a Highway (rib design) Tread due to the “M+S” marking.</w:t>
      </w:r>
    </w:p>
    <w:p w:rsidR="00776766" w:rsidRDefault="00776766" w:rsidP="00776766">
      <w:pPr>
        <w:pStyle w:val="para"/>
        <w:rPr>
          <w:i/>
        </w:rPr>
      </w:pPr>
    </w:p>
    <w:p w:rsidR="00776766" w:rsidRDefault="00776766" w:rsidP="00776766">
      <w:pPr>
        <w:pStyle w:val="para"/>
        <w:rPr>
          <w:i/>
        </w:rPr>
      </w:pPr>
    </w:p>
    <w:p w:rsidR="00776766" w:rsidRPr="00957B9A" w:rsidRDefault="00776766" w:rsidP="00776766">
      <w:pPr>
        <w:pStyle w:val="para"/>
      </w:pPr>
      <w:r w:rsidRPr="00957B9A">
        <w:rPr>
          <w:i/>
        </w:rPr>
        <w:t xml:space="preserve">Annex 5, Part II, Table B, </w:t>
      </w:r>
      <w:r w:rsidRPr="00957B9A">
        <w:t>amend to read: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149"/>
        <w:gridCol w:w="1119"/>
        <w:gridCol w:w="890"/>
        <w:gridCol w:w="1026"/>
        <w:gridCol w:w="1096"/>
      </w:tblGrid>
      <w:tr w:rsidR="00776766" w:rsidRPr="00957B9A" w:rsidTr="00F82843">
        <w:trPr>
          <w:trHeight w:val="665"/>
          <w:tblHeader/>
        </w:trPr>
        <w:tc>
          <w:tcPr>
            <w:tcW w:w="2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6766" w:rsidRPr="00957B9A" w:rsidRDefault="00776766" w:rsidP="00F8284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</w:rPr>
              <w:t xml:space="preserve">Tyre-size </w:t>
            </w:r>
            <w:r w:rsidRPr="00957B9A">
              <w:rPr>
                <w:i/>
                <w:sz w:val="16"/>
                <w:szCs w:val="16"/>
              </w:rPr>
              <w:t>designation</w:t>
            </w:r>
            <w:r w:rsidRPr="00957B9A">
              <w:rPr>
                <w:i/>
                <w:sz w:val="16"/>
                <w:szCs w:val="16"/>
                <w:vertAlign w:val="superscript"/>
              </w:rPr>
              <w:t>1</w:t>
            </w:r>
            <w:proofErr w:type="gramStart"/>
            <w:r w:rsidRPr="00957B9A">
              <w:rPr>
                <w:b/>
                <w:i/>
                <w:sz w:val="16"/>
                <w:szCs w:val="16"/>
                <w:vertAlign w:val="superscript"/>
              </w:rPr>
              <w:t>,4</w:t>
            </w:r>
            <w:proofErr w:type="gramEnd"/>
          </w:p>
          <w:p w:rsidR="00776766" w:rsidRPr="00957B9A" w:rsidRDefault="00776766" w:rsidP="00F82843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proofErr w:type="spellStart"/>
            <w:r w:rsidRPr="00957B9A">
              <w:rPr>
                <w:i/>
                <w:sz w:val="16"/>
              </w:rPr>
              <w:t>Measuring</w:t>
            </w:r>
            <w:proofErr w:type="spellEnd"/>
            <w:r w:rsidRPr="00957B9A">
              <w:rPr>
                <w:i/>
                <w:sz w:val="16"/>
              </w:rPr>
              <w:t xml:space="preserve"> </w:t>
            </w:r>
            <w:proofErr w:type="spellStart"/>
            <w:r w:rsidRPr="00957B9A">
              <w:rPr>
                <w:i/>
                <w:sz w:val="16"/>
                <w:szCs w:val="16"/>
              </w:rPr>
              <w:t>rim</w:t>
            </w:r>
            <w:proofErr w:type="spellEnd"/>
            <w:r w:rsidRPr="00957B9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57B9A">
              <w:rPr>
                <w:i/>
                <w:sz w:val="16"/>
                <w:szCs w:val="16"/>
              </w:rPr>
              <w:t>width</w:t>
            </w:r>
            <w:proofErr w:type="spellEnd"/>
            <w:r w:rsidRPr="00957B9A">
              <w:rPr>
                <w:i/>
                <w:sz w:val="16"/>
                <w:szCs w:val="16"/>
              </w:rPr>
              <w:t xml:space="preserve"> </w:t>
            </w:r>
            <w:r w:rsidRPr="00957B9A">
              <w:rPr>
                <w:i/>
                <w:sz w:val="16"/>
                <w:szCs w:val="16"/>
                <w:lang w:val="fr-FR"/>
              </w:rPr>
              <w:t>code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it-IT"/>
              </w:rPr>
            </w:pPr>
            <w:r w:rsidRPr="00957B9A">
              <w:rPr>
                <w:i/>
                <w:sz w:val="16"/>
                <w:lang w:val="it-IT"/>
              </w:rPr>
              <w:t xml:space="preserve">Nominal </w:t>
            </w:r>
            <w:r w:rsidRPr="00957B9A">
              <w:rPr>
                <w:i/>
                <w:sz w:val="16"/>
                <w:szCs w:val="16"/>
                <w:lang w:val="it-IT"/>
              </w:rPr>
              <w:t>rim diameter</w:t>
            </w:r>
          </w:p>
          <w:p w:rsidR="00776766" w:rsidRPr="00957B9A" w:rsidRDefault="00776766" w:rsidP="00F82843">
            <w:pPr>
              <w:spacing w:before="40" w:after="40" w:line="220" w:lineRule="exact"/>
              <w:ind w:left="113" w:right="113"/>
              <w:rPr>
                <w:i/>
                <w:sz w:val="16"/>
                <w:lang w:val="it-IT"/>
              </w:rPr>
            </w:pPr>
            <w:r w:rsidRPr="00957B9A">
              <w:rPr>
                <w:i/>
                <w:sz w:val="16"/>
                <w:szCs w:val="16"/>
                <w:lang w:val="it-IT"/>
              </w:rPr>
              <w:t>d (mm)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proofErr w:type="spellStart"/>
            <w:r w:rsidRPr="00957B9A">
              <w:rPr>
                <w:i/>
                <w:sz w:val="16"/>
              </w:rPr>
              <w:t>Outer</w:t>
            </w:r>
            <w:proofErr w:type="spellEnd"/>
            <w:r w:rsidRPr="00957B9A">
              <w:rPr>
                <w:i/>
                <w:sz w:val="16"/>
              </w:rPr>
              <w:t xml:space="preserve"> </w:t>
            </w:r>
            <w:proofErr w:type="spellStart"/>
            <w:r w:rsidRPr="00957B9A">
              <w:rPr>
                <w:i/>
                <w:sz w:val="16"/>
              </w:rPr>
              <w:t>diameter</w:t>
            </w:r>
            <w:proofErr w:type="spellEnd"/>
            <w:r w:rsidRPr="00957B9A">
              <w:rPr>
                <w:i/>
                <w:sz w:val="16"/>
              </w:rPr>
              <w:br/>
            </w:r>
            <w:r w:rsidRPr="00957B9A">
              <w:rPr>
                <w:i/>
                <w:sz w:val="16"/>
                <w:szCs w:val="16"/>
                <w:lang w:val="fr-FR"/>
              </w:rPr>
              <w:t>D (mm</w:t>
            </w:r>
            <w:proofErr w:type="gramStart"/>
            <w:r w:rsidRPr="00957B9A">
              <w:rPr>
                <w:i/>
                <w:sz w:val="16"/>
                <w:szCs w:val="16"/>
                <w:lang w:val="fr-FR"/>
              </w:rPr>
              <w:t>)</w:t>
            </w:r>
            <w:r w:rsidRPr="00957B9A"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  <w:proofErr w:type="gramEnd"/>
          </w:p>
        </w:tc>
        <w:tc>
          <w:tcPr>
            <w:tcW w:w="1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6766" w:rsidRPr="00957B9A" w:rsidRDefault="00776766" w:rsidP="00F82843">
            <w:pPr>
              <w:suppressAutoHyphens w:val="0"/>
              <w:spacing w:before="80" w:after="80" w:line="200" w:lineRule="exact"/>
              <w:ind w:left="88" w:right="113"/>
              <w:rPr>
                <w:i/>
                <w:sz w:val="16"/>
                <w:szCs w:val="16"/>
                <w:lang w:val="en-US"/>
              </w:rPr>
            </w:pPr>
            <w:r w:rsidRPr="00957B9A">
              <w:rPr>
                <w:i/>
                <w:sz w:val="16"/>
              </w:rPr>
              <w:t xml:space="preserve">Section </w:t>
            </w:r>
            <w:proofErr w:type="spellStart"/>
            <w:r w:rsidRPr="00957B9A">
              <w:rPr>
                <w:i/>
                <w:sz w:val="16"/>
              </w:rPr>
              <w:t>width</w:t>
            </w:r>
            <w:proofErr w:type="spellEnd"/>
            <w:r w:rsidRPr="00957B9A">
              <w:rPr>
                <w:i/>
                <w:sz w:val="16"/>
              </w:rPr>
              <w:br/>
            </w:r>
            <w:r w:rsidRPr="00957B9A">
              <w:rPr>
                <w:i/>
                <w:sz w:val="16"/>
                <w:szCs w:val="16"/>
              </w:rPr>
              <w:t>S (mm</w:t>
            </w:r>
            <w:proofErr w:type="gramStart"/>
            <w:r w:rsidRPr="00957B9A">
              <w:rPr>
                <w:i/>
                <w:sz w:val="16"/>
                <w:szCs w:val="16"/>
              </w:rPr>
              <w:t>)</w:t>
            </w:r>
            <w:r w:rsidRPr="00957B9A">
              <w:rPr>
                <w:i/>
                <w:sz w:val="16"/>
                <w:szCs w:val="16"/>
                <w:vertAlign w:val="superscript"/>
              </w:rPr>
              <w:t>3</w:t>
            </w:r>
            <w:proofErr w:type="gramEnd"/>
          </w:p>
          <w:p w:rsidR="00776766" w:rsidRPr="00957B9A" w:rsidRDefault="00776766" w:rsidP="00F82843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</w:tr>
      <w:tr w:rsidR="00776766" w:rsidRPr="00957B9A" w:rsidTr="00F82843">
        <w:trPr>
          <w:trHeight w:val="305"/>
          <w:tblHeader/>
        </w:trPr>
        <w:tc>
          <w:tcPr>
            <w:tcW w:w="209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76766" w:rsidRPr="00957B9A" w:rsidRDefault="00776766" w:rsidP="00F82843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76766" w:rsidRPr="00957B9A" w:rsidRDefault="00776766" w:rsidP="00F82843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76766" w:rsidRPr="00957B9A" w:rsidRDefault="00776766" w:rsidP="00F82843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776766" w:rsidRPr="00776766" w:rsidRDefault="00776766" w:rsidP="00F82843">
            <w:pPr>
              <w:spacing w:before="40" w:after="40" w:line="220" w:lineRule="exact"/>
              <w:ind w:left="113" w:right="113"/>
              <w:rPr>
                <w:i/>
                <w:color w:val="FF0000"/>
                <w:sz w:val="16"/>
                <w:szCs w:val="16"/>
                <w:vertAlign w:val="superscript"/>
              </w:rPr>
            </w:pPr>
            <w:r w:rsidRPr="00957B9A">
              <w:rPr>
                <w:i/>
                <w:sz w:val="16"/>
                <w:szCs w:val="16"/>
                <w:lang w:val="fr-FR"/>
              </w:rPr>
              <w:t>Normal</w:t>
            </w:r>
            <w:r w:rsidRPr="00807CEF">
              <w:rPr>
                <w:b/>
                <w:i/>
                <w:color w:val="FF0000"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776766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Snow</w:t>
            </w:r>
            <w:r w:rsidRPr="00807CEF">
              <w:rPr>
                <w:b/>
                <w:i/>
                <w:color w:val="FF0000"/>
                <w:sz w:val="16"/>
                <w:szCs w:val="16"/>
                <w:vertAlign w:val="superscript"/>
                <w:lang w:val="fr-FR"/>
              </w:rPr>
              <w:t>6</w:t>
            </w:r>
          </w:p>
        </w:tc>
        <w:tc>
          <w:tcPr>
            <w:tcW w:w="10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76766" w:rsidRPr="00957B9A" w:rsidRDefault="00776766" w:rsidP="00F82843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</w:tr>
      <w:tr w:rsidR="00776766" w:rsidRPr="00957B9A" w:rsidTr="00F82843">
        <w:trPr>
          <w:trHeight w:hRule="exact" w:val="284"/>
        </w:trPr>
        <w:tc>
          <w:tcPr>
            <w:tcW w:w="20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6766" w:rsidRPr="00957B9A" w:rsidRDefault="00776766" w:rsidP="00F8284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76766" w:rsidRPr="00957B9A" w:rsidRDefault="00776766" w:rsidP="00F8284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</w:tbl>
    <w:p w:rsidR="00776766" w:rsidRPr="00776766" w:rsidRDefault="00776766" w:rsidP="00776766">
      <w:pPr>
        <w:pStyle w:val="EndnoteText"/>
        <w:tabs>
          <w:tab w:val="left" w:pos="1418"/>
        </w:tabs>
        <w:ind w:right="708" w:firstLine="0"/>
        <w:rPr>
          <w:szCs w:val="18"/>
          <w:lang w:val="en-US"/>
        </w:rPr>
      </w:pPr>
      <w:r w:rsidRPr="00776766">
        <w:rPr>
          <w:vertAlign w:val="superscript"/>
          <w:lang w:val="en-US"/>
        </w:rPr>
        <w:t>1</w:t>
      </w:r>
      <w:r w:rsidRPr="00776766">
        <w:rPr>
          <w:lang w:val="en-US"/>
        </w:rPr>
        <w:tab/>
      </w:r>
      <w:r w:rsidRPr="00776766">
        <w:rPr>
          <w:spacing w:val="2"/>
          <w:szCs w:val="18"/>
          <w:lang w:val="en-US"/>
        </w:rPr>
        <w:t>Tyres in Radial construction are identified by the letter "R" in place of "-" (e.g. 24x7.50 R 13LT).</w:t>
      </w:r>
    </w:p>
    <w:p w:rsidR="00776766" w:rsidRPr="00776766" w:rsidRDefault="00776766" w:rsidP="00776766">
      <w:pPr>
        <w:pStyle w:val="EndnoteText"/>
        <w:tabs>
          <w:tab w:val="left" w:pos="1418"/>
        </w:tabs>
        <w:ind w:firstLine="0"/>
        <w:rPr>
          <w:szCs w:val="18"/>
          <w:lang w:val="en-US"/>
        </w:rPr>
      </w:pPr>
      <w:r w:rsidRPr="00776766">
        <w:rPr>
          <w:szCs w:val="18"/>
          <w:vertAlign w:val="superscript"/>
          <w:lang w:val="en-US"/>
        </w:rPr>
        <w:t>2</w:t>
      </w:r>
      <w:r w:rsidRPr="00776766">
        <w:rPr>
          <w:szCs w:val="18"/>
          <w:lang w:val="en-US"/>
        </w:rPr>
        <w:tab/>
        <w:t xml:space="preserve">Coefficient 'b' for the calculation of </w:t>
      </w:r>
      <w:proofErr w:type="spellStart"/>
      <w:r w:rsidRPr="00776766">
        <w:rPr>
          <w:szCs w:val="18"/>
          <w:lang w:val="en-US"/>
        </w:rPr>
        <w:t>Dmax</w:t>
      </w:r>
      <w:proofErr w:type="spellEnd"/>
      <w:r w:rsidRPr="00776766">
        <w:rPr>
          <w:szCs w:val="18"/>
          <w:lang w:val="en-US"/>
        </w:rPr>
        <w:t xml:space="preserve">: 1.07. </w:t>
      </w:r>
    </w:p>
    <w:p w:rsidR="00776766" w:rsidRPr="00776766" w:rsidRDefault="00776766" w:rsidP="00776766">
      <w:pPr>
        <w:pStyle w:val="EndnoteText"/>
        <w:tabs>
          <w:tab w:val="left" w:pos="1418"/>
        </w:tabs>
        <w:ind w:firstLine="0"/>
        <w:rPr>
          <w:szCs w:val="18"/>
          <w:lang w:val="en-US"/>
        </w:rPr>
      </w:pPr>
      <w:r w:rsidRPr="00776766">
        <w:rPr>
          <w:szCs w:val="18"/>
          <w:vertAlign w:val="superscript"/>
          <w:lang w:val="en-US"/>
        </w:rPr>
        <w:t>3</w:t>
      </w:r>
      <w:r w:rsidRPr="00776766">
        <w:rPr>
          <w:szCs w:val="18"/>
          <w:lang w:val="en-US"/>
        </w:rPr>
        <w:tab/>
        <w:t>Overall width may exceed this value up to +7 per cent.</w:t>
      </w:r>
    </w:p>
    <w:p w:rsidR="00776766" w:rsidRPr="00957B9A" w:rsidRDefault="00776766" w:rsidP="00776766">
      <w:pPr>
        <w:pStyle w:val="notessoustab"/>
        <w:tabs>
          <w:tab w:val="clear" w:pos="851"/>
        </w:tabs>
        <w:ind w:left="1418" w:right="1134" w:hanging="284"/>
        <w:rPr>
          <w:b/>
          <w:bCs/>
          <w:sz w:val="18"/>
          <w:szCs w:val="18"/>
          <w:lang w:val="en-GB"/>
        </w:rPr>
      </w:pPr>
      <w:r w:rsidRPr="00957B9A">
        <w:rPr>
          <w:b/>
          <w:sz w:val="18"/>
          <w:szCs w:val="18"/>
          <w:vertAlign w:val="superscript"/>
          <w:lang w:val="en-US"/>
        </w:rPr>
        <w:t>4</w:t>
      </w:r>
      <w:r w:rsidRPr="00957B9A">
        <w:rPr>
          <w:b/>
          <w:sz w:val="18"/>
          <w:szCs w:val="18"/>
          <w:vertAlign w:val="superscript"/>
          <w:lang w:val="en-US"/>
        </w:rPr>
        <w:tab/>
      </w:r>
      <w:r w:rsidRPr="00957B9A">
        <w:rPr>
          <w:b/>
          <w:bCs/>
          <w:sz w:val="18"/>
          <w:szCs w:val="18"/>
          <w:lang w:val="en-GB"/>
        </w:rPr>
        <w:t xml:space="preserve">In case of Tyre size designations not included in this table (e.g. </w:t>
      </w:r>
      <w:r w:rsidRPr="00957B9A">
        <w:rPr>
          <w:b/>
          <w:sz w:val="18"/>
          <w:szCs w:val="18"/>
          <w:lang w:val="en-US"/>
        </w:rPr>
        <w:t>37x14.50R17LT</w:t>
      </w:r>
      <w:r w:rsidRPr="00957B9A">
        <w:rPr>
          <w:b/>
          <w:bCs/>
          <w:sz w:val="18"/>
          <w:szCs w:val="18"/>
          <w:lang w:val="en-GB"/>
        </w:rPr>
        <w:t>):</w:t>
      </w:r>
    </w:p>
    <w:p w:rsidR="00776766" w:rsidRPr="00957B9A" w:rsidRDefault="00776766" w:rsidP="00776766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(a)</w:t>
      </w:r>
      <w:r w:rsidRPr="00957B9A">
        <w:rPr>
          <w:b/>
          <w:bCs/>
          <w:sz w:val="18"/>
          <w:szCs w:val="18"/>
          <w:lang w:val="en-GB"/>
        </w:rPr>
        <w:tab/>
      </w:r>
      <w:proofErr w:type="gramStart"/>
      <w:r w:rsidRPr="00957B9A">
        <w:rPr>
          <w:b/>
          <w:bCs/>
          <w:sz w:val="18"/>
          <w:szCs w:val="18"/>
          <w:lang w:val="en-GB"/>
        </w:rPr>
        <w:t>the</w:t>
      </w:r>
      <w:proofErr w:type="gramEnd"/>
      <w:r w:rsidRPr="00957B9A">
        <w:rPr>
          <w:b/>
          <w:bCs/>
          <w:sz w:val="18"/>
          <w:szCs w:val="18"/>
          <w:lang w:val="en-GB"/>
        </w:rPr>
        <w:t xml:space="preserve"> first number (e.g. 37) represents the nominal overall diameter expressed by code</w:t>
      </w:r>
    </w:p>
    <w:p w:rsidR="00776766" w:rsidRPr="00957B9A" w:rsidRDefault="00776766" w:rsidP="00776766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(b)</w:t>
      </w:r>
      <w:r w:rsidRPr="00957B9A">
        <w:rPr>
          <w:b/>
          <w:bCs/>
          <w:sz w:val="18"/>
          <w:szCs w:val="18"/>
          <w:lang w:val="en-GB"/>
        </w:rPr>
        <w:tab/>
      </w:r>
      <w:proofErr w:type="gramStart"/>
      <w:r w:rsidRPr="00957B9A">
        <w:rPr>
          <w:b/>
          <w:bCs/>
          <w:sz w:val="18"/>
          <w:szCs w:val="18"/>
          <w:lang w:val="en-GB"/>
        </w:rPr>
        <w:t>the</w:t>
      </w:r>
      <w:proofErr w:type="gramEnd"/>
      <w:r w:rsidRPr="00957B9A">
        <w:rPr>
          <w:b/>
          <w:bCs/>
          <w:sz w:val="18"/>
          <w:szCs w:val="18"/>
          <w:lang w:val="en-GB"/>
        </w:rPr>
        <w:t xml:space="preserve"> second number (e.g.</w:t>
      </w:r>
      <w:r>
        <w:rPr>
          <w:b/>
          <w:bCs/>
          <w:sz w:val="18"/>
          <w:szCs w:val="18"/>
          <w:lang w:val="en-GB"/>
        </w:rPr>
        <w:t xml:space="preserve"> </w:t>
      </w:r>
      <w:r w:rsidRPr="00957B9A">
        <w:rPr>
          <w:b/>
          <w:bCs/>
          <w:sz w:val="18"/>
          <w:szCs w:val="18"/>
          <w:lang w:val="en-GB"/>
        </w:rPr>
        <w:t>14.50) represents the nominal section width (S1) expressed by code (must end in .50),</w:t>
      </w:r>
    </w:p>
    <w:p w:rsidR="00776766" w:rsidRPr="00957B9A" w:rsidRDefault="00776766" w:rsidP="00776766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(c)</w:t>
      </w:r>
      <w:r w:rsidRPr="00957B9A">
        <w:rPr>
          <w:b/>
          <w:bCs/>
          <w:sz w:val="18"/>
          <w:szCs w:val="18"/>
          <w:lang w:val="en-GB"/>
        </w:rPr>
        <w:tab/>
      </w:r>
      <w:proofErr w:type="gramStart"/>
      <w:r w:rsidRPr="00957B9A">
        <w:rPr>
          <w:b/>
          <w:bCs/>
          <w:sz w:val="18"/>
          <w:szCs w:val="18"/>
          <w:lang w:val="en-GB"/>
        </w:rPr>
        <w:t>the</w:t>
      </w:r>
      <w:proofErr w:type="gramEnd"/>
      <w:r w:rsidRPr="00957B9A">
        <w:rPr>
          <w:b/>
          <w:bCs/>
          <w:sz w:val="18"/>
          <w:szCs w:val="18"/>
          <w:lang w:val="en-GB"/>
        </w:rPr>
        <w:t xml:space="preserve"> third number (e.g. 17) represents the nominal rim diameter (d) expressed by code.</w:t>
      </w:r>
    </w:p>
    <w:p w:rsidR="00776766" w:rsidRPr="00957B9A" w:rsidRDefault="00776766" w:rsidP="00776766">
      <w:pPr>
        <w:pStyle w:val="notessoustab"/>
        <w:tabs>
          <w:tab w:val="clear" w:pos="851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To convert dimensions expressed in code to mm multiply by 25</w:t>
      </w:r>
      <w:r>
        <w:rPr>
          <w:b/>
          <w:bCs/>
          <w:sz w:val="18"/>
          <w:szCs w:val="18"/>
          <w:lang w:val="en-GB"/>
        </w:rPr>
        <w:t>.4 and round to the nearest mm.</w:t>
      </w:r>
    </w:p>
    <w:p w:rsidR="00776766" w:rsidRPr="00957B9A" w:rsidRDefault="00776766" w:rsidP="00776766">
      <w:pPr>
        <w:pStyle w:val="notessoustab"/>
        <w:tabs>
          <w:tab w:val="clear" w:pos="851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The theoretical rim width code (A</w:t>
      </w:r>
      <w:r w:rsidRPr="00957B9A">
        <w:rPr>
          <w:b/>
          <w:bCs/>
          <w:sz w:val="18"/>
          <w:szCs w:val="18"/>
          <w:vertAlign w:val="subscript"/>
          <w:lang w:val="en-GB"/>
        </w:rPr>
        <w:t>1</w:t>
      </w:r>
      <w:r w:rsidRPr="00957B9A">
        <w:rPr>
          <w:b/>
          <w:bCs/>
          <w:sz w:val="18"/>
          <w:szCs w:val="18"/>
          <w:lang w:val="en-GB"/>
        </w:rPr>
        <w:t>) is taken to equal to the nominal section width (S</w:t>
      </w:r>
      <w:r w:rsidRPr="00957B9A">
        <w:rPr>
          <w:b/>
          <w:bCs/>
          <w:sz w:val="18"/>
          <w:szCs w:val="18"/>
          <w:vertAlign w:val="subscript"/>
          <w:lang w:val="en-GB"/>
        </w:rPr>
        <w:t>1</w:t>
      </w:r>
      <w:r w:rsidRPr="00957B9A">
        <w:rPr>
          <w:b/>
          <w:bCs/>
          <w:sz w:val="18"/>
          <w:szCs w:val="18"/>
          <w:lang w:val="en-GB"/>
        </w:rPr>
        <w:t>) expressed by code multiplied by the factor 0.8 rounded to the nearest 0.5 step.</w:t>
      </w:r>
    </w:p>
    <w:p w:rsidR="00776766" w:rsidRPr="00957B9A" w:rsidRDefault="00776766" w:rsidP="00776766">
      <w:pPr>
        <w:pStyle w:val="notessoustab"/>
        <w:tabs>
          <w:tab w:val="clear" w:pos="851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The Outer diameter (D) is calculated as follows:</w:t>
      </w:r>
    </w:p>
    <w:p w:rsidR="00776766" w:rsidRPr="00957B9A" w:rsidRDefault="00776766" w:rsidP="00776766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(a)</w:t>
      </w:r>
      <w:r>
        <w:rPr>
          <w:b/>
          <w:bCs/>
          <w:sz w:val="18"/>
          <w:szCs w:val="18"/>
          <w:lang w:val="en-GB"/>
        </w:rPr>
        <w:tab/>
      </w:r>
      <w:r w:rsidRPr="00957B9A">
        <w:rPr>
          <w:b/>
          <w:bCs/>
          <w:sz w:val="18"/>
          <w:szCs w:val="18"/>
          <w:lang w:val="en-GB"/>
        </w:rPr>
        <w:t xml:space="preserve">Normal D (mm) = </w:t>
      </w:r>
      <w:proofErr w:type="gramStart"/>
      <w:r w:rsidRPr="00957B9A">
        <w:rPr>
          <w:b/>
          <w:bCs/>
          <w:sz w:val="18"/>
          <w:szCs w:val="18"/>
          <w:lang w:val="en-GB"/>
        </w:rPr>
        <w:t>( overall</w:t>
      </w:r>
      <w:proofErr w:type="gramEnd"/>
      <w:r w:rsidRPr="00957B9A">
        <w:rPr>
          <w:b/>
          <w:bCs/>
          <w:sz w:val="18"/>
          <w:szCs w:val="18"/>
          <w:lang w:val="en-GB"/>
        </w:rPr>
        <w:t xml:space="preserve"> diameter (expressed by code) – 0.48 ) x 25.4 rounded to the nearest mm.</w:t>
      </w:r>
    </w:p>
    <w:p w:rsidR="00776766" w:rsidRDefault="00776766" w:rsidP="00776766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(b)</w:t>
      </w:r>
      <w:r>
        <w:rPr>
          <w:b/>
          <w:bCs/>
          <w:sz w:val="18"/>
          <w:szCs w:val="18"/>
          <w:lang w:val="en-GB"/>
        </w:rPr>
        <w:tab/>
      </w:r>
      <w:r w:rsidRPr="00957B9A">
        <w:rPr>
          <w:b/>
          <w:bCs/>
          <w:sz w:val="18"/>
          <w:szCs w:val="18"/>
          <w:lang w:val="en-GB"/>
        </w:rPr>
        <w:t xml:space="preserve">Snow D (mm) = </w:t>
      </w:r>
      <w:proofErr w:type="gramStart"/>
      <w:r w:rsidRPr="00957B9A">
        <w:rPr>
          <w:b/>
          <w:bCs/>
          <w:sz w:val="18"/>
          <w:szCs w:val="18"/>
          <w:lang w:val="en-GB"/>
        </w:rPr>
        <w:t>( overall</w:t>
      </w:r>
      <w:proofErr w:type="gramEnd"/>
      <w:r w:rsidRPr="00957B9A">
        <w:rPr>
          <w:b/>
          <w:bCs/>
          <w:sz w:val="18"/>
          <w:szCs w:val="18"/>
          <w:lang w:val="en-GB"/>
        </w:rPr>
        <w:t xml:space="preserve"> diameter (expressed by code) – 0.24 ) x 25.4 rounded to the nearest mm.</w:t>
      </w:r>
      <w:r w:rsidRPr="00D9343A">
        <w:rPr>
          <w:bCs/>
          <w:sz w:val="18"/>
          <w:szCs w:val="18"/>
          <w:lang w:val="en-GB"/>
        </w:rPr>
        <w:t>"</w:t>
      </w:r>
    </w:p>
    <w:p w:rsidR="00776766" w:rsidRPr="00807CEF" w:rsidRDefault="00776766" w:rsidP="00776766">
      <w:pPr>
        <w:pStyle w:val="EndnoteText"/>
        <w:tabs>
          <w:tab w:val="left" w:pos="1418"/>
        </w:tabs>
        <w:ind w:left="1417" w:hanging="283"/>
        <w:rPr>
          <w:b/>
          <w:color w:val="FF0000"/>
          <w:szCs w:val="18"/>
          <w:lang w:val="en-US"/>
        </w:rPr>
      </w:pPr>
      <w:r w:rsidRPr="00807CEF">
        <w:rPr>
          <w:b/>
          <w:color w:val="FF0000"/>
          <w:szCs w:val="18"/>
          <w:vertAlign w:val="superscript"/>
          <w:lang w:val="en-US"/>
        </w:rPr>
        <w:t>5</w:t>
      </w:r>
      <w:r w:rsidRPr="00807CEF">
        <w:rPr>
          <w:b/>
          <w:color w:val="FF0000"/>
          <w:szCs w:val="18"/>
          <w:lang w:val="en-US"/>
        </w:rPr>
        <w:tab/>
        <w:t xml:space="preserve">Category of Use:  Normal Service tyres are Highway tread and may have the “M+S” inscription on the tyre. </w:t>
      </w:r>
    </w:p>
    <w:p w:rsidR="00776766" w:rsidRPr="00807CEF" w:rsidRDefault="00776766" w:rsidP="00F658D7">
      <w:pPr>
        <w:pStyle w:val="EndnoteText"/>
        <w:tabs>
          <w:tab w:val="clear" w:pos="1021"/>
        </w:tabs>
        <w:ind w:left="1418" w:hanging="284"/>
        <w:rPr>
          <w:b/>
          <w:color w:val="FF0000"/>
          <w:szCs w:val="18"/>
          <w:lang w:val="en-US"/>
        </w:rPr>
      </w:pPr>
      <w:r w:rsidRPr="00807CEF">
        <w:rPr>
          <w:b/>
          <w:color w:val="FF0000"/>
          <w:szCs w:val="18"/>
          <w:vertAlign w:val="superscript"/>
          <w:lang w:val="en-US"/>
        </w:rPr>
        <w:t>6</w:t>
      </w:r>
      <w:r w:rsidR="00F658D7" w:rsidRPr="00807CEF">
        <w:rPr>
          <w:b/>
          <w:color w:val="FF0000"/>
          <w:szCs w:val="18"/>
          <w:lang w:val="en-US"/>
        </w:rPr>
        <w:tab/>
      </w:r>
      <w:r w:rsidRPr="00807CEF">
        <w:rPr>
          <w:b/>
          <w:color w:val="FF0000"/>
          <w:szCs w:val="18"/>
          <w:lang w:val="en-US"/>
        </w:rPr>
        <w:t>Category of Use:  Snow Service tyres are Traction tread and will have at least one of the following inscriptions:</w:t>
      </w:r>
    </w:p>
    <w:p w:rsidR="00776766" w:rsidRPr="00807CEF" w:rsidRDefault="00776766" w:rsidP="00776766">
      <w:pPr>
        <w:pStyle w:val="EndnoteText"/>
        <w:tabs>
          <w:tab w:val="left" w:pos="1418"/>
        </w:tabs>
        <w:rPr>
          <w:b/>
          <w:color w:val="FF0000"/>
          <w:szCs w:val="18"/>
          <w:lang w:val="en-US"/>
        </w:rPr>
      </w:pPr>
      <w:r w:rsidRPr="00807CEF">
        <w:rPr>
          <w:b/>
          <w:color w:val="FF0000"/>
          <w:szCs w:val="18"/>
          <w:lang w:val="en-US"/>
        </w:rPr>
        <w:t xml:space="preserve">                </w:t>
      </w:r>
      <w:r w:rsidRPr="00807CEF">
        <w:rPr>
          <w:b/>
          <w:color w:val="FF0000"/>
          <w:szCs w:val="18"/>
          <w:lang w:val="en-US"/>
        </w:rPr>
        <w:tab/>
      </w:r>
      <w:r w:rsidRPr="00807CEF">
        <w:rPr>
          <w:b/>
          <w:color w:val="FF0000"/>
          <w:szCs w:val="18"/>
          <w:lang w:val="en-US"/>
        </w:rPr>
        <w:tab/>
      </w:r>
      <w:r w:rsidRPr="00807CEF">
        <w:rPr>
          <w:b/>
          <w:color w:val="FF0000"/>
          <w:szCs w:val="18"/>
          <w:lang w:val="en-US"/>
        </w:rPr>
        <w:tab/>
      </w:r>
      <w:r w:rsidR="00F658D7" w:rsidRPr="00807CEF">
        <w:rPr>
          <w:b/>
          <w:color w:val="FF0000"/>
          <w:szCs w:val="18"/>
          <w:lang w:val="en-US"/>
        </w:rPr>
        <w:tab/>
      </w:r>
      <w:proofErr w:type="gramStart"/>
      <w:r w:rsidRPr="00807CEF">
        <w:rPr>
          <w:b/>
          <w:color w:val="FF0000"/>
          <w:szCs w:val="18"/>
          <w:lang w:val="en-US"/>
        </w:rPr>
        <w:t>Section 3.1.12 from this regulation.</w:t>
      </w:r>
      <w:proofErr w:type="gramEnd"/>
    </w:p>
    <w:p w:rsidR="00776766" w:rsidRPr="00807CEF" w:rsidRDefault="00776766" w:rsidP="00776766">
      <w:pPr>
        <w:pStyle w:val="EndnoteText"/>
        <w:tabs>
          <w:tab w:val="left" w:pos="1418"/>
        </w:tabs>
        <w:rPr>
          <w:b/>
          <w:color w:val="FF0000"/>
          <w:szCs w:val="18"/>
          <w:lang w:val="en-US"/>
        </w:rPr>
      </w:pPr>
      <w:r w:rsidRPr="00807CEF">
        <w:rPr>
          <w:b/>
          <w:color w:val="FF0000"/>
          <w:szCs w:val="18"/>
          <w:lang w:val="en-US"/>
        </w:rPr>
        <w:t xml:space="preserve">                </w:t>
      </w:r>
      <w:r w:rsidR="00F658D7" w:rsidRPr="00807CEF">
        <w:rPr>
          <w:b/>
          <w:color w:val="FF0000"/>
          <w:szCs w:val="18"/>
          <w:lang w:val="en-US"/>
        </w:rPr>
        <w:tab/>
      </w:r>
      <w:r w:rsidR="00F658D7" w:rsidRPr="00807CEF">
        <w:rPr>
          <w:b/>
          <w:color w:val="FF0000"/>
          <w:szCs w:val="18"/>
          <w:lang w:val="en-US"/>
        </w:rPr>
        <w:tab/>
      </w:r>
      <w:r w:rsidR="00F658D7" w:rsidRPr="00807CEF">
        <w:rPr>
          <w:b/>
          <w:color w:val="FF0000"/>
          <w:szCs w:val="18"/>
          <w:lang w:val="en-US"/>
        </w:rPr>
        <w:tab/>
      </w:r>
      <w:r w:rsidR="00F658D7" w:rsidRPr="00807CEF">
        <w:rPr>
          <w:b/>
          <w:color w:val="FF0000"/>
          <w:szCs w:val="18"/>
          <w:lang w:val="en-US"/>
        </w:rPr>
        <w:tab/>
      </w:r>
      <w:proofErr w:type="gramStart"/>
      <w:r w:rsidRPr="00807CEF">
        <w:rPr>
          <w:b/>
          <w:color w:val="FF0000"/>
          <w:szCs w:val="18"/>
          <w:lang w:val="en-US"/>
        </w:rPr>
        <w:t>Alpine symbol from UNECE Regulation 117.</w:t>
      </w:r>
      <w:proofErr w:type="gramEnd"/>
    </w:p>
    <w:p w:rsidR="00776766" w:rsidRPr="00807CEF" w:rsidRDefault="00776766" w:rsidP="00776766">
      <w:pPr>
        <w:pStyle w:val="EndnoteText"/>
        <w:tabs>
          <w:tab w:val="left" w:pos="1418"/>
        </w:tabs>
        <w:ind w:firstLine="0"/>
        <w:rPr>
          <w:b/>
          <w:color w:val="FF0000"/>
          <w:szCs w:val="18"/>
          <w:lang w:val="en-US"/>
        </w:rPr>
      </w:pPr>
      <w:r w:rsidRPr="00807CEF">
        <w:rPr>
          <w:b/>
          <w:color w:val="FF0000"/>
          <w:szCs w:val="18"/>
          <w:lang w:val="en-US"/>
        </w:rPr>
        <w:t xml:space="preserve">      </w:t>
      </w:r>
      <w:r w:rsidR="00F658D7" w:rsidRPr="00807CEF">
        <w:rPr>
          <w:b/>
          <w:color w:val="FF0000"/>
          <w:szCs w:val="18"/>
          <w:lang w:val="en-US"/>
        </w:rPr>
        <w:tab/>
      </w:r>
      <w:r w:rsidR="00F658D7" w:rsidRPr="00807CEF">
        <w:rPr>
          <w:b/>
          <w:color w:val="FF0000"/>
          <w:szCs w:val="18"/>
          <w:lang w:val="en-US"/>
        </w:rPr>
        <w:tab/>
      </w:r>
      <w:proofErr w:type="gramStart"/>
      <w:r w:rsidRPr="00807CEF">
        <w:rPr>
          <w:b/>
          <w:color w:val="FF0000"/>
          <w:szCs w:val="18"/>
          <w:lang w:val="en-US"/>
        </w:rPr>
        <w:t>“TRACTION” inscription from UNECE Regulation 117.</w:t>
      </w:r>
      <w:proofErr w:type="gramEnd"/>
    </w:p>
    <w:p w:rsidR="00776766" w:rsidRPr="00776766" w:rsidRDefault="00776766" w:rsidP="00776766">
      <w:pPr>
        <w:pStyle w:val="notessoustab"/>
        <w:tabs>
          <w:tab w:val="left" w:pos="297"/>
          <w:tab w:val="left" w:pos="709"/>
          <w:tab w:val="left" w:pos="1985"/>
        </w:tabs>
        <w:ind w:right="1134"/>
        <w:rPr>
          <w:b/>
          <w:bCs/>
          <w:sz w:val="18"/>
          <w:szCs w:val="18"/>
          <w:lang w:val="en-US"/>
        </w:rPr>
      </w:pPr>
    </w:p>
    <w:p w:rsidR="0041067B" w:rsidRPr="00AF2205" w:rsidRDefault="0041067B" w:rsidP="00653AC8">
      <w:pPr>
        <w:spacing w:before="240"/>
        <w:ind w:left="1134" w:right="1134"/>
        <w:jc w:val="center"/>
        <w:rPr>
          <w:u w:val="single"/>
          <w:lang w:val="en-GB"/>
        </w:rPr>
      </w:pPr>
    </w:p>
    <w:sectPr w:rsidR="0041067B" w:rsidRPr="00AF2205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6" w:rsidRDefault="004739A6"/>
  </w:endnote>
  <w:endnote w:type="continuationSeparator" w:id="0">
    <w:p w:rsidR="004739A6" w:rsidRDefault="004739A6"/>
  </w:endnote>
  <w:endnote w:type="continuationNotice" w:id="1">
    <w:p w:rsidR="004739A6" w:rsidRDefault="00473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7676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6" w:rsidRPr="00D27D5E" w:rsidRDefault="004739A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39A6" w:rsidRDefault="004739A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739A6" w:rsidRDefault="004739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3F0F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787A-A8B4-4961-B870-10F762D7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2396</Characters>
  <Application>Microsoft Office Word</Application>
  <DocSecurity>0</DocSecurity>
  <Lines>53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Guichard</cp:lastModifiedBy>
  <cp:revision>3</cp:revision>
  <cp:lastPrinted>2015-12-14T13:23:00Z</cp:lastPrinted>
  <dcterms:created xsi:type="dcterms:W3CDTF">2017-09-12T16:03:00Z</dcterms:created>
  <dcterms:modified xsi:type="dcterms:W3CDTF">2017-09-15T15:43:00Z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