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37FA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37FAC" w:rsidP="00B37FAC">
            <w:pPr>
              <w:jc w:val="right"/>
            </w:pPr>
            <w:r w:rsidRPr="00B37FAC">
              <w:rPr>
                <w:sz w:val="40"/>
              </w:rPr>
              <w:t>ECE</w:t>
            </w:r>
            <w:r>
              <w:t>/TRANS/WP.29/GRRF/2017/12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37FAC" w:rsidP="00C97039">
            <w:pPr>
              <w:spacing w:before="240"/>
            </w:pPr>
            <w:r>
              <w:t>Distr. générale</w:t>
            </w:r>
          </w:p>
          <w:p w:rsidR="00B37FAC" w:rsidRDefault="00B37FAC" w:rsidP="00B37FAC">
            <w:pPr>
              <w:spacing w:line="240" w:lineRule="exact"/>
            </w:pPr>
            <w:r>
              <w:t>7 juillet 2017</w:t>
            </w:r>
          </w:p>
          <w:p w:rsidR="00B37FAC" w:rsidRDefault="00B37FAC" w:rsidP="00B37FAC">
            <w:pPr>
              <w:spacing w:line="240" w:lineRule="exact"/>
            </w:pPr>
            <w:r>
              <w:t>Français</w:t>
            </w:r>
          </w:p>
          <w:p w:rsidR="00B37FAC" w:rsidRPr="00DB58B5" w:rsidRDefault="00B37FAC" w:rsidP="00B37FA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37FAC" w:rsidRDefault="00B37FA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37FAC" w:rsidRDefault="00B37FAC" w:rsidP="00257168">
      <w:pPr>
        <w:spacing w:before="120" w:after="120" w:line="240" w:lineRule="exact"/>
        <w:rPr>
          <w:b/>
        </w:rPr>
      </w:pPr>
      <w:r>
        <w:rPr>
          <w:b/>
        </w:rPr>
        <w:t>Groupe de travail en matière de roulement et de freinage</w:t>
      </w:r>
    </w:p>
    <w:p w:rsidR="00B37FAC" w:rsidRDefault="00B37FAC" w:rsidP="00257168">
      <w:pPr>
        <w:spacing w:before="120" w:line="240" w:lineRule="exact"/>
        <w:rPr>
          <w:b/>
        </w:rPr>
      </w:pPr>
      <w:r w:rsidRPr="00D57E95">
        <w:rPr>
          <w:b/>
          <w:lang w:val="fr-FR"/>
        </w:rPr>
        <w:t>Quatre</w:t>
      </w:r>
      <w:r>
        <w:rPr>
          <w:b/>
          <w:lang w:val="fr-FR"/>
        </w:rPr>
        <w:noBreakHyphen/>
      </w:r>
      <w:r w:rsidRPr="00D57E95">
        <w:rPr>
          <w:b/>
          <w:lang w:val="fr-FR"/>
        </w:rPr>
        <w:t>vingt</w:t>
      </w:r>
      <w:r>
        <w:rPr>
          <w:b/>
          <w:lang w:val="fr-FR"/>
        </w:rPr>
        <w:noBreakHyphen/>
      </w:r>
      <w:r w:rsidRPr="00D57E95">
        <w:rPr>
          <w:b/>
          <w:lang w:val="fr-FR"/>
        </w:rPr>
        <w:t>quatrième</w:t>
      </w:r>
      <w:r>
        <w:rPr>
          <w:b/>
        </w:rPr>
        <w:t> session</w:t>
      </w:r>
    </w:p>
    <w:p w:rsidR="00B37FAC" w:rsidRDefault="00B37FAC" w:rsidP="00257168">
      <w:pPr>
        <w:spacing w:line="240" w:lineRule="exact"/>
      </w:pPr>
      <w:r>
        <w:t xml:space="preserve">Genève, </w:t>
      </w:r>
      <w:r w:rsidRPr="00D57E95">
        <w:rPr>
          <w:lang w:val="fr-FR"/>
        </w:rPr>
        <w:t>19</w:t>
      </w:r>
      <w:r>
        <w:rPr>
          <w:lang w:val="fr-FR"/>
        </w:rPr>
        <w:noBreakHyphen/>
        <w:t>22 </w:t>
      </w:r>
      <w:r w:rsidRPr="00D57E95">
        <w:rPr>
          <w:lang w:val="fr-FR"/>
        </w:rPr>
        <w:t>septembre 2017</w:t>
      </w:r>
    </w:p>
    <w:p w:rsidR="00B37FAC" w:rsidRDefault="00A97211" w:rsidP="00257168">
      <w:pPr>
        <w:spacing w:line="240" w:lineRule="exact"/>
      </w:pPr>
      <w:r>
        <w:t>Point 3 c)</w:t>
      </w:r>
      <w:r w:rsidR="00B37FAC">
        <w:t xml:space="preserve"> de l’ordre du jour</w:t>
      </w:r>
    </w:p>
    <w:p w:rsidR="00F9573C" w:rsidRDefault="00A97211" w:rsidP="00AF0CB5">
      <w:pPr>
        <w:rPr>
          <w:b/>
          <w:lang w:val="fr-FR"/>
        </w:rPr>
      </w:pPr>
      <w:r w:rsidRPr="00D57E95">
        <w:rPr>
          <w:b/>
          <w:lang w:val="fr-FR"/>
        </w:rPr>
        <w:t xml:space="preserve">Règlements </w:t>
      </w:r>
      <w:r w:rsidRPr="00A97211">
        <w:rPr>
          <w:rFonts w:eastAsia="MS Mincho"/>
          <w:b/>
          <w:szCs w:val="22"/>
          <w:lang w:val="fr-FR"/>
        </w:rPr>
        <w:t>n</w:t>
      </w:r>
      <w:r w:rsidRPr="00A97211">
        <w:rPr>
          <w:rFonts w:eastAsia="MS Mincho"/>
          <w:b/>
          <w:szCs w:val="22"/>
          <w:vertAlign w:val="superscript"/>
          <w:lang w:val="fr-FR"/>
        </w:rPr>
        <w:t>o</w:t>
      </w:r>
      <w:r>
        <w:rPr>
          <w:rFonts w:eastAsia="MS Mincho"/>
          <w:b/>
          <w:szCs w:val="22"/>
          <w:vertAlign w:val="superscript"/>
          <w:lang w:val="fr-FR"/>
        </w:rPr>
        <w:t>s</w:t>
      </w:r>
      <w:r>
        <w:rPr>
          <w:b/>
          <w:lang w:val="fr-FR"/>
        </w:rPr>
        <w:t> </w:t>
      </w:r>
      <w:r w:rsidRPr="00D57E95">
        <w:rPr>
          <w:b/>
          <w:lang w:val="fr-FR"/>
        </w:rPr>
        <w:t>13 et 13</w:t>
      </w:r>
      <w:r>
        <w:rPr>
          <w:b/>
          <w:lang w:val="fr-FR"/>
        </w:rPr>
        <w:noBreakHyphen/>
        <w:t>H </w:t>
      </w:r>
      <w:r w:rsidRPr="00D57E95">
        <w:rPr>
          <w:b/>
          <w:lang w:val="fr-FR"/>
        </w:rPr>
        <w:t>: précisions</w:t>
      </w:r>
    </w:p>
    <w:p w:rsidR="00A97211" w:rsidRPr="00D57E95" w:rsidRDefault="00A97211" w:rsidP="00A97211">
      <w:pPr>
        <w:pStyle w:val="HChG"/>
      </w:pPr>
      <w:r>
        <w:rPr>
          <w:lang w:val="fr-FR"/>
        </w:rPr>
        <w:tab/>
      </w:r>
      <w:r>
        <w:rPr>
          <w:lang w:val="fr-FR"/>
        </w:rPr>
        <w:tab/>
      </w:r>
      <w:r w:rsidRPr="00D57E95">
        <w:rPr>
          <w:lang w:val="fr-FR"/>
        </w:rPr>
        <w:t>Proposition d</w:t>
      </w:r>
      <w:r>
        <w:rPr>
          <w:lang w:val="fr-FR"/>
        </w:rPr>
        <w:t>’</w:t>
      </w:r>
      <w:r w:rsidRPr="00D57E95">
        <w:rPr>
          <w:lang w:val="fr-FR"/>
        </w:rPr>
        <w:t xml:space="preserve">amendements </w:t>
      </w:r>
      <w:r>
        <w:rPr>
          <w:lang w:val="fr-FR"/>
        </w:rPr>
        <w:t xml:space="preserve">au Règlement </w:t>
      </w:r>
      <w:r w:rsidRPr="00A97211">
        <w:rPr>
          <w:rFonts w:eastAsia="MS Mincho"/>
          <w:szCs w:val="22"/>
          <w:lang w:val="fr-FR"/>
        </w:rPr>
        <w:t>n</w:t>
      </w:r>
      <w:r w:rsidRPr="00A97211">
        <w:rPr>
          <w:rFonts w:eastAsia="MS Mincho"/>
          <w:szCs w:val="22"/>
          <w:vertAlign w:val="superscript"/>
          <w:lang w:val="fr-FR"/>
        </w:rPr>
        <w:t>o</w:t>
      </w:r>
      <w:r>
        <w:rPr>
          <w:lang w:val="fr-FR"/>
        </w:rPr>
        <w:t> </w:t>
      </w:r>
      <w:r w:rsidRPr="00D57E95">
        <w:rPr>
          <w:lang w:val="fr-FR"/>
        </w:rPr>
        <w:t xml:space="preserve">13 </w:t>
      </w:r>
      <w:r>
        <w:rPr>
          <w:lang w:val="fr-FR"/>
        </w:rPr>
        <w:br/>
      </w:r>
      <w:r w:rsidRPr="00D57E95">
        <w:rPr>
          <w:lang w:val="fr-FR"/>
        </w:rPr>
        <w:t xml:space="preserve">(Freinage des véhicules lourds) </w:t>
      </w:r>
    </w:p>
    <w:p w:rsidR="00A97211" w:rsidRDefault="00A97211" w:rsidP="00A97211">
      <w:pPr>
        <w:pStyle w:val="H1G"/>
        <w:rPr>
          <w:b w:val="0"/>
          <w:sz w:val="20"/>
        </w:rPr>
      </w:pPr>
      <w:r>
        <w:rPr>
          <w:lang w:val="fr-FR"/>
        </w:rPr>
        <w:tab/>
      </w:r>
      <w:r>
        <w:rPr>
          <w:lang w:val="fr-FR"/>
        </w:rPr>
        <w:tab/>
      </w:r>
      <w:r w:rsidRPr="00D57E95">
        <w:rPr>
          <w:lang w:val="fr-FR"/>
        </w:rPr>
        <w:t>Communication des experts de la France et de l</w:t>
      </w:r>
      <w:r>
        <w:rPr>
          <w:lang w:val="fr-FR"/>
        </w:rPr>
        <w:t>’</w:t>
      </w:r>
      <w:r w:rsidRPr="00D57E95">
        <w:rPr>
          <w:lang w:val="fr-FR"/>
        </w:rPr>
        <w:t>Allemagne</w:t>
      </w:r>
      <w:r w:rsidRPr="00A97211">
        <w:rPr>
          <w:rStyle w:val="FootnoteReference"/>
          <w:b w:val="0"/>
          <w:sz w:val="20"/>
          <w:vertAlign w:val="baseline"/>
        </w:rPr>
        <w:footnoteReference w:customMarkFollows="1" w:id="2"/>
        <w:t>*</w:t>
      </w:r>
    </w:p>
    <w:p w:rsidR="005C0888" w:rsidRDefault="00F84A29" w:rsidP="00F84A29">
      <w:pPr>
        <w:pStyle w:val="SingleTxtG"/>
        <w:ind w:firstLine="567"/>
        <w:rPr>
          <w:lang w:val="fr-FR"/>
        </w:rPr>
      </w:pPr>
      <w:r w:rsidRPr="00D57E95">
        <w:rPr>
          <w:lang w:val="fr-FR"/>
        </w:rPr>
        <w:t>Le texte ci</w:t>
      </w:r>
      <w:r>
        <w:rPr>
          <w:lang w:val="fr-FR"/>
        </w:rPr>
        <w:noBreakHyphen/>
      </w:r>
      <w:r w:rsidRPr="00D57E95">
        <w:rPr>
          <w:lang w:val="fr-FR"/>
        </w:rPr>
        <w:t>après, établi par les experts de la France et de l</w:t>
      </w:r>
      <w:r>
        <w:rPr>
          <w:lang w:val="fr-FR"/>
        </w:rPr>
        <w:t>’</w:t>
      </w:r>
      <w:r w:rsidRPr="00D57E95">
        <w:rPr>
          <w:lang w:val="fr-FR"/>
        </w:rPr>
        <w:t xml:space="preserve">Allemagne, </w:t>
      </w:r>
      <w:r w:rsidRPr="00F84A29">
        <w:rPr>
          <w:lang w:val="fr-FR"/>
        </w:rPr>
        <w:t>vise à simplifier la vérification de l’amplitude de mouvement du dispositif d’équilibrage sans qu’il soit nécessaire d’effectuer des mesures sous la remorque dans une position susceptible de poser des problèmes de sécurité. Les modifications qu’il est proposé d’apporter au texte actuel du Règlement apparaissent en caractères gras pour les ajouts et en caractère</w:t>
      </w:r>
      <w:r w:rsidRPr="00D57E95">
        <w:rPr>
          <w:lang w:val="fr-FR"/>
        </w:rPr>
        <w:t>s biffés pour les suppressions.</w:t>
      </w:r>
    </w:p>
    <w:p w:rsidR="00F84A29" w:rsidRDefault="005C0888" w:rsidP="005C0888">
      <w:pPr>
        <w:pStyle w:val="HChG"/>
        <w:rPr>
          <w:lang w:val="fr-FR"/>
        </w:rPr>
      </w:pPr>
      <w:r>
        <w:rPr>
          <w:lang w:val="fr-FR"/>
        </w:rPr>
        <w:br w:type="page"/>
      </w:r>
      <w:r>
        <w:rPr>
          <w:lang w:val="fr-FR"/>
        </w:rPr>
        <w:lastRenderedPageBreak/>
        <w:tab/>
      </w:r>
      <w:r w:rsidRPr="00D57E95">
        <w:rPr>
          <w:lang w:val="fr-FR"/>
        </w:rPr>
        <w:t>I.</w:t>
      </w:r>
      <w:r w:rsidRPr="00D57E95">
        <w:rPr>
          <w:lang w:val="fr-FR"/>
        </w:rPr>
        <w:tab/>
        <w:t>Proposition</w:t>
      </w:r>
    </w:p>
    <w:p w:rsidR="00113AF3" w:rsidRPr="005C0888" w:rsidRDefault="005C0888" w:rsidP="005C0888">
      <w:pPr>
        <w:pStyle w:val="SingleTxtG"/>
        <w:rPr>
          <w:i/>
        </w:rPr>
      </w:pPr>
      <w:r>
        <w:rPr>
          <w:i/>
          <w:iCs/>
          <w:lang w:val="fr-FR"/>
        </w:rPr>
        <w:t>Annexe </w:t>
      </w:r>
      <w:r w:rsidR="007B2876" w:rsidRPr="005C0888">
        <w:rPr>
          <w:i/>
          <w:iCs/>
          <w:lang w:val="fr-FR"/>
        </w:rPr>
        <w:t>12,</w:t>
      </w:r>
      <w:r w:rsidR="007B2876" w:rsidRPr="005C0888">
        <w:rPr>
          <w:lang w:val="fr-FR"/>
        </w:rPr>
        <w:t xml:space="preserve"> </w:t>
      </w:r>
    </w:p>
    <w:p w:rsidR="00113AF3" w:rsidRPr="005C0888" w:rsidRDefault="005C0888" w:rsidP="005C0888">
      <w:pPr>
        <w:pStyle w:val="SingleTxtG"/>
      </w:pPr>
      <w:r>
        <w:rPr>
          <w:i/>
          <w:iCs/>
          <w:lang w:val="fr-FR"/>
        </w:rPr>
        <w:t>Paragraphes </w:t>
      </w:r>
      <w:r w:rsidR="007B2876" w:rsidRPr="005C0888">
        <w:rPr>
          <w:i/>
          <w:iCs/>
          <w:lang w:val="fr-FR"/>
        </w:rPr>
        <w:t>2.3.10 et 2.3.11</w:t>
      </w:r>
      <w:r w:rsidR="007B2876" w:rsidRPr="005C0888">
        <w:rPr>
          <w:lang w:val="fr-FR"/>
        </w:rPr>
        <w:t>, supprimer.</w:t>
      </w:r>
    </w:p>
    <w:p w:rsidR="00113AF3" w:rsidRDefault="005C0888" w:rsidP="005C0888">
      <w:pPr>
        <w:pStyle w:val="SingleTxtG"/>
        <w:rPr>
          <w:lang w:val="fr-FR"/>
        </w:rPr>
      </w:pPr>
      <w:r>
        <w:rPr>
          <w:i/>
          <w:iCs/>
          <w:lang w:val="fr-FR"/>
        </w:rPr>
        <w:t>Paragraphe </w:t>
      </w:r>
      <w:r w:rsidR="007B2876" w:rsidRPr="005C0888">
        <w:rPr>
          <w:i/>
          <w:iCs/>
          <w:lang w:val="fr-FR"/>
        </w:rPr>
        <w:t>2.3.12</w:t>
      </w:r>
      <w:r w:rsidR="007B2876" w:rsidRPr="005C0888">
        <w:rPr>
          <w:lang w:val="fr-FR"/>
        </w:rPr>
        <w:t>, ren</w:t>
      </w:r>
      <w:r>
        <w:rPr>
          <w:lang w:val="fr-FR"/>
        </w:rPr>
        <w:t>uméroter et modifier comme suit </w:t>
      </w:r>
      <w:r w:rsidR="007B2876" w:rsidRPr="005C0888">
        <w:rPr>
          <w:lang w:val="fr-FR"/>
        </w:rPr>
        <w:t>:</w:t>
      </w:r>
    </w:p>
    <w:p w:rsidR="0065038A" w:rsidRPr="005C0888" w:rsidRDefault="00402C15" w:rsidP="0065038A">
      <w:pPr>
        <w:pStyle w:val="SingleTxtG"/>
        <w:tabs>
          <w:tab w:val="left" w:pos="2268"/>
        </w:tabs>
        <w:ind w:left="2835" w:hanging="1701"/>
      </w:pPr>
      <w:r>
        <w:rPr>
          <w:lang w:val="fr-FR"/>
        </w:rPr>
        <w:t>« </w:t>
      </w:r>
      <w:r w:rsidR="0065038A" w:rsidRPr="00D57E95">
        <w:rPr>
          <w:lang w:val="fr-FR"/>
        </w:rPr>
        <w:t xml:space="preserve">2.3.10 </w:t>
      </w:r>
      <w:r w:rsidR="0065038A" w:rsidRPr="00D57E95">
        <w:rPr>
          <w:lang w:val="fr-FR"/>
        </w:rPr>
        <w:tab/>
        <w:t>S</w:t>
      </w:r>
      <w:r w:rsidR="0065038A">
        <w:rPr>
          <w:vertAlign w:val="subscript"/>
          <w:lang w:val="fr-FR"/>
        </w:rPr>
        <w:t>cd</w:t>
      </w:r>
      <w:r w:rsidR="0065038A" w:rsidRPr="00D57E95">
        <w:rPr>
          <w:lang w:val="fr-FR"/>
        </w:rPr>
        <w:tab/>
      </w:r>
      <w:r w:rsidR="0065038A" w:rsidRPr="0065038A">
        <w:rPr>
          <w:lang w:val="fr-FR"/>
        </w:rPr>
        <w:t xml:space="preserve">Course différentielle </w:t>
      </w:r>
      <w:r w:rsidR="0065038A" w:rsidRPr="0065038A">
        <w:rPr>
          <w:b/>
          <w:bCs/>
          <w:lang w:val="fr-FR"/>
        </w:rPr>
        <w:t>maximale</w:t>
      </w:r>
      <w:r w:rsidR="0065038A" w:rsidRPr="0065038A">
        <w:rPr>
          <w:lang w:val="fr-FR"/>
        </w:rPr>
        <w:t xml:space="preserve"> </w:t>
      </w:r>
      <w:r w:rsidR="0065038A" w:rsidRPr="0065038A">
        <w:rPr>
          <w:strike/>
          <w:lang w:val="fr-FR"/>
        </w:rPr>
        <w:t>au niveau du</w:t>
      </w:r>
      <w:r w:rsidR="0065038A" w:rsidRPr="0065038A">
        <w:rPr>
          <w:lang w:val="fr-FR"/>
        </w:rPr>
        <w:t xml:space="preserve"> </w:t>
      </w:r>
      <w:r w:rsidR="0065038A" w:rsidRPr="0065038A">
        <w:rPr>
          <w:b/>
          <w:bCs/>
          <w:lang w:val="fr-FR"/>
        </w:rPr>
        <w:t>que le</w:t>
      </w:r>
      <w:r w:rsidR="0065038A" w:rsidRPr="0065038A">
        <w:rPr>
          <w:lang w:val="fr-FR"/>
        </w:rPr>
        <w:t xml:space="preserve"> compensateur </w:t>
      </w:r>
      <w:r w:rsidR="0065038A" w:rsidRPr="0065038A">
        <w:rPr>
          <w:b/>
          <w:bCs/>
          <w:lang w:val="fr-FR"/>
        </w:rPr>
        <w:t>peut admettre, de par ses propriétés géométriques et sa construction,</w:t>
      </w:r>
      <w:r w:rsidR="0065038A" w:rsidRPr="0065038A">
        <w:rPr>
          <w:lang w:val="fr-FR"/>
        </w:rPr>
        <w:t xml:space="preserve"> lorsque seul un frein est actionné en marche avant tandis que l’autre est actionné dans l’autre sens,</w:t>
      </w:r>
      <w:r w:rsidR="0065038A" w:rsidRPr="0065038A">
        <w:rPr>
          <w:b/>
          <w:bCs/>
          <w:lang w:val="fr-FR"/>
        </w:rPr>
        <w:t xml:space="preserve"> de façon à garantir l’application de tensions égales à chacun(e) des deux câbles/tiges</w:t>
      </w:r>
      <w:r w:rsidR="0065038A" w:rsidRPr="0065038A">
        <w:rPr>
          <w:lang w:val="fr-FR"/>
        </w:rPr>
        <w:t>.</w:t>
      </w:r>
    </w:p>
    <w:p w:rsidR="00113AF3" w:rsidRPr="005C0888" w:rsidRDefault="007B2876" w:rsidP="00052B0E">
      <w:pPr>
        <w:pStyle w:val="SingleTxtG"/>
        <w:ind w:left="2835" w:hanging="567"/>
      </w:pPr>
      <w:r w:rsidRPr="001F4809">
        <w:rPr>
          <w:strike/>
          <w:lang w:val="fr-FR"/>
        </w:rPr>
        <w:t>où</w:t>
      </w:r>
      <w:r w:rsidR="009B575C" w:rsidRPr="001F4809">
        <w:rPr>
          <w:strike/>
          <w:lang w:val="fr-FR"/>
        </w:rPr>
        <w:t> </w:t>
      </w:r>
      <w:r w:rsidRPr="001F4809">
        <w:rPr>
          <w:strike/>
          <w:lang w:val="fr-FR"/>
        </w:rPr>
        <w:t>: s</w:t>
      </w:r>
      <w:r w:rsidRPr="001F4809">
        <w:rPr>
          <w:strike/>
          <w:vertAlign w:val="subscript"/>
          <w:lang w:val="fr-FR"/>
        </w:rPr>
        <w:t>cd</w:t>
      </w:r>
      <w:r w:rsidR="009B575C" w:rsidRPr="001F4809">
        <w:rPr>
          <w:strike/>
          <w:lang w:val="fr-FR"/>
        </w:rPr>
        <w:t> = </w:t>
      </w:r>
      <w:r w:rsidRPr="001F4809">
        <w:rPr>
          <w:strike/>
          <w:lang w:val="fr-FR"/>
        </w:rPr>
        <w:t>s</w:t>
      </w:r>
      <w:r w:rsidRPr="001F4809">
        <w:rPr>
          <w:strike/>
          <w:vertAlign w:val="subscript"/>
          <w:lang w:val="fr-FR"/>
        </w:rPr>
        <w:t>cr</w:t>
      </w:r>
      <w:r w:rsidR="009B575C" w:rsidRPr="001F4809">
        <w:rPr>
          <w:strike/>
          <w:lang w:val="fr-FR"/>
        </w:rPr>
        <w:t> - </w:t>
      </w:r>
      <w:r w:rsidRPr="001F4809">
        <w:rPr>
          <w:strike/>
          <w:lang w:val="fr-FR"/>
        </w:rPr>
        <w:t>s</w:t>
      </w:r>
      <w:r w:rsidRPr="001F4809">
        <w:rPr>
          <w:strike/>
          <w:vertAlign w:val="subscript"/>
          <w:lang w:val="fr-FR"/>
        </w:rPr>
        <w:t>cf</w:t>
      </w:r>
      <w:r w:rsidRPr="005C0888">
        <w:rPr>
          <w:lang w:val="fr-FR"/>
        </w:rPr>
        <w:t xml:space="preserve"> </w:t>
      </w:r>
      <w:r w:rsidR="009B575C">
        <w:rPr>
          <w:lang w:val="fr-FR"/>
        </w:rPr>
        <w:t>(voir la figure </w:t>
      </w:r>
      <w:r w:rsidRPr="005C0888">
        <w:rPr>
          <w:lang w:val="fr-FR"/>
        </w:rPr>
        <w:t>5A de l’</w:t>
      </w:r>
      <w:r w:rsidR="009B575C">
        <w:rPr>
          <w:lang w:val="fr-FR"/>
        </w:rPr>
        <w:t>appendice </w:t>
      </w:r>
      <w:r w:rsidR="005C0888">
        <w:rPr>
          <w:lang w:val="fr-FR"/>
        </w:rPr>
        <w:t>1) »</w:t>
      </w:r>
    </w:p>
    <w:p w:rsidR="00113AF3" w:rsidRPr="005C0888" w:rsidRDefault="00B162CF" w:rsidP="005C0888">
      <w:pPr>
        <w:pStyle w:val="SingleTxtG"/>
      </w:pPr>
      <w:r>
        <w:rPr>
          <w:i/>
          <w:iCs/>
          <w:lang w:val="fr-FR"/>
        </w:rPr>
        <w:t>Note de bas de page </w:t>
      </w:r>
      <w:r w:rsidR="007B2876" w:rsidRPr="005C0888">
        <w:rPr>
          <w:i/>
          <w:iCs/>
          <w:lang w:val="fr-FR"/>
        </w:rPr>
        <w:t>1</w:t>
      </w:r>
      <w:r w:rsidR="007B2876" w:rsidRPr="005C0888">
        <w:rPr>
          <w:lang w:val="fr-FR"/>
        </w:rPr>
        <w:t>, supprimer.</w:t>
      </w:r>
    </w:p>
    <w:p w:rsidR="00113AF3" w:rsidRPr="005C0888" w:rsidRDefault="00B162CF" w:rsidP="005C0888">
      <w:pPr>
        <w:pStyle w:val="SingleTxtG"/>
      </w:pPr>
      <w:r>
        <w:rPr>
          <w:i/>
          <w:lang w:val="fr-FR"/>
        </w:rPr>
        <w:t>Paragraphe </w:t>
      </w:r>
      <w:r w:rsidR="007B2876" w:rsidRPr="005C0888">
        <w:rPr>
          <w:i/>
          <w:lang w:val="fr-FR"/>
        </w:rPr>
        <w:t>8.1.2</w:t>
      </w:r>
      <w:r w:rsidR="007B2876" w:rsidRPr="005C0888">
        <w:rPr>
          <w:lang w:val="fr-FR"/>
        </w:rPr>
        <w:t>, modifier comme suit</w:t>
      </w:r>
      <w:r w:rsidR="001F4809">
        <w:rPr>
          <w:lang w:val="fr-FR"/>
        </w:rPr>
        <w:t> </w:t>
      </w:r>
      <w:r w:rsidR="007B2876" w:rsidRPr="005C0888">
        <w:rPr>
          <w:lang w:val="fr-FR"/>
        </w:rPr>
        <w:t>:</w:t>
      </w:r>
    </w:p>
    <w:p w:rsidR="00113AF3" w:rsidRPr="005C0888" w:rsidRDefault="00B162CF" w:rsidP="001F4809">
      <w:pPr>
        <w:pStyle w:val="SingleTxtG"/>
        <w:ind w:left="2268" w:hanging="1134"/>
      </w:pPr>
      <w:r>
        <w:t>« </w:t>
      </w:r>
      <w:r>
        <w:rPr>
          <w:lang w:val="fr-FR"/>
        </w:rPr>
        <w:t>8.1.2</w:t>
      </w:r>
      <w:r>
        <w:rPr>
          <w:lang w:val="fr-FR"/>
        </w:rPr>
        <w:tab/>
      </w:r>
      <w:r w:rsidR="007B2876" w:rsidRPr="005C0888">
        <w:rPr>
          <w:lang w:val="fr-FR"/>
        </w:rPr>
        <w:t>Les détails concernant la traction doivent être fournis, afin qu’il puisse être démontré que l’articulation du compensateur suffit à garantir l’application de tensions égales à chacun des câbles arrière. Le compensateur doit être suffisamment large pour faciliter les courses différentielles de gauche à droite. Les mâchoires de la chape d’attelage doivent aussi être suffisamment profondes par rapport à leur largeur afin qu’elles n’entravent pas l’articulation lorsque le compensateur n’est pas parallèle aux essieux.</w:t>
      </w:r>
    </w:p>
    <w:p w:rsidR="00113AF3" w:rsidRPr="005C0888" w:rsidRDefault="007B2876" w:rsidP="00A45E21">
      <w:pPr>
        <w:pStyle w:val="SingleTxtG"/>
        <w:spacing w:after="0"/>
        <w:ind w:left="2268"/>
        <w:rPr>
          <w:lang w:val="fr-FR"/>
        </w:rPr>
      </w:pPr>
      <w:r w:rsidRPr="005C0888">
        <w:rPr>
          <w:lang w:val="fr-FR"/>
        </w:rPr>
        <w:t>La course différentielle au niveau du compensateur (s</w:t>
      </w:r>
      <w:r w:rsidRPr="005C0888">
        <w:rPr>
          <w:vertAlign w:val="subscript"/>
          <w:lang w:val="fr-FR"/>
        </w:rPr>
        <w:t>cd</w:t>
      </w:r>
      <w:r w:rsidRPr="005C0888">
        <w:rPr>
          <w:lang w:val="fr-FR"/>
        </w:rPr>
        <w:t>) doit être calculée à l’aide de la formule suivante :</w:t>
      </w:r>
    </w:p>
    <w:p w:rsidR="00113AF3" w:rsidRPr="005C0888" w:rsidRDefault="007B2876" w:rsidP="00224BCA">
      <w:pPr>
        <w:pStyle w:val="SingleTxtG"/>
        <w:jc w:val="center"/>
        <w:rPr>
          <w:lang w:val="fr-FR"/>
        </w:rPr>
      </w:pPr>
      <w:r w:rsidRPr="00224BCA">
        <w:rPr>
          <w:strike/>
          <w:lang w:val="fr-FR"/>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1pt;height:18.1pt" o:ole="">
            <v:imagedata r:id="rId9" o:title=""/>
          </v:shape>
          <o:OLEObject Type="Embed" ProgID="Equation.3" ShapeID="_x0000_i1025" DrawAspect="Content" ObjectID="_1564321273" r:id="rId10"/>
        </w:object>
      </w:r>
    </w:p>
    <w:p w:rsidR="00113AF3" w:rsidRPr="005C0888" w:rsidRDefault="007B2876" w:rsidP="00224BCA">
      <w:pPr>
        <w:pStyle w:val="SingleTxtG"/>
        <w:ind w:left="2268"/>
        <w:rPr>
          <w:b/>
          <w:vertAlign w:val="subscript"/>
        </w:rPr>
      </w:pPr>
      <w:r w:rsidRPr="005C0888">
        <w:rPr>
          <w:b/>
          <w:bCs/>
        </w:rPr>
        <w:t>S</w:t>
      </w:r>
      <w:r w:rsidRPr="005C0888">
        <w:rPr>
          <w:b/>
          <w:bCs/>
          <w:vertAlign w:val="subscript"/>
        </w:rPr>
        <w:t>cd</w:t>
      </w:r>
      <w:r w:rsidR="009B0D6B">
        <w:rPr>
          <w:b/>
          <w:bCs/>
        </w:rPr>
        <w:t> ≥ 1,2 • </w:t>
      </w:r>
      <w:r w:rsidRPr="005C0888">
        <w:rPr>
          <w:b/>
          <w:bCs/>
        </w:rPr>
        <w:t>S</w:t>
      </w:r>
      <w:r w:rsidRPr="005C0888">
        <w:rPr>
          <w:b/>
          <w:bCs/>
          <w:vertAlign w:val="subscript"/>
        </w:rPr>
        <w:t>r</w:t>
      </w:r>
    </w:p>
    <w:p w:rsidR="00113AF3" w:rsidRPr="00224BCA" w:rsidRDefault="007B2876" w:rsidP="00784EF1">
      <w:pPr>
        <w:pStyle w:val="SingleTxtG"/>
        <w:spacing w:after="0"/>
        <w:ind w:left="2268"/>
        <w:rPr>
          <w:strike/>
          <w:lang w:val="fr-FR"/>
        </w:rPr>
      </w:pPr>
      <w:r w:rsidRPr="00224BCA">
        <w:rPr>
          <w:strike/>
          <w:lang w:val="fr-FR"/>
        </w:rPr>
        <w:t>où</w:t>
      </w:r>
      <w:r w:rsidR="00224BCA" w:rsidRPr="00224BCA">
        <w:rPr>
          <w:strike/>
          <w:lang w:val="fr-FR"/>
        </w:rPr>
        <w:t> </w:t>
      </w:r>
      <w:r w:rsidRPr="00224BCA">
        <w:rPr>
          <w:strike/>
          <w:lang w:val="fr-FR"/>
        </w:rPr>
        <w:t>:</w:t>
      </w:r>
    </w:p>
    <w:p w:rsidR="00113AF3" w:rsidRPr="00224BCA" w:rsidRDefault="007B2876" w:rsidP="00784EF1">
      <w:pPr>
        <w:pStyle w:val="SingleTxtG"/>
        <w:spacing w:after="0"/>
        <w:ind w:left="2268"/>
        <w:rPr>
          <w:strike/>
          <w:vertAlign w:val="subscript"/>
          <w:lang w:val="fr-FR"/>
        </w:rPr>
      </w:pPr>
      <w:r w:rsidRPr="00224BCA">
        <w:rPr>
          <w:strike/>
          <w:lang w:val="fr-FR"/>
        </w:rPr>
        <w:t>S</w:t>
      </w:r>
      <w:r w:rsidRPr="00224BCA">
        <w:rPr>
          <w:strike/>
          <w:vertAlign w:val="subscript"/>
          <w:lang w:val="fr-FR"/>
        </w:rPr>
        <w:t>c</w:t>
      </w:r>
      <w:r w:rsidRPr="00224BCA">
        <w:rPr>
          <w:strike/>
          <w:lang w:val="fr-FR"/>
        </w:rPr>
        <w:t>’ = S’/i</w:t>
      </w:r>
      <w:r w:rsidRPr="00224BCA">
        <w:rPr>
          <w:strike/>
          <w:vertAlign w:val="subscript"/>
          <w:lang w:val="fr-FR"/>
        </w:rPr>
        <w:t>H</w:t>
      </w:r>
      <w:r w:rsidRPr="00224BCA">
        <w:rPr>
          <w:strike/>
          <w:lang w:val="fr-FR"/>
        </w:rPr>
        <w:tab/>
        <w:t>(course au niveau du compensateur − fonctionnement en marche avant) et S</w:t>
      </w:r>
      <w:r w:rsidRPr="00224BCA">
        <w:rPr>
          <w:strike/>
          <w:vertAlign w:val="subscript"/>
          <w:lang w:val="fr-FR"/>
        </w:rPr>
        <w:t>c’</w:t>
      </w:r>
      <w:r w:rsidRPr="00224BCA">
        <w:rPr>
          <w:strike/>
          <w:lang w:val="fr-FR"/>
        </w:rPr>
        <w:t> = 2∙S</w:t>
      </w:r>
      <w:r w:rsidRPr="00224BCA">
        <w:rPr>
          <w:strike/>
          <w:vertAlign w:val="subscript"/>
          <w:lang w:val="fr-FR"/>
        </w:rPr>
        <w:t>B</w:t>
      </w:r>
      <w:r w:rsidRPr="00224BCA">
        <w:rPr>
          <w:strike/>
          <w:lang w:val="fr-FR"/>
        </w:rPr>
        <w:t>/i</w:t>
      </w:r>
      <w:r w:rsidRPr="00224BCA">
        <w:rPr>
          <w:strike/>
          <w:vertAlign w:val="subscript"/>
          <w:lang w:val="fr-FR"/>
        </w:rPr>
        <w:t>g</w:t>
      </w:r>
    </w:p>
    <w:p w:rsidR="000426FD" w:rsidRDefault="007B2876" w:rsidP="00224BCA">
      <w:pPr>
        <w:pStyle w:val="SingleTxtG"/>
        <w:ind w:left="2268"/>
      </w:pPr>
      <w:r w:rsidRPr="00224BCA">
        <w:rPr>
          <w:strike/>
          <w:lang w:val="fr-FR"/>
        </w:rPr>
        <w:t>S</w:t>
      </w:r>
      <w:r w:rsidRPr="00224BCA">
        <w:rPr>
          <w:strike/>
          <w:vertAlign w:val="subscript"/>
          <w:lang w:val="fr-FR"/>
        </w:rPr>
        <w:t>cr</w:t>
      </w:r>
      <w:r w:rsidRPr="00224BCA">
        <w:rPr>
          <w:strike/>
          <w:lang w:val="fr-FR"/>
        </w:rPr>
        <w:t xml:space="preserve"> = S</w:t>
      </w:r>
      <w:r w:rsidRPr="00224BCA">
        <w:rPr>
          <w:strike/>
          <w:vertAlign w:val="subscript"/>
          <w:lang w:val="fr-FR"/>
        </w:rPr>
        <w:t>r</w:t>
      </w:r>
      <w:r w:rsidRPr="00224BCA">
        <w:rPr>
          <w:strike/>
          <w:lang w:val="fr-FR"/>
        </w:rPr>
        <w:t>/i</w:t>
      </w:r>
      <w:r w:rsidRPr="00224BCA">
        <w:rPr>
          <w:strike/>
          <w:vertAlign w:val="subscript"/>
          <w:lang w:val="fr-FR"/>
        </w:rPr>
        <w:t>H</w:t>
      </w:r>
      <w:r w:rsidRPr="00224BCA">
        <w:rPr>
          <w:strike/>
          <w:lang w:val="fr-FR"/>
        </w:rPr>
        <w:tab/>
        <w:t>(course au niveau du compensateur − fonctionnement en marche arrière)</w:t>
      </w:r>
      <w:r w:rsidRPr="005C0888">
        <w:rPr>
          <w:lang w:val="fr-FR"/>
        </w:rPr>
        <w:t>.</w:t>
      </w:r>
      <w:r w:rsidR="00224BCA">
        <w:t> »</w:t>
      </w:r>
      <w:r w:rsidRPr="005C0888">
        <w:t>.</w:t>
      </w:r>
    </w:p>
    <w:p w:rsidR="00113AF3" w:rsidRPr="00224BCA" w:rsidRDefault="000426FD" w:rsidP="00224BCA">
      <w:pPr>
        <w:pStyle w:val="SingleTxtG"/>
        <w:ind w:left="2268"/>
        <w:rPr>
          <w:lang w:val="fr-FR"/>
        </w:rPr>
      </w:pPr>
      <w:r>
        <w:br w:type="page"/>
      </w:r>
    </w:p>
    <w:p w:rsidR="005C0888" w:rsidRDefault="00052EC4" w:rsidP="005C0888">
      <w:pPr>
        <w:pStyle w:val="SingleTxtG"/>
        <w:rPr>
          <w:lang w:val="fr-FR"/>
        </w:rPr>
      </w:pPr>
      <w:r>
        <w:rPr>
          <w:i/>
          <w:iCs/>
          <w:lang w:val="fr-FR"/>
        </w:rPr>
        <w:t>Annexe </w:t>
      </w:r>
      <w:r w:rsidR="000426FD">
        <w:rPr>
          <w:i/>
          <w:iCs/>
          <w:lang w:val="fr-FR"/>
        </w:rPr>
        <w:t>12, appendice 1, figure </w:t>
      </w:r>
      <w:r w:rsidR="007B2876" w:rsidRPr="005C0888">
        <w:rPr>
          <w:i/>
          <w:iCs/>
          <w:lang w:val="fr-FR"/>
        </w:rPr>
        <w:t>5A</w:t>
      </w:r>
      <w:r w:rsidR="007B2876" w:rsidRPr="005C0888">
        <w:rPr>
          <w:lang w:val="fr-FR"/>
        </w:rPr>
        <w:t>, modifier comme suit :</w:t>
      </w:r>
    </w:p>
    <w:p w:rsidR="001F379B" w:rsidRDefault="001F379B" w:rsidP="001F379B">
      <w:pPr>
        <w:pStyle w:val="H23G"/>
        <w:rPr>
          <w:b w:val="0"/>
          <w:lang w:val="fr-FR"/>
        </w:rPr>
      </w:pPr>
      <w:r>
        <w:rPr>
          <w:lang w:val="fr-FR"/>
        </w:rPr>
        <w:tab/>
      </w:r>
      <w:r>
        <w:rPr>
          <w:lang w:val="fr-FR"/>
        </w:rPr>
        <w:tab/>
      </w:r>
      <w:r w:rsidRPr="001F379B">
        <w:rPr>
          <w:b w:val="0"/>
          <w:lang w:val="fr-FR"/>
        </w:rPr>
        <w:t>Figure </w:t>
      </w:r>
      <w:r w:rsidR="007B2876" w:rsidRPr="001F379B">
        <w:rPr>
          <w:b w:val="0"/>
          <w:lang w:val="fr-FR"/>
        </w:rPr>
        <w:t>5A</w:t>
      </w:r>
      <w:r w:rsidR="007B2876" w:rsidRPr="001F379B">
        <w:rPr>
          <w:lang w:val="fr-FR"/>
        </w:rPr>
        <w:br/>
        <w:t>Freins à transmission mécanique</w:t>
      </w:r>
      <w:r w:rsidRPr="001F379B">
        <w:rPr>
          <w:lang w:val="fr-FR"/>
        </w:rPr>
        <w:t xml:space="preserve"> </w:t>
      </w:r>
      <w:r>
        <w:rPr>
          <w:lang w:val="fr-FR"/>
        </w:rPr>
        <w:br/>
      </w:r>
      <w:r w:rsidR="007B2876" w:rsidRPr="0088268B">
        <w:rPr>
          <w:b w:val="0"/>
          <w:lang w:val="fr-FR"/>
        </w:rPr>
        <w:t>(Voir par. 2.3 de la présente annexe)</w:t>
      </w:r>
    </w:p>
    <w:p w:rsidR="002C09E8" w:rsidRDefault="0062099F" w:rsidP="002C09E8">
      <w:pPr>
        <w:rPr>
          <w:lang w:val="fr-FR"/>
        </w:rPr>
      </w:pPr>
      <w:r w:rsidRPr="0062099F">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3891179</wp:posOffset>
                </wp:positionH>
                <wp:positionV relativeFrom="paragraph">
                  <wp:posOffset>3211265</wp:posOffset>
                </wp:positionV>
                <wp:extent cx="325369" cy="286101"/>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69" cy="286101"/>
                        </a:xfrm>
                        <a:prstGeom prst="rect">
                          <a:avLst/>
                        </a:prstGeom>
                        <a:solidFill>
                          <a:srgbClr val="FFFFFF"/>
                        </a:solidFill>
                        <a:ln w="9525">
                          <a:noFill/>
                          <a:miter lim="800000"/>
                          <a:headEnd/>
                          <a:tailEnd/>
                        </a:ln>
                      </wps:spPr>
                      <wps:txbx>
                        <w:txbxContent>
                          <w:p w:rsidR="0062099F" w:rsidRDefault="0062099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306.4pt;margin-top:252.85pt;width:25.6pt;height:2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" stroked="f">
                <v:textbox>
                  <w:txbxContent>
                    <w:p w:rsidR="0062099F" w:rsidRDefault="0062099F">
                      <w:r>
                        <w:t>».</w:t>
                      </w:r>
                    </w:p>
                  </w:txbxContent>
                </v:textbox>
              </v:shape>
            </w:pict>
          </mc:Fallback>
        </mc:AlternateContent>
      </w:r>
      <w:r w:rsidRPr="0062099F">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648705</wp:posOffset>
                </wp:positionH>
                <wp:positionV relativeFrom="paragraph">
                  <wp:posOffset>1449783</wp:posOffset>
                </wp:positionV>
                <wp:extent cx="3781016" cy="252442"/>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016" cy="252442"/>
                        </a:xfrm>
                        <a:prstGeom prst="rect">
                          <a:avLst/>
                        </a:prstGeom>
                        <a:solidFill>
                          <a:srgbClr val="FFFFFF"/>
                        </a:solidFill>
                        <a:ln w="9525">
                          <a:noFill/>
                          <a:miter lim="800000"/>
                          <a:headEnd/>
                          <a:tailEnd/>
                        </a:ln>
                      </wps:spPr>
                      <wps:txbx>
                        <w:txbxContent>
                          <w:p w:rsidR="0062099F" w:rsidRPr="0062099F" w:rsidRDefault="0062099F">
                            <w:pPr>
                              <w:rPr>
                                <w:b/>
                                <w:sz w:val="16"/>
                                <w:szCs w:val="16"/>
                              </w:rPr>
                            </w:pPr>
                            <w:r w:rsidRPr="0062099F">
                              <w:rPr>
                                <w:b/>
                                <w:sz w:val="16"/>
                                <w:szCs w:val="16"/>
                              </w:rPr>
                              <w:t>La géométrie du compensateur permet une tension égale des deux câbles arrière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51.1pt;margin-top:114.15pt;width:297.7pt;height:1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" stroked="f">
                <v:textbox>
                  <w:txbxContent>
                    <w:p w:rsidR="0062099F" w:rsidRPr="0062099F" w:rsidRDefault="0062099F">
                      <w:pPr>
                        <w:rPr>
                          <w:b/>
                          <w:sz w:val="16"/>
                          <w:szCs w:val="16"/>
                        </w:rPr>
                      </w:pPr>
                      <w:r w:rsidRPr="0062099F">
                        <w:rPr>
                          <w:b/>
                          <w:sz w:val="16"/>
                          <w:szCs w:val="16"/>
                        </w:rPr>
                        <w:t>La géométrie du compensateur permet une tension égale des deux câbles arrière</w:t>
                      </w:r>
                    </w:p>
                  </w:txbxContent>
                </v:textbox>
              </v:shape>
            </w:pict>
          </mc:Fallback>
        </mc:AlternateContent>
      </w:r>
      <w:r w:rsidRPr="0062099F">
        <w:rPr>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2819704</wp:posOffset>
                </wp:positionH>
                <wp:positionV relativeFrom="paragraph">
                  <wp:posOffset>759776</wp:posOffset>
                </wp:positionV>
                <wp:extent cx="1800751" cy="560982"/>
                <wp:effectExtent l="0" t="0" r="952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751" cy="560982"/>
                        </a:xfrm>
                        <a:prstGeom prst="rect">
                          <a:avLst/>
                        </a:prstGeom>
                        <a:solidFill>
                          <a:srgbClr val="FFFFFF"/>
                        </a:solidFill>
                        <a:ln w="9525">
                          <a:noFill/>
                          <a:miter lim="800000"/>
                          <a:headEnd/>
                          <a:tailEnd/>
                        </a:ln>
                      </wps:spPr>
                      <wps:txbx>
                        <w:txbxContent>
                          <w:p w:rsidR="0062099F" w:rsidRPr="0062099F" w:rsidRDefault="0062099F">
                            <w:pPr>
                              <w:rPr>
                                <w:b/>
                                <w:sz w:val="16"/>
                                <w:szCs w:val="16"/>
                              </w:rPr>
                            </w:pPr>
                            <w:r w:rsidRPr="0062099F">
                              <w:rPr>
                                <w:b/>
                                <w:sz w:val="16"/>
                                <w:szCs w:val="16"/>
                              </w:rPr>
                              <w:t>Augmentation de la course d’un seul c</w:t>
                            </w:r>
                            <w:r>
                              <w:rPr>
                                <w:b/>
                                <w:sz w:val="16"/>
                                <w:szCs w:val="16"/>
                              </w:rPr>
                              <w:t>ô</w:t>
                            </w:r>
                            <w:r w:rsidRPr="0062099F">
                              <w:rPr>
                                <w:b/>
                                <w:sz w:val="16"/>
                                <w:szCs w:val="16"/>
                              </w:rPr>
                              <w:t>té lorsqu’un frein passe en mode de fonctionnement inverse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222pt;margin-top:59.8pt;width:141.8pt;height:4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" stroked="f">
                <v:textbox>
                  <w:txbxContent>
                    <w:p w:rsidR="0062099F" w:rsidRPr="0062099F" w:rsidRDefault="0062099F">
                      <w:pPr>
                        <w:rPr>
                          <w:b/>
                          <w:sz w:val="16"/>
                          <w:szCs w:val="16"/>
                        </w:rPr>
                      </w:pPr>
                      <w:r w:rsidRPr="0062099F">
                        <w:rPr>
                          <w:b/>
                          <w:sz w:val="16"/>
                          <w:szCs w:val="16"/>
                        </w:rPr>
                        <w:t>Augmentation de la course d’un seul c</w:t>
                      </w:r>
                      <w:r>
                        <w:rPr>
                          <w:b/>
                          <w:sz w:val="16"/>
                          <w:szCs w:val="16"/>
                        </w:rPr>
                        <w:t>ô</w:t>
                      </w:r>
                      <w:r w:rsidRPr="0062099F">
                        <w:rPr>
                          <w:b/>
                          <w:sz w:val="16"/>
                          <w:szCs w:val="16"/>
                        </w:rPr>
                        <w:t>té lorsqu’un frein passe en mode de fonctionnement inverse</w:t>
                      </w:r>
                    </w:p>
                  </w:txbxContent>
                </v:textbox>
              </v:shape>
            </w:pict>
          </mc:Fallback>
        </mc:AlternateContent>
      </w:r>
      <w:r w:rsidR="00F6118D">
        <w:rPr>
          <w:noProof/>
          <w:lang w:val="en-GB" w:eastAsia="en-GB"/>
        </w:rPr>
        <w:drawing>
          <wp:inline distT="0" distB="0" distL="0" distR="0">
            <wp:extent cx="5626646" cy="3764187"/>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a:extLst>
                        <a:ext uri="{28A0092B-C50C-407E-A947-70E740481C1C}">
                          <a14:useLocalDpi xmlns:a14="http://schemas.microsoft.com/office/drawing/2010/main" val="0"/>
                        </a:ext>
                      </a:extLst>
                    </a:blip>
                    <a:srcRect r="7977" b="4003"/>
                    <a:stretch/>
                  </pic:blipFill>
                  <pic:spPr bwMode="auto">
                    <a:xfrm>
                      <a:off x="0" y="0"/>
                      <a:ext cx="5626646" cy="3764187"/>
                    </a:xfrm>
                    <a:prstGeom prst="rect">
                      <a:avLst/>
                    </a:prstGeom>
                    <a:noFill/>
                    <a:ln>
                      <a:noFill/>
                    </a:ln>
                    <a:extLst>
                      <a:ext uri="{53640926-AAD7-44D8-BBD7-CCE9431645EC}">
                        <a14:shadowObscured xmlns:a14="http://schemas.microsoft.com/office/drawing/2010/main"/>
                      </a:ext>
                    </a:extLst>
                  </pic:spPr>
                </pic:pic>
              </a:graphicData>
            </a:graphic>
          </wp:inline>
        </w:drawing>
      </w:r>
    </w:p>
    <w:p w:rsidR="00113AF3" w:rsidRPr="00637068" w:rsidRDefault="007B2876" w:rsidP="001411B9">
      <w:pPr>
        <w:pStyle w:val="SingleTxtG"/>
        <w:spacing w:before="240"/>
        <w:rPr>
          <w:i/>
        </w:rPr>
      </w:pPr>
      <w:r w:rsidRPr="00637068">
        <w:rPr>
          <w:i/>
          <w:iCs/>
          <w:lang w:val="fr-FR"/>
        </w:rPr>
        <w:t>Annexe 12, appendice 4</w:t>
      </w:r>
      <w:r w:rsidRPr="00637068">
        <w:rPr>
          <w:lang w:val="fr-FR"/>
        </w:rPr>
        <w:t>,</w:t>
      </w:r>
    </w:p>
    <w:p w:rsidR="00113AF3" w:rsidRPr="00637068" w:rsidRDefault="00215CAF" w:rsidP="00637068">
      <w:pPr>
        <w:pStyle w:val="SingleTxtG"/>
      </w:pPr>
      <w:r>
        <w:rPr>
          <w:i/>
          <w:iCs/>
          <w:lang w:val="fr-FR"/>
        </w:rPr>
        <w:t>Paragraphes </w:t>
      </w:r>
      <w:r w:rsidR="007B2876" w:rsidRPr="00637068">
        <w:rPr>
          <w:i/>
          <w:iCs/>
          <w:lang w:val="fr-FR"/>
        </w:rPr>
        <w:t>6.1.1 à 6.1.3</w:t>
      </w:r>
      <w:r w:rsidR="007B2876" w:rsidRPr="00637068">
        <w:rPr>
          <w:lang w:val="fr-FR"/>
        </w:rPr>
        <w:t>, supprimer.</w:t>
      </w:r>
    </w:p>
    <w:p w:rsidR="00113AF3" w:rsidRPr="00637068" w:rsidRDefault="007B2876" w:rsidP="00637068">
      <w:pPr>
        <w:pStyle w:val="SingleTxtG"/>
      </w:pPr>
      <w:r w:rsidRPr="00637068">
        <w:rPr>
          <w:i/>
          <w:iCs/>
          <w:lang w:val="fr-FR"/>
        </w:rPr>
        <w:t>A</w:t>
      </w:r>
      <w:r w:rsidR="00215CAF">
        <w:rPr>
          <w:i/>
          <w:iCs/>
          <w:lang w:val="fr-FR"/>
        </w:rPr>
        <w:t>jouter les nouveaux paragraphes </w:t>
      </w:r>
      <w:r w:rsidRPr="00637068">
        <w:rPr>
          <w:i/>
          <w:iCs/>
          <w:lang w:val="fr-FR"/>
        </w:rPr>
        <w:t>6.1.1 et 6.1.2</w:t>
      </w:r>
      <w:r w:rsidRPr="00637068">
        <w:rPr>
          <w:lang w:val="fr-FR"/>
        </w:rPr>
        <w:t>, libellés comme suit :</w:t>
      </w:r>
    </w:p>
    <w:p w:rsidR="00113AF3" w:rsidRPr="00637068" w:rsidRDefault="00637068" w:rsidP="00DF649D">
      <w:pPr>
        <w:pStyle w:val="SingleTxtG"/>
        <w:spacing w:after="0"/>
        <w:rPr>
          <w:lang w:val="fr-FR"/>
        </w:rPr>
      </w:pPr>
      <w:r>
        <w:rPr>
          <w:b/>
          <w:bCs/>
          <w:lang w:val="fr-FR"/>
        </w:rPr>
        <w:t>« </w:t>
      </w:r>
      <w:r w:rsidR="007B2876" w:rsidRPr="00637068">
        <w:rPr>
          <w:b/>
          <w:bCs/>
          <w:lang w:val="fr-FR"/>
        </w:rPr>
        <w:t>6.1.1</w:t>
      </w:r>
      <w:r w:rsidR="007B2876" w:rsidRPr="00637068">
        <w:rPr>
          <w:lang w:val="fr-FR"/>
        </w:rPr>
        <w:tab/>
      </w:r>
      <w:r>
        <w:rPr>
          <w:lang w:val="fr-FR"/>
        </w:rPr>
        <w:tab/>
      </w:r>
      <w:r w:rsidR="007B2876" w:rsidRPr="00637068">
        <w:rPr>
          <w:b/>
          <w:lang w:val="fr-FR"/>
        </w:rPr>
        <w:t xml:space="preserve">Course différentielle maximale que le compensateur peut admettre </w:t>
      </w:r>
    </w:p>
    <w:p w:rsidR="00113AF3" w:rsidRPr="00637068" w:rsidRDefault="007B2876" w:rsidP="00637068">
      <w:pPr>
        <w:pStyle w:val="SingleTxtG"/>
        <w:ind w:left="2268"/>
        <w:rPr>
          <w:b/>
        </w:rPr>
      </w:pPr>
      <w:r w:rsidRPr="00637068">
        <w:rPr>
          <w:b/>
          <w:lang w:val="fr-FR"/>
        </w:rPr>
        <w:t>s</w:t>
      </w:r>
      <w:r w:rsidRPr="00637068">
        <w:rPr>
          <w:b/>
          <w:vertAlign w:val="subscript"/>
          <w:lang w:val="fr-FR"/>
        </w:rPr>
        <w:t>cd</w:t>
      </w:r>
      <w:r w:rsidR="00637068">
        <w:rPr>
          <w:b/>
          <w:lang w:val="fr-FR"/>
        </w:rPr>
        <w:t> </w:t>
      </w:r>
      <w:r w:rsidRPr="00637068">
        <w:rPr>
          <w:b/>
          <w:lang w:val="fr-FR"/>
        </w:rPr>
        <w:t>=</w:t>
      </w:r>
      <w:r w:rsidRPr="00637068">
        <w:rPr>
          <w:b/>
          <w:lang w:val="fr-FR"/>
        </w:rPr>
        <w:tab/>
      </w:r>
      <w:r w:rsidRPr="00637068">
        <w:rPr>
          <w:b/>
          <w:lang w:val="fr-FR"/>
        </w:rPr>
        <w:tab/>
        <w:t>mm</w:t>
      </w:r>
    </w:p>
    <w:p w:rsidR="00113AF3" w:rsidRPr="00637068" w:rsidRDefault="00637068" w:rsidP="009764AC">
      <w:pPr>
        <w:pStyle w:val="SingleTxtG"/>
        <w:spacing w:after="0"/>
        <w:rPr>
          <w:b/>
          <w:lang w:val="fr-FR"/>
        </w:rPr>
      </w:pPr>
      <w:r>
        <w:rPr>
          <w:b/>
          <w:lang w:val="fr-FR"/>
        </w:rPr>
        <w:t>6.1.2</w:t>
      </w:r>
      <w:r>
        <w:rPr>
          <w:b/>
          <w:lang w:val="fr-FR"/>
        </w:rPr>
        <w:tab/>
      </w:r>
      <w:r>
        <w:rPr>
          <w:b/>
          <w:lang w:val="fr-FR"/>
        </w:rPr>
        <w:tab/>
        <w:t>Rapport 1,2 </w:t>
      </w:r>
      <w:r w:rsidR="007B2876" w:rsidRPr="00637068">
        <w:rPr>
          <w:b/>
          <w:lang w:val="fr-FR"/>
        </w:rPr>
        <w:t>*</w:t>
      </w:r>
      <w:r>
        <w:rPr>
          <w:b/>
          <w:lang w:val="fr-FR"/>
        </w:rPr>
        <w:t> </w:t>
      </w:r>
      <w:r w:rsidR="007B2876" w:rsidRPr="00637068">
        <w:rPr>
          <w:b/>
          <w:lang w:val="fr-FR"/>
        </w:rPr>
        <w:t>s</w:t>
      </w:r>
      <w:r w:rsidR="007B2876" w:rsidRPr="00637068">
        <w:rPr>
          <w:b/>
          <w:vertAlign w:val="subscript"/>
          <w:lang w:val="fr-FR"/>
        </w:rPr>
        <w:t>R</w:t>
      </w:r>
      <w:r w:rsidR="007B2876" w:rsidRPr="00637068">
        <w:rPr>
          <w:b/>
          <w:lang w:val="fr-FR"/>
        </w:rPr>
        <w:t xml:space="preserve"> = ___________ mm </w:t>
      </w:r>
    </w:p>
    <w:p w:rsidR="00113AF3" w:rsidRPr="00637068" w:rsidRDefault="007B2876" w:rsidP="009764AC">
      <w:pPr>
        <w:pStyle w:val="SingleTxtG"/>
        <w:ind w:left="2268"/>
        <w:rPr>
          <w:b/>
        </w:rPr>
      </w:pPr>
      <w:r w:rsidRPr="00637068">
        <w:rPr>
          <w:b/>
          <w:lang w:val="fr-FR"/>
        </w:rPr>
        <w:t>(ne doit pas dépasser s</w:t>
      </w:r>
      <w:r w:rsidRPr="00637068">
        <w:rPr>
          <w:b/>
          <w:vertAlign w:val="subscript"/>
          <w:lang w:val="fr-FR"/>
        </w:rPr>
        <w:t>cd</w:t>
      </w:r>
      <w:r w:rsidRPr="00637068">
        <w:rPr>
          <w:b/>
          <w:lang w:val="fr-FR"/>
        </w:rPr>
        <w:t>)</w:t>
      </w:r>
      <w:r w:rsidR="00637068">
        <w:rPr>
          <w:b/>
          <w:lang w:val="fr-FR"/>
        </w:rPr>
        <w:t> »</w:t>
      </w:r>
    </w:p>
    <w:p w:rsidR="00113AF3" w:rsidRPr="00637068" w:rsidRDefault="00341C18" w:rsidP="00341C18">
      <w:pPr>
        <w:pStyle w:val="HChG"/>
        <w:rPr>
          <w:lang w:val="fr-FR"/>
        </w:rPr>
      </w:pPr>
      <w:r>
        <w:rPr>
          <w:lang w:val="fr-FR"/>
        </w:rPr>
        <w:tab/>
      </w:r>
      <w:r w:rsidR="007B2876" w:rsidRPr="00637068">
        <w:rPr>
          <w:lang w:val="fr-FR"/>
        </w:rPr>
        <w:t>II.</w:t>
      </w:r>
      <w:r w:rsidR="007B2876" w:rsidRPr="00637068">
        <w:rPr>
          <w:lang w:val="fr-FR"/>
        </w:rPr>
        <w:tab/>
        <w:t>Justification</w:t>
      </w:r>
    </w:p>
    <w:p w:rsidR="00113AF3" w:rsidRPr="00637068" w:rsidRDefault="007B2876" w:rsidP="00637068">
      <w:pPr>
        <w:pStyle w:val="SingleTxtG"/>
      </w:pPr>
      <w:r w:rsidRPr="00637068">
        <w:rPr>
          <w:lang w:val="fr-FR"/>
        </w:rPr>
        <w:t>1.</w:t>
      </w:r>
      <w:r w:rsidRPr="00637068">
        <w:rPr>
          <w:lang w:val="fr-FR"/>
        </w:rPr>
        <w:tab/>
        <w:t>On peut résumer le problème de la formule d</w:t>
      </w:r>
      <w:r w:rsidR="00341C18">
        <w:rPr>
          <w:lang w:val="fr-FR"/>
        </w:rPr>
        <w:t>u paragraphe </w:t>
      </w:r>
      <w:r w:rsidRPr="00637068">
        <w:rPr>
          <w:lang w:val="fr-FR"/>
        </w:rPr>
        <w:t>8.1.2 de l’</w:t>
      </w:r>
      <w:r w:rsidR="00341C18">
        <w:rPr>
          <w:lang w:val="fr-FR"/>
        </w:rPr>
        <w:t>annexe </w:t>
      </w:r>
      <w:r w:rsidRPr="00637068">
        <w:rPr>
          <w:lang w:val="fr-FR"/>
        </w:rPr>
        <w:t xml:space="preserve">12 </w:t>
      </w:r>
      <w:r w:rsidR="00341C18">
        <w:rPr>
          <w:lang w:val="fr-FR"/>
        </w:rPr>
        <w:t>de la façon suivante.</w:t>
      </w:r>
    </w:p>
    <w:p w:rsidR="00113AF3" w:rsidRPr="00637068" w:rsidRDefault="002073DC" w:rsidP="002073DC">
      <w:pPr>
        <w:pStyle w:val="H1G"/>
        <w:rPr>
          <w:lang w:val="fr-FR"/>
        </w:rPr>
      </w:pPr>
      <w:r>
        <w:rPr>
          <w:lang w:val="fr-FR"/>
        </w:rPr>
        <w:tab/>
      </w:r>
      <w:r w:rsidR="007B2876" w:rsidRPr="00637068">
        <w:rPr>
          <w:lang w:val="fr-FR"/>
        </w:rPr>
        <w:t>1.</w:t>
      </w:r>
      <w:r w:rsidR="007B2876" w:rsidRPr="00637068">
        <w:rPr>
          <w:lang w:val="fr-FR"/>
        </w:rPr>
        <w:tab/>
        <w:t xml:space="preserve">Le Règlement </w:t>
      </w:r>
      <w:r w:rsidR="00EC35E9" w:rsidRPr="00EC35E9">
        <w:rPr>
          <w:rFonts w:eastAsia="MS Mincho"/>
          <w:szCs w:val="22"/>
          <w:lang w:val="fr-FR"/>
        </w:rPr>
        <w:t>n</w:t>
      </w:r>
      <w:r w:rsidR="00EC35E9" w:rsidRPr="00EC35E9">
        <w:rPr>
          <w:rFonts w:eastAsia="MS Mincho"/>
          <w:szCs w:val="22"/>
          <w:vertAlign w:val="superscript"/>
          <w:lang w:val="fr-FR"/>
        </w:rPr>
        <w:t>o</w:t>
      </w:r>
      <w:r w:rsidR="00EC35E9">
        <w:rPr>
          <w:lang w:val="fr-FR"/>
        </w:rPr>
        <w:t> 13, depuis le complément 5 à la série </w:t>
      </w:r>
      <w:r w:rsidR="007B2876" w:rsidRPr="00637068">
        <w:rPr>
          <w:lang w:val="fr-FR"/>
        </w:rPr>
        <w:t>11 d’amendements (ECE/TRANS/WP29/GRRF/2010/5)</w:t>
      </w:r>
    </w:p>
    <w:p w:rsidR="00113AF3" w:rsidRPr="00637068" w:rsidRDefault="007B2876" w:rsidP="00637068">
      <w:pPr>
        <w:pStyle w:val="SingleTxtG"/>
      </w:pPr>
      <w:r w:rsidRPr="00637068">
        <w:rPr>
          <w:lang w:val="fr-FR"/>
        </w:rPr>
        <w:t>2.</w:t>
      </w:r>
      <w:r w:rsidRPr="00637068">
        <w:rPr>
          <w:lang w:val="fr-FR"/>
        </w:rPr>
        <w:tab/>
        <w:t xml:space="preserve">Le </w:t>
      </w:r>
      <w:r w:rsidR="00F0022D">
        <w:rPr>
          <w:bCs/>
          <w:lang w:val="fr-FR"/>
        </w:rPr>
        <w:t>complément </w:t>
      </w:r>
      <w:r w:rsidRPr="00637068">
        <w:rPr>
          <w:bCs/>
          <w:lang w:val="fr-FR"/>
        </w:rPr>
        <w:t>5 vise à donner au compensateur une articulation suffisante lorsque le véhicule est à l’arrêt et dételé et que le frein de stationnement est serré tandis qu’une poussée latérale est exercée sur le timon.</w:t>
      </w:r>
      <w:r w:rsidRPr="00637068">
        <w:rPr>
          <w:lang w:val="fr-FR"/>
        </w:rPr>
        <w:t xml:space="preserve"> Cela donne un moment positif aux roues de l’un des côtés du véhicule et un moment négatif à celles de l’autre côté. </w:t>
      </w:r>
      <w:r w:rsidRPr="00637068">
        <w:rPr>
          <w:bCs/>
          <w:lang w:val="fr-FR"/>
        </w:rPr>
        <w:t>Suivant la nature des freins à inversion automatique, la course du levier de frein varie en fonction de la direction du moment :</w:t>
      </w:r>
    </w:p>
    <w:p w:rsidR="002C09E8" w:rsidRDefault="00F0022D" w:rsidP="00637068">
      <w:pPr>
        <w:pStyle w:val="SingleTxtG"/>
      </w:pPr>
      <w:r w:rsidRPr="006A1E86">
        <w:rPr>
          <w:noProof/>
          <w:lang w:val="en-GB" w:eastAsia="en-GB"/>
        </w:rPr>
        <w:drawing>
          <wp:inline distT="0" distB="0" distL="0" distR="0" wp14:anchorId="137C3CF3" wp14:editId="203AF6A5">
            <wp:extent cx="3018790" cy="2842895"/>
            <wp:effectExtent l="0" t="0" r="0" b="0"/>
            <wp:docPr id="6" name="Grafik 3" descr="Reg13 An12 Append 1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13 An12 Append 1 fig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8790" cy="2842895"/>
                    </a:xfrm>
                    <a:prstGeom prst="rect">
                      <a:avLst/>
                    </a:prstGeom>
                    <a:noFill/>
                    <a:ln>
                      <a:noFill/>
                    </a:ln>
                  </pic:spPr>
                </pic:pic>
              </a:graphicData>
            </a:graphic>
          </wp:inline>
        </w:drawing>
      </w:r>
    </w:p>
    <w:p w:rsidR="00F0022D" w:rsidRPr="000D054B" w:rsidRDefault="00F0022D" w:rsidP="00F56EEF">
      <w:pPr>
        <w:pStyle w:val="SingleTxtG"/>
        <w:spacing w:before="240"/>
      </w:pPr>
      <w:r w:rsidRPr="000D054B">
        <w:rPr>
          <w:lang w:val="fr-FR"/>
        </w:rPr>
        <w:t>3.</w:t>
      </w:r>
      <w:r w:rsidRPr="000D054B">
        <w:rPr>
          <w:lang w:val="fr-FR"/>
        </w:rPr>
        <w:tab/>
        <w:t>Le compensateur doit lui</w:t>
      </w:r>
      <w:r w:rsidR="00E81E4E">
        <w:rPr>
          <w:lang w:val="fr-FR"/>
        </w:rPr>
        <w:noBreakHyphen/>
      </w:r>
      <w:r w:rsidRPr="000D054B">
        <w:rPr>
          <w:lang w:val="fr-FR"/>
        </w:rPr>
        <w:t>même laisser une marge d</w:t>
      </w:r>
      <w:r>
        <w:rPr>
          <w:lang w:val="fr-FR"/>
        </w:rPr>
        <w:t>’</w:t>
      </w:r>
      <w:r w:rsidRPr="000D054B">
        <w:rPr>
          <w:lang w:val="fr-FR"/>
        </w:rPr>
        <w:t>articulation suffisante pour compenser la différence de course (s</w:t>
      </w:r>
      <w:r w:rsidRPr="000D054B">
        <w:rPr>
          <w:vertAlign w:val="subscript"/>
          <w:lang w:val="fr-FR"/>
        </w:rPr>
        <w:t>cd</w:t>
      </w:r>
      <w:r w:rsidRPr="000D054B">
        <w:rPr>
          <w:lang w:val="fr-FR"/>
        </w:rPr>
        <w:t>) p</w:t>
      </w:r>
      <w:r w:rsidR="0088268B">
        <w:rPr>
          <w:lang w:val="fr-FR"/>
        </w:rPr>
        <w:t>lus une marge de sécurité de 20 </w:t>
      </w:r>
      <w:r w:rsidRPr="000D054B">
        <w:rPr>
          <w:lang w:val="fr-FR"/>
        </w:rPr>
        <w:t xml:space="preserve">%, sous peine de voir la tension du câble de la roue dont le moment de freinage est négatif chuter, de telle façon que la roue tourne librement, </w:t>
      </w:r>
      <w:r>
        <w:rPr>
          <w:lang w:val="fr-FR"/>
        </w:rPr>
        <w:t>générant ainsi</w:t>
      </w:r>
      <w:r w:rsidRPr="000D054B">
        <w:rPr>
          <w:lang w:val="fr-FR"/>
        </w:rPr>
        <w:t xml:space="preserve"> un moment autour de l</w:t>
      </w:r>
      <w:r>
        <w:rPr>
          <w:lang w:val="fr-FR"/>
        </w:rPr>
        <w:t>’</w:t>
      </w:r>
      <w:r w:rsidRPr="000D054B">
        <w:rPr>
          <w:lang w:val="fr-FR"/>
        </w:rPr>
        <w:t xml:space="preserve">axe vertical du véhicule </w:t>
      </w:r>
      <w:r>
        <w:rPr>
          <w:lang w:val="fr-FR"/>
        </w:rPr>
        <w:t>quand</w:t>
      </w:r>
      <w:r w:rsidRPr="000D054B">
        <w:rPr>
          <w:lang w:val="fr-FR"/>
        </w:rPr>
        <w:t xml:space="preserve"> ce dernier est situé sur une pente. </w:t>
      </w:r>
      <w:r w:rsidR="00E81E4E">
        <w:rPr>
          <w:lang w:val="fr-FR"/>
        </w:rPr>
        <w:t>É</w:t>
      </w:r>
      <w:r w:rsidRPr="000D054B">
        <w:rPr>
          <w:lang w:val="fr-FR"/>
        </w:rPr>
        <w:t>tant donné le danger que cela représente, il va sans dire que l</w:t>
      </w:r>
      <w:r>
        <w:rPr>
          <w:lang w:val="fr-FR"/>
        </w:rPr>
        <w:t>’</w:t>
      </w:r>
      <w:r w:rsidRPr="000D054B">
        <w:rPr>
          <w:lang w:val="fr-FR"/>
        </w:rPr>
        <w:t>enjeu du complément est d</w:t>
      </w:r>
      <w:r>
        <w:rPr>
          <w:lang w:val="fr-FR"/>
        </w:rPr>
        <w:t>’</w:t>
      </w:r>
      <w:r w:rsidRPr="000D054B">
        <w:rPr>
          <w:lang w:val="fr-FR"/>
        </w:rPr>
        <w:t xml:space="preserve">éviter un accident </w:t>
      </w:r>
      <w:r>
        <w:rPr>
          <w:lang w:val="fr-FR"/>
        </w:rPr>
        <w:t>mortel</w:t>
      </w:r>
      <w:r w:rsidRPr="000D054B">
        <w:rPr>
          <w:lang w:val="fr-FR"/>
        </w:rPr>
        <w:t>.</w:t>
      </w:r>
    </w:p>
    <w:p w:rsidR="00F0022D" w:rsidRPr="00D57E95" w:rsidRDefault="00F0022D" w:rsidP="00F56EEF">
      <w:pPr>
        <w:pStyle w:val="SingleTxtG"/>
      </w:pPr>
      <w:r w:rsidRPr="00D57E95">
        <w:rPr>
          <w:lang w:val="fr-FR"/>
        </w:rPr>
        <w:t>4.</w:t>
      </w:r>
      <w:r w:rsidRPr="00D57E95">
        <w:rPr>
          <w:lang w:val="fr-FR"/>
        </w:rPr>
        <w:tab/>
      </w:r>
      <w:r>
        <w:rPr>
          <w:lang w:val="fr-FR"/>
        </w:rPr>
        <w:t>Toutefois</w:t>
      </w:r>
      <w:r w:rsidRPr="00D57E95">
        <w:rPr>
          <w:lang w:val="fr-FR"/>
        </w:rPr>
        <w:t>, les résultats obtenus avec la</w:t>
      </w:r>
      <w:r w:rsidR="0088268B">
        <w:rPr>
          <w:lang w:val="fr-FR"/>
        </w:rPr>
        <w:t xml:space="preserve"> formule figurant au paragraphe </w:t>
      </w:r>
      <w:r w:rsidRPr="00D57E95">
        <w:rPr>
          <w:lang w:val="fr-FR"/>
        </w:rPr>
        <w:t>8.1.2 ne sont</w:t>
      </w:r>
      <w:r w:rsidR="0088268B">
        <w:rPr>
          <w:lang w:val="fr-FR"/>
        </w:rPr>
        <w:t xml:space="preserve"> guère plausibles </w:t>
      </w:r>
      <w:r w:rsidRPr="00D57E95">
        <w:rPr>
          <w:lang w:val="fr-FR"/>
        </w:rPr>
        <w:t xml:space="preserve">: </w:t>
      </w:r>
    </w:p>
    <w:p w:rsidR="00F0022D" w:rsidRPr="00E81E4E" w:rsidRDefault="009A341C" w:rsidP="009548DB">
      <w:pPr>
        <w:pStyle w:val="SingleTxtG"/>
        <w:jc w:val="center"/>
        <w:rPr>
          <w:i/>
        </w:rPr>
      </w:pPr>
      <w:r>
        <w:rPr>
          <w:i/>
        </w:rPr>
        <w:t>« </w:t>
      </w:r>
      <w:r w:rsidR="00F0022D" w:rsidRPr="000D054B">
        <w:rPr>
          <w:i/>
          <w:color w:val="0070C0"/>
          <w:position w:val="-12"/>
          <w:lang w:val="en-US"/>
        </w:rPr>
        <w:object w:dxaOrig="1980" w:dyaOrig="360">
          <v:shape id="_x0000_i1026" type="#_x0000_t75" style="width:99.4pt;height:17.25pt" o:ole="">
            <v:imagedata r:id="rId13" o:title=""/>
          </v:shape>
          <o:OLEObject Type="Embed" ProgID="Equation.3" ShapeID="_x0000_i1026" DrawAspect="Content" ObjectID="_1564321274" r:id="rId14"/>
        </w:object>
      </w:r>
    </w:p>
    <w:p w:rsidR="00F0022D" w:rsidRPr="00E81E4E" w:rsidRDefault="00E81E4E" w:rsidP="009548DB">
      <w:pPr>
        <w:pStyle w:val="SingleTxtG"/>
        <w:ind w:left="2268"/>
        <w:rPr>
          <w:i/>
        </w:rPr>
      </w:pPr>
      <w:r>
        <w:rPr>
          <w:i/>
          <w:lang w:val="fr-FR"/>
        </w:rPr>
        <w:t>où </w:t>
      </w:r>
      <w:r w:rsidR="00F0022D" w:rsidRPr="000D054B">
        <w:rPr>
          <w:i/>
          <w:lang w:val="fr-FR"/>
        </w:rPr>
        <w:t>:</w:t>
      </w:r>
    </w:p>
    <w:p w:rsidR="00F0022D" w:rsidRPr="000C1E58" w:rsidRDefault="00F0022D" w:rsidP="000C1E58">
      <w:pPr>
        <w:pStyle w:val="SingleTxtG"/>
        <w:spacing w:after="0"/>
        <w:ind w:left="2268"/>
        <w:rPr>
          <w:i/>
          <w:vertAlign w:val="subscript"/>
        </w:rPr>
      </w:pPr>
      <w:r w:rsidRPr="000C1E58">
        <w:rPr>
          <w:i/>
          <w:lang w:val="fr-FR"/>
        </w:rPr>
        <w:t>S</w:t>
      </w:r>
      <w:r w:rsidRPr="000C1E58">
        <w:rPr>
          <w:i/>
          <w:vertAlign w:val="subscript"/>
          <w:lang w:val="fr-FR"/>
        </w:rPr>
        <w:t>c</w:t>
      </w:r>
      <w:r w:rsidRPr="000C1E58">
        <w:rPr>
          <w:i/>
          <w:lang w:val="fr-FR"/>
        </w:rPr>
        <w:t>’</w:t>
      </w:r>
      <w:r w:rsidR="00E81E4E" w:rsidRPr="000C1E58">
        <w:rPr>
          <w:i/>
          <w:lang w:val="fr-FR"/>
        </w:rPr>
        <w:t> = </w:t>
      </w:r>
      <w:r w:rsidRPr="000C1E58">
        <w:rPr>
          <w:i/>
          <w:lang w:val="fr-FR"/>
        </w:rPr>
        <w:t>S’/i</w:t>
      </w:r>
      <w:r w:rsidRPr="000C1E58">
        <w:rPr>
          <w:i/>
          <w:vertAlign w:val="subscript"/>
          <w:lang w:val="fr-FR"/>
        </w:rPr>
        <w:t>H</w:t>
      </w:r>
      <w:r w:rsidRPr="000C1E58">
        <w:rPr>
          <w:i/>
          <w:lang w:val="fr-FR"/>
        </w:rPr>
        <w:tab/>
        <w:t xml:space="preserve">(course au niveau du compensateur </w:t>
      </w:r>
      <w:r w:rsidR="000C1E58">
        <w:rPr>
          <w:i/>
          <w:lang w:val="fr-FR"/>
        </w:rPr>
        <w:t>−</w:t>
      </w:r>
      <w:r w:rsidRPr="000C1E58">
        <w:rPr>
          <w:i/>
          <w:lang w:val="fr-FR"/>
        </w:rPr>
        <w:t xml:space="preserve"> fonctionnement en marche avant) et S</w:t>
      </w:r>
      <w:r w:rsidRPr="000C1E58">
        <w:rPr>
          <w:i/>
          <w:vertAlign w:val="subscript"/>
          <w:lang w:val="fr-FR"/>
        </w:rPr>
        <w:t>c</w:t>
      </w:r>
      <w:r w:rsidRPr="000C1E58">
        <w:rPr>
          <w:i/>
          <w:lang w:val="fr-FR"/>
        </w:rPr>
        <w:t>’</w:t>
      </w:r>
      <w:r w:rsidR="00E81E4E" w:rsidRPr="000C1E58">
        <w:rPr>
          <w:i/>
          <w:lang w:val="fr-FR"/>
        </w:rPr>
        <w:t> = 2 • </w:t>
      </w:r>
      <w:r w:rsidRPr="000C1E58">
        <w:rPr>
          <w:i/>
          <w:lang w:val="fr-FR"/>
        </w:rPr>
        <w:t>S</w:t>
      </w:r>
      <w:r w:rsidRPr="000C1E58">
        <w:rPr>
          <w:i/>
          <w:vertAlign w:val="subscript"/>
          <w:lang w:val="fr-FR"/>
        </w:rPr>
        <w:t>B</w:t>
      </w:r>
      <w:r w:rsidRPr="000C1E58">
        <w:rPr>
          <w:i/>
          <w:lang w:val="fr-FR"/>
        </w:rPr>
        <w:t>/i</w:t>
      </w:r>
      <w:r w:rsidRPr="000C1E58">
        <w:rPr>
          <w:i/>
          <w:vertAlign w:val="subscript"/>
          <w:lang w:val="fr-FR"/>
        </w:rPr>
        <w:t>g</w:t>
      </w:r>
    </w:p>
    <w:p w:rsidR="00F0022D" w:rsidRPr="000D054B" w:rsidRDefault="00F0022D" w:rsidP="009548DB">
      <w:pPr>
        <w:pStyle w:val="SingleTxtG"/>
        <w:ind w:left="2268"/>
        <w:rPr>
          <w:i/>
          <w:lang w:val="fr-FR"/>
        </w:rPr>
      </w:pPr>
      <w:r w:rsidRPr="000C1E58">
        <w:rPr>
          <w:i/>
          <w:lang w:val="fr-FR"/>
        </w:rPr>
        <w:t>S</w:t>
      </w:r>
      <w:r w:rsidRPr="000C1E58">
        <w:rPr>
          <w:i/>
          <w:vertAlign w:val="subscript"/>
          <w:lang w:val="fr-FR"/>
        </w:rPr>
        <w:t>cr</w:t>
      </w:r>
      <w:r w:rsidR="00E81E4E" w:rsidRPr="000C1E58">
        <w:rPr>
          <w:i/>
          <w:lang w:val="fr-FR"/>
        </w:rPr>
        <w:t> = </w:t>
      </w:r>
      <w:r w:rsidRPr="000C1E58">
        <w:rPr>
          <w:i/>
          <w:lang w:val="fr-FR"/>
        </w:rPr>
        <w:t>S</w:t>
      </w:r>
      <w:r w:rsidRPr="000C1E58">
        <w:rPr>
          <w:i/>
          <w:vertAlign w:val="subscript"/>
          <w:lang w:val="fr-FR"/>
        </w:rPr>
        <w:t>r</w:t>
      </w:r>
      <w:r w:rsidRPr="000C1E58">
        <w:rPr>
          <w:i/>
          <w:lang w:val="fr-FR"/>
        </w:rPr>
        <w:t>/i</w:t>
      </w:r>
      <w:r w:rsidRPr="000C1E58">
        <w:rPr>
          <w:i/>
          <w:vertAlign w:val="subscript"/>
          <w:lang w:val="fr-FR"/>
        </w:rPr>
        <w:t>H</w:t>
      </w:r>
      <w:r w:rsidRPr="000C1E58">
        <w:rPr>
          <w:i/>
          <w:lang w:val="fr-FR"/>
        </w:rPr>
        <w:tab/>
        <w:t xml:space="preserve">(course au niveau du compensateur </w:t>
      </w:r>
      <w:r w:rsidR="00E81E4E" w:rsidRPr="000C1E58">
        <w:rPr>
          <w:i/>
          <w:lang w:val="fr-FR"/>
        </w:rPr>
        <w:t>−</w:t>
      </w:r>
      <w:r w:rsidRPr="000C1E58">
        <w:rPr>
          <w:i/>
          <w:lang w:val="fr-FR"/>
        </w:rPr>
        <w:t xml:space="preserve"> fo</w:t>
      </w:r>
      <w:r w:rsidR="00E81E4E" w:rsidRPr="000C1E58">
        <w:rPr>
          <w:i/>
          <w:lang w:val="fr-FR"/>
        </w:rPr>
        <w:t>nctionnement en marche arrière) »</w:t>
      </w:r>
      <w:r>
        <w:rPr>
          <w:i/>
          <w:lang w:val="fr-FR"/>
        </w:rPr>
        <w:t>.</w:t>
      </w:r>
    </w:p>
    <w:p w:rsidR="00F0022D" w:rsidRPr="00D57E95" w:rsidRDefault="00F0022D" w:rsidP="00F56EEF">
      <w:pPr>
        <w:pStyle w:val="SingleTxtG"/>
      </w:pPr>
      <w:r w:rsidRPr="00D57E95">
        <w:rPr>
          <w:lang w:val="fr-FR"/>
        </w:rPr>
        <w:t>5.</w:t>
      </w:r>
      <w:r w:rsidRPr="00D57E95">
        <w:rPr>
          <w:lang w:val="fr-FR"/>
        </w:rPr>
        <w:tab/>
      </w:r>
      <w:r w:rsidR="009A341C">
        <w:rPr>
          <w:lang w:val="fr-FR"/>
        </w:rPr>
        <w:t>C</w:t>
      </w:r>
      <w:r>
        <w:rPr>
          <w:lang w:val="fr-FR"/>
        </w:rPr>
        <w:t>’</w:t>
      </w:r>
      <w:r w:rsidRPr="000D054B">
        <w:rPr>
          <w:lang w:val="fr-FR"/>
        </w:rPr>
        <w:t>est la course au niveau de la commande</w:t>
      </w:r>
      <w:r>
        <w:rPr>
          <w:lang w:val="fr-FR"/>
        </w:rPr>
        <w:t xml:space="preserve"> même</w:t>
      </w:r>
      <w:r w:rsidRPr="000D054B">
        <w:rPr>
          <w:lang w:val="fr-FR"/>
        </w:rPr>
        <w:t xml:space="preserve">. </w:t>
      </w:r>
      <w:r>
        <w:rPr>
          <w:lang w:val="fr-FR"/>
        </w:rPr>
        <w:t>S</w:t>
      </w:r>
      <w:r w:rsidR="00D85E02">
        <w:rPr>
          <w:lang w:val="fr-FR"/>
        </w:rPr>
        <w:t>a division par </w:t>
      </w:r>
      <w:r w:rsidRPr="00D57E95">
        <w:rPr>
          <w:lang w:val="fr-FR"/>
        </w:rPr>
        <w:t>i</w:t>
      </w:r>
      <w:r w:rsidRPr="00D57E95">
        <w:rPr>
          <w:vertAlign w:val="subscript"/>
          <w:lang w:val="fr-FR"/>
        </w:rPr>
        <w:t xml:space="preserve">H </w:t>
      </w:r>
      <w:r>
        <w:rPr>
          <w:lang w:val="fr-FR"/>
        </w:rPr>
        <w:t>vise à</w:t>
      </w:r>
      <w:r w:rsidRPr="00D57E95">
        <w:rPr>
          <w:lang w:val="fr-FR"/>
        </w:rPr>
        <w:t xml:space="preserve"> calculer la c</w:t>
      </w:r>
      <w:r w:rsidR="00D85E02">
        <w:rPr>
          <w:lang w:val="fr-FR"/>
        </w:rPr>
        <w:t>ourse au niveau du compensateur </w:t>
      </w:r>
      <w:r w:rsidRPr="00D57E95">
        <w:rPr>
          <w:lang w:val="fr-FR"/>
        </w:rPr>
        <w:t>S</w:t>
      </w:r>
      <w:r w:rsidRPr="000D054B">
        <w:rPr>
          <w:vertAlign w:val="subscript"/>
          <w:lang w:val="fr-FR"/>
        </w:rPr>
        <w:t>c</w:t>
      </w:r>
      <w:r w:rsidRPr="00D57E95">
        <w:rPr>
          <w:lang w:val="fr-FR"/>
        </w:rPr>
        <w:t xml:space="preserve">´. </w:t>
      </w:r>
    </w:p>
    <w:p w:rsidR="00F0022D" w:rsidRPr="002073DC" w:rsidRDefault="00F0022D" w:rsidP="00F56EEF">
      <w:pPr>
        <w:pStyle w:val="SingleTxtG"/>
      </w:pPr>
      <w:r w:rsidRPr="00D57E95">
        <w:rPr>
          <w:lang w:val="fr-FR"/>
        </w:rPr>
        <w:t>6.</w:t>
      </w:r>
      <w:r w:rsidRPr="00D57E95">
        <w:rPr>
          <w:lang w:val="fr-FR"/>
        </w:rPr>
        <w:tab/>
      </w:r>
      <w:r w:rsidRPr="002073DC">
        <w:rPr>
          <w:lang w:val="fr-FR"/>
        </w:rPr>
        <w:t>S</w:t>
      </w:r>
      <w:r w:rsidRPr="002073DC">
        <w:rPr>
          <w:vertAlign w:val="subscript"/>
          <w:lang w:val="fr-FR"/>
        </w:rPr>
        <w:t>r</w:t>
      </w:r>
      <w:r w:rsidRPr="002073DC">
        <w:rPr>
          <w:lang w:val="fr-FR"/>
        </w:rPr>
        <w:t xml:space="preserve"> est déjà la course au niveau du levier de frein et donc à celui d</w:t>
      </w:r>
      <w:r w:rsidR="00D85E02" w:rsidRPr="002073DC">
        <w:rPr>
          <w:lang w:val="fr-FR"/>
        </w:rPr>
        <w:t>u compensateur. Sa division par </w:t>
      </w:r>
      <w:r w:rsidRPr="002073DC">
        <w:rPr>
          <w:lang w:val="fr-FR"/>
        </w:rPr>
        <w:t>i</w:t>
      </w:r>
      <w:r w:rsidRPr="002073DC">
        <w:rPr>
          <w:vertAlign w:val="subscript"/>
          <w:lang w:val="fr-FR"/>
        </w:rPr>
        <w:t>H</w:t>
      </w:r>
      <w:r w:rsidRPr="002073DC">
        <w:rPr>
          <w:lang w:val="fr-FR"/>
        </w:rPr>
        <w:t xml:space="preserve"> </w:t>
      </w:r>
      <w:r w:rsidR="00D85E02" w:rsidRPr="002073DC">
        <w:rPr>
          <w:lang w:val="fr-FR"/>
        </w:rPr>
        <w:t>fait ici de </w:t>
      </w:r>
      <w:r w:rsidRPr="002073DC">
        <w:rPr>
          <w:lang w:val="fr-FR"/>
        </w:rPr>
        <w:t>S</w:t>
      </w:r>
      <w:r w:rsidRPr="002073DC">
        <w:rPr>
          <w:vertAlign w:val="subscript"/>
          <w:lang w:val="fr-FR"/>
        </w:rPr>
        <w:t>cr</w:t>
      </w:r>
      <w:r w:rsidR="00230F69" w:rsidRPr="002073DC">
        <w:rPr>
          <w:lang w:val="fr-FR"/>
        </w:rPr>
        <w:t xml:space="preserve"> « une autre valeur »</w:t>
      </w:r>
      <w:r w:rsidRPr="002073DC">
        <w:rPr>
          <w:lang w:val="fr-FR"/>
        </w:rPr>
        <w:t xml:space="preserve"> que celle de la course au niveau du compensateur, qui ne peut donc pas faire partie du terme entre parenthèses. L’insertion de valeurs identiques </w:t>
      </w:r>
      <w:r w:rsidR="00230F69" w:rsidRPr="002073DC">
        <w:rPr>
          <w:lang w:val="fr-FR"/>
        </w:rPr>
        <w:t>produit de petites valeurs pour </w:t>
      </w:r>
      <w:r w:rsidRPr="002073DC">
        <w:rPr>
          <w:lang w:val="fr-FR"/>
        </w:rPr>
        <w:t>S</w:t>
      </w:r>
      <w:r w:rsidRPr="002073DC">
        <w:rPr>
          <w:vertAlign w:val="subscript"/>
          <w:lang w:val="fr-FR"/>
        </w:rPr>
        <w:t>cr</w:t>
      </w:r>
      <w:r w:rsidRPr="002073DC">
        <w:rPr>
          <w:lang w:val="fr-FR"/>
        </w:rPr>
        <w:t xml:space="preserve"> et </w:t>
      </w:r>
      <w:r w:rsidR="00230F69" w:rsidRPr="002073DC">
        <w:rPr>
          <w:lang w:val="fr-FR"/>
        </w:rPr>
        <w:t>donc des valeurs négatives pour </w:t>
      </w:r>
      <w:r w:rsidRPr="002073DC">
        <w:rPr>
          <w:lang w:val="fr-FR"/>
        </w:rPr>
        <w:t>S</w:t>
      </w:r>
      <w:r w:rsidRPr="002073DC">
        <w:rPr>
          <w:vertAlign w:val="subscript"/>
          <w:lang w:val="fr-FR"/>
        </w:rPr>
        <w:t>cd</w:t>
      </w:r>
      <w:r w:rsidRPr="002073DC">
        <w:rPr>
          <w:lang w:val="fr-FR"/>
        </w:rPr>
        <w:t>.</w:t>
      </w:r>
    </w:p>
    <w:p w:rsidR="00F0022D" w:rsidRPr="002073DC" w:rsidRDefault="00F0022D" w:rsidP="00F56EEF">
      <w:pPr>
        <w:pStyle w:val="SingleTxtG"/>
      </w:pPr>
      <w:r w:rsidRPr="002073DC">
        <w:rPr>
          <w:lang w:val="fr-FR"/>
        </w:rPr>
        <w:t>7.</w:t>
      </w:r>
      <w:r w:rsidRPr="002073DC">
        <w:rPr>
          <w:lang w:val="fr-FR"/>
        </w:rPr>
        <w:tab/>
        <w:t>De ce fait, l’inspecteur doit passer sous le véhicule pour mesurer la course du compensateur pendant que quelqu’un d’autre pousse le timon latéralement.</w:t>
      </w:r>
    </w:p>
    <w:p w:rsidR="00F0022D" w:rsidRPr="002073DC" w:rsidRDefault="00F0022D" w:rsidP="00F56EEF">
      <w:pPr>
        <w:pStyle w:val="SingleTxtG"/>
      </w:pPr>
      <w:r w:rsidRPr="002073DC">
        <w:rPr>
          <w:lang w:val="fr-FR"/>
        </w:rPr>
        <w:t>8.</w:t>
      </w:r>
      <w:r w:rsidRPr="002073DC">
        <w:rPr>
          <w:lang w:val="fr-FR"/>
        </w:rPr>
        <w:tab/>
        <w:t xml:space="preserve">La méthode de mesure n’est pas décrite. Elle est difficile et sujette à de nombreuses interprétations. En outre, elle présente un risque pour les personnes chargées des mesures. Il devrait être possible de vérifier la conformité aux prescriptions par simple comparaison de la remorque avec les plans et par calcul. </w:t>
      </w:r>
    </w:p>
    <w:p w:rsidR="00F0022D" w:rsidRPr="002073DC" w:rsidRDefault="002073DC" w:rsidP="002073DC">
      <w:pPr>
        <w:pStyle w:val="H1G"/>
        <w:rPr>
          <w:lang w:val="fr-FR"/>
        </w:rPr>
      </w:pPr>
      <w:r>
        <w:rPr>
          <w:lang w:val="fr-FR"/>
        </w:rPr>
        <w:tab/>
        <w:t>2.</w:t>
      </w:r>
      <w:r>
        <w:rPr>
          <w:lang w:val="fr-FR"/>
        </w:rPr>
        <w:tab/>
        <w:t>Proposition du document </w:t>
      </w:r>
      <w:r w:rsidR="00F0022D" w:rsidRPr="002073DC">
        <w:rPr>
          <w:lang w:val="fr-FR"/>
        </w:rPr>
        <w:t>ECE/TRANS/WP.29/GRRF/2016/26</w:t>
      </w:r>
    </w:p>
    <w:p w:rsidR="00F0022D" w:rsidRPr="002073DC" w:rsidRDefault="00F0022D" w:rsidP="00F56EEF">
      <w:pPr>
        <w:pStyle w:val="SingleTxtG"/>
      </w:pPr>
      <w:r w:rsidRPr="002073DC">
        <w:rPr>
          <w:lang w:val="fr-FR"/>
        </w:rPr>
        <w:t>9.</w:t>
      </w:r>
      <w:r w:rsidRPr="002073DC">
        <w:rPr>
          <w:lang w:val="fr-FR"/>
        </w:rPr>
        <w:tab/>
        <w:t>Dans la proposition soumise par l’expert de la France, la course de compensation minimale exigée pour le dispositif d’équilibrage e</w:t>
      </w:r>
      <w:r w:rsidR="002073DC">
        <w:rPr>
          <w:lang w:val="fr-FR"/>
        </w:rPr>
        <w:t>st liée à </w:t>
      </w:r>
      <w:r w:rsidRPr="002073DC">
        <w:rPr>
          <w:lang w:val="fr-FR"/>
        </w:rPr>
        <w:t>s</w:t>
      </w:r>
      <w:r w:rsidRPr="002073DC">
        <w:rPr>
          <w:vertAlign w:val="subscript"/>
          <w:lang w:val="fr-FR"/>
        </w:rPr>
        <w:t>r</w:t>
      </w:r>
      <w:r w:rsidRPr="002073DC">
        <w:rPr>
          <w:lang w:val="fr-FR"/>
        </w:rPr>
        <w:t>, dont la valeur figure dans le rapport d’essai du frein effectué en laboratoire, document conforme à l’</w:t>
      </w:r>
      <w:r w:rsidR="002073DC">
        <w:rPr>
          <w:lang w:val="fr-FR"/>
        </w:rPr>
        <w:t>appendice </w:t>
      </w:r>
      <w:r w:rsidRPr="002073DC">
        <w:rPr>
          <w:lang w:val="fr-FR"/>
        </w:rPr>
        <w:t>3 de l’</w:t>
      </w:r>
      <w:r w:rsidR="002073DC">
        <w:rPr>
          <w:lang w:val="fr-FR"/>
        </w:rPr>
        <w:t>annexe </w:t>
      </w:r>
      <w:r w:rsidRPr="002073DC">
        <w:rPr>
          <w:lang w:val="fr-FR"/>
        </w:rPr>
        <w:t>12. Il n’est donc pas nécessaire d’effectuer des mesures sous la remorque.</w:t>
      </w:r>
    </w:p>
    <w:p w:rsidR="00F0022D" w:rsidRPr="000A12FD" w:rsidRDefault="00F0022D" w:rsidP="00F56EEF">
      <w:pPr>
        <w:pStyle w:val="SingleTxtG"/>
      </w:pPr>
      <w:r w:rsidRPr="002073DC">
        <w:rPr>
          <w:lang w:val="fr-FR"/>
        </w:rPr>
        <w:t>10.</w:t>
      </w:r>
      <w:r w:rsidRPr="002073DC">
        <w:rPr>
          <w:lang w:val="fr-FR"/>
        </w:rPr>
        <w:tab/>
        <w:t>Malgré la logique apparente de la démarche, on obtient parfois des résultats peu plausibles lorsque les variables prennent certaines valeurs :</w:t>
      </w:r>
    </w:p>
    <w:p w:rsidR="00F0022D" w:rsidRPr="00D57E95" w:rsidRDefault="00F0022D" w:rsidP="00F56EEF">
      <w:pPr>
        <w:pStyle w:val="SingleTxtG"/>
      </w:pPr>
      <w:r w:rsidRPr="00D57E95">
        <w:rPr>
          <w:lang w:val="fr-FR"/>
        </w:rPr>
        <w:t xml:space="preserve">Avec la formule </w:t>
      </w:r>
      <w:r w:rsidRPr="00D57E95">
        <w:rPr>
          <w:b/>
          <w:lang w:val="fr-FR"/>
        </w:rPr>
        <w:t>s</w:t>
      </w:r>
      <w:r w:rsidRPr="00D57E95">
        <w:rPr>
          <w:b/>
          <w:vertAlign w:val="subscript"/>
          <w:lang w:val="fr-FR"/>
        </w:rPr>
        <w:t>cd</w:t>
      </w:r>
      <w:r w:rsidR="003F312B">
        <w:rPr>
          <w:b/>
          <w:vertAlign w:val="subscript"/>
          <w:lang w:val="fr-FR"/>
        </w:rPr>
        <w:t> </w:t>
      </w:r>
      <w:r w:rsidR="003F312B">
        <w:rPr>
          <w:b/>
          <w:lang w:val="fr-FR"/>
        </w:rPr>
        <w:t>≥ </w:t>
      </w:r>
      <w:r w:rsidRPr="00D57E95">
        <w:rPr>
          <w:b/>
          <w:lang w:val="fr-FR"/>
        </w:rPr>
        <w:t>s</w:t>
      </w:r>
      <w:r w:rsidRPr="00D57E95">
        <w:rPr>
          <w:b/>
          <w:vertAlign w:val="subscript"/>
          <w:lang w:val="fr-FR"/>
        </w:rPr>
        <w:t>cr</w:t>
      </w:r>
      <w:r w:rsidR="003F312B">
        <w:rPr>
          <w:b/>
          <w:lang w:val="fr-FR"/>
        </w:rPr>
        <w:t> - </w:t>
      </w:r>
      <w:r w:rsidRPr="00D57E95">
        <w:rPr>
          <w:b/>
          <w:lang w:val="fr-FR"/>
        </w:rPr>
        <w:t>s</w:t>
      </w:r>
      <w:r w:rsidRPr="00D57E95">
        <w:rPr>
          <w:b/>
          <w:vertAlign w:val="subscript"/>
          <w:lang w:val="fr-FR"/>
        </w:rPr>
        <w:t>cf</w:t>
      </w:r>
      <w:r w:rsidR="003F312B">
        <w:rPr>
          <w:b/>
          <w:vertAlign w:val="subscript"/>
          <w:lang w:val="fr-FR"/>
        </w:rPr>
        <w:t> </w:t>
      </w:r>
      <w:r w:rsidR="003F312B">
        <w:rPr>
          <w:b/>
          <w:lang w:val="fr-FR"/>
        </w:rPr>
        <w:t>≥ </w:t>
      </w:r>
      <w:r w:rsidRPr="00D57E95">
        <w:rPr>
          <w:b/>
          <w:lang w:val="fr-FR"/>
        </w:rPr>
        <w:t>s</w:t>
      </w:r>
      <w:r w:rsidRPr="00D57E95">
        <w:rPr>
          <w:b/>
          <w:vertAlign w:val="subscript"/>
          <w:lang w:val="fr-FR"/>
        </w:rPr>
        <w:t>r</w:t>
      </w:r>
      <w:r w:rsidR="003F312B">
        <w:rPr>
          <w:b/>
          <w:lang w:val="fr-FR"/>
        </w:rPr>
        <w:t> – </w:t>
      </w:r>
      <w:r w:rsidRPr="00D57E95">
        <w:rPr>
          <w:b/>
          <w:lang w:val="fr-FR"/>
        </w:rPr>
        <w:t>s</w:t>
      </w:r>
      <w:r w:rsidRPr="00D57E95">
        <w:rPr>
          <w:b/>
          <w:vertAlign w:val="subscript"/>
          <w:lang w:val="fr-FR"/>
        </w:rPr>
        <w:t>B</w:t>
      </w:r>
      <w:r w:rsidR="003F312B">
        <w:rPr>
          <w:b/>
          <w:lang w:val="fr-FR"/>
        </w:rPr>
        <w:t> x </w:t>
      </w:r>
      <w:r w:rsidRPr="00D57E95">
        <w:rPr>
          <w:b/>
          <w:lang w:val="fr-FR"/>
        </w:rPr>
        <w:t>i</w:t>
      </w:r>
      <w:r w:rsidRPr="00D57E95">
        <w:rPr>
          <w:b/>
          <w:vertAlign w:val="subscript"/>
          <w:lang w:val="fr-FR"/>
        </w:rPr>
        <w:t>g</w:t>
      </w:r>
    </w:p>
    <w:p w:rsidR="00F0022D" w:rsidRPr="00D57E95" w:rsidRDefault="00F0022D" w:rsidP="00F56EEF">
      <w:pPr>
        <w:pStyle w:val="SingleTxtG"/>
      </w:pPr>
      <w:r>
        <w:rPr>
          <w:lang w:val="fr-FR"/>
        </w:rPr>
        <w:t xml:space="preserve">on obtient, </w:t>
      </w:r>
      <w:r w:rsidRPr="00D57E95">
        <w:rPr>
          <w:lang w:val="fr-FR"/>
        </w:rPr>
        <w:t>pour un produit d</w:t>
      </w:r>
      <w:r>
        <w:rPr>
          <w:lang w:val="fr-FR"/>
        </w:rPr>
        <w:t>’</w:t>
      </w:r>
      <w:r w:rsidRPr="00D57E95">
        <w:rPr>
          <w:lang w:val="fr-FR"/>
        </w:rPr>
        <w:t>un fabri</w:t>
      </w:r>
      <w:r>
        <w:rPr>
          <w:lang w:val="fr-FR"/>
        </w:rPr>
        <w:t>c</w:t>
      </w:r>
      <w:r w:rsidRPr="00D57E95">
        <w:rPr>
          <w:lang w:val="fr-FR"/>
        </w:rPr>
        <w:t>ant renommé dont les valeurs, dans le rapport technique effectué selon l</w:t>
      </w:r>
      <w:r>
        <w:rPr>
          <w:lang w:val="fr-FR"/>
        </w:rPr>
        <w:t>’</w:t>
      </w:r>
      <w:r w:rsidR="008F08A7">
        <w:rPr>
          <w:lang w:val="fr-FR"/>
        </w:rPr>
        <w:t>appendice </w:t>
      </w:r>
      <w:r w:rsidRPr="00D57E95">
        <w:rPr>
          <w:lang w:val="fr-FR"/>
        </w:rPr>
        <w:t>3 de l</w:t>
      </w:r>
      <w:r>
        <w:rPr>
          <w:lang w:val="fr-FR"/>
        </w:rPr>
        <w:t>’</w:t>
      </w:r>
      <w:r w:rsidR="008F08A7">
        <w:rPr>
          <w:lang w:val="fr-FR"/>
        </w:rPr>
        <w:t xml:space="preserve">annexe 12, sont </w:t>
      </w:r>
      <w:r w:rsidRPr="00D57E95">
        <w:rPr>
          <w:lang w:val="fr-FR"/>
        </w:rPr>
        <w:t>s</w:t>
      </w:r>
      <w:r w:rsidRPr="00D57E95">
        <w:rPr>
          <w:vertAlign w:val="subscript"/>
          <w:lang w:val="fr-FR"/>
        </w:rPr>
        <w:t>B</w:t>
      </w:r>
      <w:r w:rsidR="008F08A7">
        <w:rPr>
          <w:lang w:val="fr-FR"/>
        </w:rPr>
        <w:t> = &gt; 1,6 </w:t>
      </w:r>
      <w:r w:rsidRPr="00D57E95">
        <w:rPr>
          <w:lang w:val="fr-FR"/>
        </w:rPr>
        <w:t>mm, i</w:t>
      </w:r>
      <w:r w:rsidRPr="00D57E95">
        <w:rPr>
          <w:vertAlign w:val="subscript"/>
          <w:lang w:val="fr-FR"/>
        </w:rPr>
        <w:t>g</w:t>
      </w:r>
      <w:r w:rsidR="008F08A7">
        <w:rPr>
          <w:lang w:val="fr-FR"/>
        </w:rPr>
        <w:t> </w:t>
      </w:r>
      <w:r w:rsidR="005301A8">
        <w:rPr>
          <w:lang w:val="fr-FR"/>
        </w:rPr>
        <w:t xml:space="preserve">=15,55 mm </w:t>
      </w:r>
      <w:r w:rsidRPr="00D57E95">
        <w:rPr>
          <w:lang w:val="fr-FR"/>
        </w:rPr>
        <w:t>et s</w:t>
      </w:r>
      <w:r w:rsidRPr="00D57E95">
        <w:rPr>
          <w:vertAlign w:val="subscript"/>
          <w:lang w:val="fr-FR"/>
        </w:rPr>
        <w:t>r</w:t>
      </w:r>
      <w:r w:rsidR="008F08A7">
        <w:rPr>
          <w:vertAlign w:val="subscript"/>
          <w:lang w:val="fr-FR"/>
        </w:rPr>
        <w:t> </w:t>
      </w:r>
      <w:r w:rsidR="008F08A7">
        <w:rPr>
          <w:lang w:val="fr-FR"/>
        </w:rPr>
        <w:t>= </w:t>
      </w:r>
      <w:r w:rsidRPr="00D57E95">
        <w:rPr>
          <w:lang w:val="fr-FR"/>
        </w:rPr>
        <w:t xml:space="preserve">27mm, </w:t>
      </w:r>
      <w:r>
        <w:rPr>
          <w:lang w:val="fr-FR"/>
        </w:rPr>
        <w:t xml:space="preserve">le résultat </w:t>
      </w:r>
      <w:r w:rsidRPr="00D57E95">
        <w:rPr>
          <w:b/>
          <w:lang w:val="fr-FR"/>
        </w:rPr>
        <w:t>s</w:t>
      </w:r>
      <w:r w:rsidRPr="00D57E95">
        <w:rPr>
          <w:b/>
          <w:vertAlign w:val="subscript"/>
          <w:lang w:val="fr-FR"/>
        </w:rPr>
        <w:t>cd</w:t>
      </w:r>
      <w:r w:rsidR="008F08A7">
        <w:rPr>
          <w:b/>
          <w:lang w:val="fr-FR"/>
        </w:rPr>
        <w:t> ≤ 2,12 </w:t>
      </w:r>
      <w:r w:rsidRPr="00D57E95">
        <w:rPr>
          <w:b/>
          <w:lang w:val="fr-FR"/>
        </w:rPr>
        <w:t>mm</w:t>
      </w:r>
      <w:r w:rsidRPr="00D57E95">
        <w:rPr>
          <w:lang w:val="fr-FR"/>
        </w:rPr>
        <w:t>.</w:t>
      </w:r>
    </w:p>
    <w:p w:rsidR="00F0022D" w:rsidRPr="00D57E95" w:rsidRDefault="00F0022D" w:rsidP="00F56EEF">
      <w:pPr>
        <w:pStyle w:val="SingleTxtG"/>
      </w:pPr>
      <w:r w:rsidRPr="00D57E95">
        <w:rPr>
          <w:lang w:val="fr-FR"/>
        </w:rPr>
        <w:t>11.</w:t>
      </w:r>
      <w:r w:rsidRPr="00D57E95">
        <w:rPr>
          <w:lang w:val="fr-FR"/>
        </w:rPr>
        <w:tab/>
        <w:t>Pour un autre produit, d</w:t>
      </w:r>
      <w:r>
        <w:rPr>
          <w:lang w:val="fr-FR"/>
        </w:rPr>
        <w:t>’</w:t>
      </w:r>
      <w:r w:rsidRPr="00D57E95">
        <w:rPr>
          <w:lang w:val="fr-FR"/>
        </w:rPr>
        <w:t>un autre fabri</w:t>
      </w:r>
      <w:r>
        <w:rPr>
          <w:lang w:val="fr-FR"/>
        </w:rPr>
        <w:t>c</w:t>
      </w:r>
      <w:r w:rsidRPr="00D57E95">
        <w:rPr>
          <w:lang w:val="fr-FR"/>
        </w:rPr>
        <w:t>ant renommé, avec</w:t>
      </w:r>
      <w:r>
        <w:rPr>
          <w:lang w:val="fr-FR"/>
        </w:rPr>
        <w:t xml:space="preserve"> </w:t>
      </w:r>
      <w:r w:rsidRPr="00D57E95">
        <w:rPr>
          <w:lang w:val="fr-FR"/>
        </w:rPr>
        <w:t>s</w:t>
      </w:r>
      <w:r w:rsidRPr="00D57E95">
        <w:rPr>
          <w:vertAlign w:val="subscript"/>
          <w:lang w:val="fr-FR"/>
        </w:rPr>
        <w:t>B</w:t>
      </w:r>
      <w:r w:rsidR="008F08A7">
        <w:rPr>
          <w:lang w:val="fr-FR"/>
        </w:rPr>
        <w:t> = &gt; 1,52 </w:t>
      </w:r>
      <w:r w:rsidRPr="00D57E95">
        <w:rPr>
          <w:lang w:val="fr-FR"/>
        </w:rPr>
        <w:t>mm, i</w:t>
      </w:r>
      <w:r w:rsidRPr="00D57E95">
        <w:rPr>
          <w:vertAlign w:val="subscript"/>
          <w:lang w:val="fr-FR"/>
        </w:rPr>
        <w:t>g</w:t>
      </w:r>
      <w:r w:rsidR="008F08A7">
        <w:rPr>
          <w:lang w:val="fr-FR"/>
        </w:rPr>
        <w:t> = </w:t>
      </w:r>
      <w:r w:rsidR="005301A8">
        <w:rPr>
          <w:lang w:val="fr-FR"/>
        </w:rPr>
        <w:t xml:space="preserve">14 mm </w:t>
      </w:r>
      <w:r w:rsidRPr="00D57E95">
        <w:rPr>
          <w:lang w:val="fr-FR"/>
        </w:rPr>
        <w:t>et s</w:t>
      </w:r>
      <w:r w:rsidRPr="00D57E95">
        <w:rPr>
          <w:vertAlign w:val="subscript"/>
          <w:lang w:val="fr-FR"/>
        </w:rPr>
        <w:t>r</w:t>
      </w:r>
      <w:r w:rsidR="008F08A7">
        <w:rPr>
          <w:lang w:val="fr-FR"/>
        </w:rPr>
        <w:t> = </w:t>
      </w:r>
      <w:r w:rsidR="005301A8">
        <w:rPr>
          <w:lang w:val="fr-FR"/>
        </w:rPr>
        <w:t>28 </w:t>
      </w:r>
      <w:r w:rsidRPr="00D57E95">
        <w:rPr>
          <w:lang w:val="fr-FR"/>
        </w:rPr>
        <w:t xml:space="preserve">mm, on obtient </w:t>
      </w:r>
      <w:r w:rsidRPr="000A12FD">
        <w:rPr>
          <w:b/>
          <w:lang w:val="fr-FR"/>
        </w:rPr>
        <w:t>s</w:t>
      </w:r>
      <w:r w:rsidRPr="000A12FD">
        <w:rPr>
          <w:b/>
          <w:vertAlign w:val="subscript"/>
          <w:lang w:val="fr-FR"/>
        </w:rPr>
        <w:t>cd</w:t>
      </w:r>
      <w:r w:rsidR="008F08A7">
        <w:rPr>
          <w:b/>
          <w:vertAlign w:val="subscript"/>
          <w:lang w:val="fr-FR"/>
        </w:rPr>
        <w:t> </w:t>
      </w:r>
      <w:r w:rsidR="008F08A7">
        <w:rPr>
          <w:b/>
          <w:lang w:val="fr-FR"/>
        </w:rPr>
        <w:t>≤ </w:t>
      </w:r>
      <w:r w:rsidRPr="000A12FD">
        <w:rPr>
          <w:b/>
          <w:lang w:val="fr-FR"/>
        </w:rPr>
        <w:t>6,72mm</w:t>
      </w:r>
      <w:r w:rsidRPr="00D57E95">
        <w:rPr>
          <w:lang w:val="fr-FR"/>
        </w:rPr>
        <w:t>.</w:t>
      </w:r>
    </w:p>
    <w:p w:rsidR="00F0022D" w:rsidRPr="00D57E95" w:rsidRDefault="00F0022D" w:rsidP="00F56EEF">
      <w:pPr>
        <w:pStyle w:val="SingleTxtG"/>
        <w:rPr>
          <w:b/>
        </w:rPr>
      </w:pPr>
      <w:r w:rsidRPr="00D57E95">
        <w:rPr>
          <w:lang w:val="fr-FR"/>
        </w:rPr>
        <w:t>12.</w:t>
      </w:r>
      <w:r w:rsidRPr="00D57E95">
        <w:rPr>
          <w:lang w:val="fr-FR"/>
        </w:rPr>
        <w:tab/>
        <w:t>Pour un autre produit du fabricant du premier exemple, avec</w:t>
      </w:r>
      <w:r>
        <w:rPr>
          <w:lang w:val="fr-FR"/>
        </w:rPr>
        <w:t xml:space="preserve"> </w:t>
      </w:r>
      <w:r w:rsidRPr="00D57E95">
        <w:rPr>
          <w:lang w:val="fr-FR"/>
        </w:rPr>
        <w:t>s</w:t>
      </w:r>
      <w:r w:rsidRPr="00D57E95">
        <w:rPr>
          <w:vertAlign w:val="subscript"/>
          <w:lang w:val="fr-FR"/>
        </w:rPr>
        <w:t>B</w:t>
      </w:r>
      <w:r w:rsidR="008F08A7">
        <w:rPr>
          <w:lang w:val="fr-FR"/>
        </w:rPr>
        <w:t> = &gt; </w:t>
      </w:r>
      <w:r w:rsidR="00075B5D">
        <w:rPr>
          <w:lang w:val="fr-FR"/>
        </w:rPr>
        <w:t>2,1</w:t>
      </w:r>
      <w:r w:rsidR="00EE2F6F">
        <w:rPr>
          <w:lang w:val="fr-FR"/>
        </w:rPr>
        <w:t> mm</w:t>
      </w:r>
      <w:r w:rsidRPr="00D57E95">
        <w:rPr>
          <w:lang w:val="fr-FR"/>
        </w:rPr>
        <w:t>, i</w:t>
      </w:r>
      <w:r w:rsidRPr="00D57E95">
        <w:rPr>
          <w:vertAlign w:val="subscript"/>
          <w:lang w:val="fr-FR"/>
        </w:rPr>
        <w:t>g</w:t>
      </w:r>
      <w:r w:rsidR="008F08A7">
        <w:rPr>
          <w:lang w:val="fr-FR"/>
        </w:rPr>
        <w:t> = </w:t>
      </w:r>
      <w:r w:rsidR="005301A8">
        <w:rPr>
          <w:lang w:val="fr-FR"/>
        </w:rPr>
        <w:t xml:space="preserve">16,4 mm </w:t>
      </w:r>
      <w:r w:rsidRPr="00D57E95">
        <w:rPr>
          <w:lang w:val="fr-FR"/>
        </w:rPr>
        <w:t>et s</w:t>
      </w:r>
      <w:r w:rsidRPr="00D57E95">
        <w:rPr>
          <w:vertAlign w:val="subscript"/>
          <w:lang w:val="fr-FR"/>
        </w:rPr>
        <w:t>r</w:t>
      </w:r>
      <w:r w:rsidR="008F08A7">
        <w:rPr>
          <w:lang w:val="fr-FR"/>
        </w:rPr>
        <w:t> = 27 </w:t>
      </w:r>
      <w:r w:rsidRPr="00D57E95">
        <w:rPr>
          <w:lang w:val="fr-FR"/>
        </w:rPr>
        <w:t xml:space="preserve">mm, on obtient </w:t>
      </w:r>
      <w:r w:rsidRPr="000A12FD">
        <w:rPr>
          <w:b/>
          <w:lang w:val="fr-FR"/>
        </w:rPr>
        <w:t>s</w:t>
      </w:r>
      <w:r w:rsidRPr="000A12FD">
        <w:rPr>
          <w:b/>
          <w:vertAlign w:val="subscript"/>
          <w:lang w:val="fr-FR"/>
        </w:rPr>
        <w:t>cd</w:t>
      </w:r>
      <w:r w:rsidR="008F08A7">
        <w:rPr>
          <w:b/>
          <w:lang w:val="fr-FR"/>
        </w:rPr>
        <w:t> ≤ </w:t>
      </w:r>
      <w:r w:rsidR="008F08A7" w:rsidRPr="009B2999">
        <w:rPr>
          <w:lang w:val="fr-FR"/>
        </w:rPr>
        <w:t>-</w:t>
      </w:r>
      <w:r w:rsidR="008F08A7">
        <w:rPr>
          <w:b/>
          <w:lang w:val="fr-FR"/>
        </w:rPr>
        <w:t>7,44 </w:t>
      </w:r>
      <w:r w:rsidRPr="000A12FD">
        <w:rPr>
          <w:b/>
          <w:lang w:val="fr-FR"/>
        </w:rPr>
        <w:t>mm</w:t>
      </w:r>
      <w:r w:rsidRPr="00D57E95">
        <w:rPr>
          <w:lang w:val="fr-FR"/>
        </w:rPr>
        <w:t>.</w:t>
      </w:r>
    </w:p>
    <w:p w:rsidR="00F0022D" w:rsidRPr="008F08A7" w:rsidRDefault="00F0022D" w:rsidP="00F56EEF">
      <w:pPr>
        <w:pStyle w:val="SingleTxtG"/>
      </w:pPr>
      <w:r w:rsidRPr="008F08A7">
        <w:rPr>
          <w:lang w:val="fr-FR"/>
        </w:rPr>
        <w:t>13.</w:t>
      </w:r>
      <w:r w:rsidRPr="008F08A7">
        <w:rPr>
          <w:lang w:val="fr-FR"/>
        </w:rPr>
        <w:tab/>
        <w:t>Les résultats, pour le s</w:t>
      </w:r>
      <w:r w:rsidRPr="008F08A7">
        <w:rPr>
          <w:vertAlign w:val="subscript"/>
          <w:lang w:val="fr-FR"/>
        </w:rPr>
        <w:t>cd</w:t>
      </w:r>
      <w:r w:rsidRPr="008F08A7">
        <w:rPr>
          <w:lang w:val="fr-FR"/>
        </w:rPr>
        <w:t xml:space="preserve"> de l’articulation escompté, semblent trop faibles pour être réalistes. </w:t>
      </w:r>
    </w:p>
    <w:p w:rsidR="00F0022D" w:rsidRPr="00C01672" w:rsidRDefault="00F0022D" w:rsidP="00F56EEF">
      <w:pPr>
        <w:pStyle w:val="SingleTxtG"/>
      </w:pPr>
      <w:r w:rsidRPr="008F08A7">
        <w:rPr>
          <w:lang w:val="fr-FR"/>
        </w:rPr>
        <w:t>14.</w:t>
      </w:r>
      <w:r w:rsidRPr="008F08A7">
        <w:rPr>
          <w:lang w:val="fr-FR"/>
        </w:rPr>
        <w:tab/>
      </w:r>
      <w:r w:rsidR="008F08A7" w:rsidRPr="008F08A7">
        <w:rPr>
          <w:lang w:val="fr-FR"/>
        </w:rPr>
        <w:t>Cela</w:t>
      </w:r>
      <w:r w:rsidRPr="008F08A7">
        <w:rPr>
          <w:lang w:val="fr-FR"/>
        </w:rPr>
        <w:t xml:space="preserve"> tient peut</w:t>
      </w:r>
      <w:r w:rsidR="008F08A7" w:rsidRPr="008F08A7">
        <w:rPr>
          <w:lang w:val="fr-FR"/>
        </w:rPr>
        <w:noBreakHyphen/>
      </w:r>
      <w:r w:rsidRPr="008F08A7">
        <w:rPr>
          <w:lang w:val="fr-FR"/>
        </w:rPr>
        <w:t>être au fait que les conditions préalables pour obtenir s</w:t>
      </w:r>
      <w:r w:rsidRPr="008F08A7">
        <w:rPr>
          <w:vertAlign w:val="subscript"/>
          <w:lang w:val="fr-FR"/>
        </w:rPr>
        <w:t>B</w:t>
      </w:r>
      <w:r w:rsidRPr="008F08A7">
        <w:rPr>
          <w:lang w:val="fr-FR"/>
        </w:rPr>
        <w:t xml:space="preserve"> et s</w:t>
      </w:r>
      <w:r w:rsidRPr="008F08A7">
        <w:rPr>
          <w:vertAlign w:val="subscript"/>
          <w:lang w:val="fr-FR"/>
        </w:rPr>
        <w:t>r</w:t>
      </w:r>
      <w:r w:rsidRPr="008F08A7">
        <w:rPr>
          <w:lang w:val="fr-FR"/>
        </w:rPr>
        <w:t xml:space="preserve"> avec la force d’actionnement sont différentes. </w:t>
      </w:r>
      <w:r w:rsidR="008F08A7">
        <w:rPr>
          <w:lang w:val="fr-FR"/>
        </w:rPr>
        <w:t>Si</w:t>
      </w:r>
      <w:r w:rsidRPr="008F08A7">
        <w:rPr>
          <w:lang w:val="fr-FR"/>
        </w:rPr>
        <w:t xml:space="preserve"> dans le cas de s</w:t>
      </w:r>
      <w:r w:rsidRPr="008F08A7">
        <w:rPr>
          <w:vertAlign w:val="subscript"/>
          <w:lang w:val="fr-FR"/>
        </w:rPr>
        <w:t>B</w:t>
      </w:r>
      <w:r w:rsidR="008F08A7">
        <w:rPr>
          <w:lang w:val="fr-FR"/>
        </w:rPr>
        <w:t> × </w:t>
      </w:r>
      <w:r w:rsidRPr="008F08A7">
        <w:rPr>
          <w:lang w:val="fr-FR"/>
        </w:rPr>
        <w:t>i</w:t>
      </w:r>
      <w:r w:rsidRPr="008F08A7">
        <w:rPr>
          <w:vertAlign w:val="subscript"/>
          <w:lang w:val="fr-FR"/>
        </w:rPr>
        <w:t>g</w:t>
      </w:r>
      <w:r w:rsidRPr="008F08A7">
        <w:rPr>
          <w:lang w:val="fr-FR"/>
        </w:rPr>
        <w:t>, on admet que la force d’actionnement</w:t>
      </w:r>
      <w:r w:rsidR="00215CAF">
        <w:rPr>
          <w:lang w:val="fr-FR"/>
        </w:rPr>
        <w:t xml:space="preserve"> </w:t>
      </w:r>
      <w:r w:rsidRPr="008F08A7">
        <w:rPr>
          <w:lang w:val="fr-FR"/>
        </w:rPr>
        <w:t>permet d’atteindre la décélération prescrite (0,49</w:t>
      </w:r>
      <w:r w:rsidR="008F08A7">
        <w:rPr>
          <w:lang w:val="fr-FR"/>
        </w:rPr>
        <w:t> g x </w:t>
      </w:r>
      <w:r w:rsidRPr="008F08A7">
        <w:rPr>
          <w:lang w:val="fr-FR"/>
        </w:rPr>
        <w:t>G), dans le cas de s</w:t>
      </w:r>
      <w:r w:rsidRPr="008F08A7">
        <w:rPr>
          <w:vertAlign w:val="subscript"/>
          <w:lang w:val="fr-FR"/>
        </w:rPr>
        <w:t>r</w:t>
      </w:r>
      <w:r w:rsidRPr="008F08A7">
        <w:rPr>
          <w:lang w:val="fr-FR"/>
        </w:rPr>
        <w:t>, la force d’actionnement</w:t>
      </w:r>
      <w:r w:rsidR="00215CAF">
        <w:rPr>
          <w:lang w:val="fr-FR"/>
        </w:rPr>
        <w:t xml:space="preserve"> </w:t>
      </w:r>
      <w:r w:rsidRPr="008F08A7">
        <w:rPr>
          <w:lang w:val="fr-FR"/>
        </w:rPr>
        <w:t>permet d’</w:t>
      </w:r>
      <w:r w:rsidR="008F08A7">
        <w:rPr>
          <w:lang w:val="fr-FR"/>
        </w:rPr>
        <w:t>atteindre au maximum 0,08 g x </w:t>
      </w:r>
      <w:r w:rsidRPr="008F08A7">
        <w:rPr>
          <w:lang w:val="fr-FR"/>
        </w:rPr>
        <w:t>G en</w:t>
      </w:r>
      <w:r w:rsidR="008F08A7">
        <w:rPr>
          <w:lang w:val="fr-FR"/>
        </w:rPr>
        <w:t xml:space="preserve"> </w:t>
      </w:r>
      <w:r w:rsidRPr="008F08A7">
        <w:rPr>
          <w:lang w:val="fr-FR"/>
        </w:rPr>
        <w:t>mode de freinage inversé.</w:t>
      </w:r>
    </w:p>
    <w:p w:rsidR="00F0022D" w:rsidRDefault="00F0022D" w:rsidP="00F56EEF">
      <w:pPr>
        <w:pStyle w:val="SingleTxtG"/>
        <w:rPr>
          <w:lang w:val="fr-FR"/>
        </w:rPr>
      </w:pPr>
      <w:r w:rsidRPr="00D57E95">
        <w:rPr>
          <w:lang w:val="fr-FR"/>
        </w:rPr>
        <w:t>15.</w:t>
      </w:r>
      <w:r w:rsidRPr="00D57E95">
        <w:rPr>
          <w:lang w:val="fr-FR"/>
        </w:rPr>
        <w:tab/>
        <w:t>Dans le cas où le frein de stationnement est serré (0,18</w:t>
      </w:r>
      <w:r w:rsidR="008F08A7">
        <w:rPr>
          <w:lang w:val="fr-FR"/>
        </w:rPr>
        <w:t> g x </w:t>
      </w:r>
      <w:r w:rsidRPr="00D57E95">
        <w:rPr>
          <w:lang w:val="fr-FR"/>
        </w:rPr>
        <w:t>G), on a des forces d</w:t>
      </w:r>
      <w:r>
        <w:rPr>
          <w:lang w:val="fr-FR"/>
        </w:rPr>
        <w:t>’</w:t>
      </w:r>
      <w:r w:rsidRPr="00D57E95">
        <w:rPr>
          <w:lang w:val="fr-FR"/>
        </w:rPr>
        <w:t xml:space="preserve">actionnement </w:t>
      </w:r>
      <w:r w:rsidRPr="00C01672">
        <w:rPr>
          <w:lang w:val="fr-FR"/>
        </w:rPr>
        <w:t xml:space="preserve">encore </w:t>
      </w:r>
      <w:r w:rsidRPr="00D57E95">
        <w:rPr>
          <w:lang w:val="fr-FR"/>
        </w:rPr>
        <w:t>différentes. L</w:t>
      </w:r>
      <w:r>
        <w:rPr>
          <w:lang w:val="fr-FR"/>
        </w:rPr>
        <w:t>’</w:t>
      </w:r>
      <w:r w:rsidRPr="00D57E95">
        <w:rPr>
          <w:lang w:val="fr-FR"/>
        </w:rPr>
        <w:t>illustration ci</w:t>
      </w:r>
      <w:r w:rsidR="00215CAF">
        <w:rPr>
          <w:lang w:val="fr-FR"/>
        </w:rPr>
        <w:noBreakHyphen/>
      </w:r>
      <w:r w:rsidRPr="00D57E95">
        <w:rPr>
          <w:lang w:val="fr-FR"/>
        </w:rPr>
        <w:t>après donne un exemple concret de la situation au niveau du compensateur</w:t>
      </w:r>
      <w:r w:rsidR="00DD6BC1">
        <w:rPr>
          <w:lang w:val="fr-FR"/>
        </w:rPr>
        <w:t> :</w:t>
      </w:r>
    </w:p>
    <w:p w:rsidR="00287D96" w:rsidRDefault="00287D96" w:rsidP="00F56EEF">
      <w:pPr>
        <w:pStyle w:val="SingleTxtG"/>
      </w:pPr>
      <w:r w:rsidRPr="00A07E28">
        <w:object w:dxaOrig="6855" w:dyaOrig="7200">
          <v:shape id="_x0000_i1027" type="#_x0000_t75" style="width:342.35pt;height:5in" o:ole="">
            <v:imagedata r:id="rId15" o:title="" cropbottom="696f"/>
          </v:shape>
          <o:OLEObject Type="Embed" ProgID="SolidEdge.DraftDocument" ShapeID="_x0000_i1027" DrawAspect="Content" ObjectID="_1564321275" r:id="rId16"/>
        </w:object>
      </w:r>
    </w:p>
    <w:p w:rsidR="00287D96" w:rsidRPr="009B56ED" w:rsidRDefault="00287D96" w:rsidP="005C58E1">
      <w:pPr>
        <w:pStyle w:val="H1G"/>
        <w:rPr>
          <w:lang w:val="fr-FR"/>
        </w:rPr>
      </w:pPr>
      <w:r>
        <w:rPr>
          <w:lang w:val="fr-FR"/>
        </w:rPr>
        <w:tab/>
      </w:r>
      <w:r w:rsidRPr="00D57E95">
        <w:rPr>
          <w:lang w:val="fr-FR"/>
        </w:rPr>
        <w:t>3.</w:t>
      </w:r>
      <w:r w:rsidRPr="00D57E95">
        <w:rPr>
          <w:lang w:val="fr-FR"/>
        </w:rPr>
        <w:tab/>
        <w:t>La présente proposition</w:t>
      </w:r>
    </w:p>
    <w:p w:rsidR="00287D96" w:rsidRPr="005C58E1" w:rsidRDefault="00287D96" w:rsidP="005C58E1">
      <w:pPr>
        <w:pStyle w:val="SingleTxtG"/>
        <w:keepNext/>
      </w:pPr>
      <w:r w:rsidRPr="005C58E1">
        <w:rPr>
          <w:lang w:val="fr-FR"/>
        </w:rPr>
        <w:t>16.</w:t>
      </w:r>
      <w:r w:rsidRPr="005C58E1">
        <w:rPr>
          <w:lang w:val="fr-FR"/>
        </w:rPr>
        <w:tab/>
        <w:t>Le présent document donne l’idée générale des deux documents dont il est question.</w:t>
      </w:r>
    </w:p>
    <w:p w:rsidR="00287D96" w:rsidRDefault="00287D96" w:rsidP="00292ADC">
      <w:pPr>
        <w:pStyle w:val="SingleTxtG"/>
        <w:suppressAutoHyphens w:val="0"/>
        <w:rPr>
          <w:lang w:val="fr-FR"/>
        </w:rPr>
      </w:pPr>
      <w:r w:rsidRPr="005C58E1">
        <w:rPr>
          <w:lang w:val="fr-FR"/>
        </w:rPr>
        <w:t>17.</w:t>
      </w:r>
      <w:r w:rsidRPr="005C58E1">
        <w:rPr>
          <w:lang w:val="fr-FR"/>
        </w:rPr>
        <w:tab/>
        <w:t>L’illustration ci</w:t>
      </w:r>
      <w:r w:rsidR="00215CAF">
        <w:rPr>
          <w:lang w:val="fr-FR"/>
        </w:rPr>
        <w:noBreakHyphen/>
      </w:r>
      <w:r w:rsidRPr="005C58E1">
        <w:rPr>
          <w:lang w:val="fr-FR"/>
        </w:rPr>
        <w:t>dessus suppose la même tension sur les deux câbles et donc une course identique en raison de l’élasticité, ainsi s</w:t>
      </w:r>
      <w:r w:rsidRPr="005C58E1">
        <w:rPr>
          <w:vertAlign w:val="subscript"/>
          <w:lang w:val="fr-FR"/>
        </w:rPr>
        <w:t>cd</w:t>
      </w:r>
      <w:r w:rsidR="005C58E1">
        <w:rPr>
          <w:lang w:val="fr-FR"/>
        </w:rPr>
        <w:t> ≥ 1,2 </w:t>
      </w:r>
      <w:r w:rsidRPr="005C58E1">
        <w:rPr>
          <w:lang w:val="fr-FR"/>
        </w:rPr>
        <w:t>(s</w:t>
      </w:r>
      <w:r w:rsidRPr="005C58E1">
        <w:rPr>
          <w:vertAlign w:val="subscript"/>
          <w:lang w:val="fr-FR"/>
        </w:rPr>
        <w:t>r</w:t>
      </w:r>
      <w:r w:rsidR="005C58E1">
        <w:rPr>
          <w:lang w:val="fr-FR"/>
        </w:rPr>
        <w:t> – </w:t>
      </w:r>
      <w:r w:rsidRPr="005C58E1">
        <w:rPr>
          <w:lang w:val="fr-FR"/>
        </w:rPr>
        <w:t>jeu). Le jeu, dont la détermination représente un effort supplémentaire, dépend de la tolérance lors des mesures. Il est en théorie peu important. Il est donc proposé de ne pas en tenir compte et de le considérer comme une marge de sécurité supplémentaire</w:t>
      </w:r>
      <w:r w:rsidR="00215CAF">
        <w:rPr>
          <w:lang w:val="fr-FR"/>
        </w:rPr>
        <w:t xml:space="preserve"> </w:t>
      </w:r>
      <w:r w:rsidRPr="005C58E1">
        <w:rPr>
          <w:lang w:val="fr-FR"/>
        </w:rPr>
        <w:t>en admettant, par exemple, que s</w:t>
      </w:r>
      <w:r w:rsidRPr="005C58E1">
        <w:rPr>
          <w:vertAlign w:val="subscript"/>
          <w:lang w:val="fr-FR"/>
        </w:rPr>
        <w:t>cd</w:t>
      </w:r>
      <w:r w:rsidR="00426A77">
        <w:rPr>
          <w:vertAlign w:val="subscript"/>
          <w:lang w:val="fr-FR"/>
        </w:rPr>
        <w:t> </w:t>
      </w:r>
      <w:r w:rsidR="00426A77">
        <w:rPr>
          <w:lang w:val="fr-FR"/>
        </w:rPr>
        <w:t>≥ 1,2 x </w:t>
      </w:r>
      <w:r w:rsidRPr="005C58E1">
        <w:rPr>
          <w:lang w:val="fr-FR"/>
        </w:rPr>
        <w:t>s</w:t>
      </w:r>
      <w:r w:rsidRPr="005C58E1">
        <w:rPr>
          <w:vertAlign w:val="subscript"/>
          <w:lang w:val="fr-FR"/>
        </w:rPr>
        <w:t>r</w:t>
      </w:r>
      <w:r w:rsidRPr="005C58E1">
        <w:rPr>
          <w:lang w:val="fr-FR"/>
        </w:rPr>
        <w:t>.</w:t>
      </w:r>
    </w:p>
    <w:p w:rsidR="00287D96" w:rsidRPr="00D713A0" w:rsidRDefault="00D713A0" w:rsidP="00D713A0">
      <w:pPr>
        <w:pStyle w:val="SingleTxtG"/>
        <w:spacing w:before="240" w:after="0"/>
        <w:jc w:val="center"/>
        <w:rPr>
          <w:u w:val="single"/>
        </w:rPr>
      </w:pPr>
      <w:r>
        <w:rPr>
          <w:u w:val="single"/>
        </w:rPr>
        <w:tab/>
      </w:r>
      <w:r>
        <w:rPr>
          <w:u w:val="single"/>
        </w:rPr>
        <w:tab/>
      </w:r>
      <w:r>
        <w:rPr>
          <w:u w:val="single"/>
        </w:rPr>
        <w:tab/>
      </w:r>
    </w:p>
    <w:sectPr w:rsidR="00287D96" w:rsidRPr="00D713A0" w:rsidSect="00B37FAC">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9A" w:rsidRDefault="001D589A" w:rsidP="00F95C08">
      <w:pPr>
        <w:spacing w:line="240" w:lineRule="auto"/>
      </w:pPr>
    </w:p>
  </w:endnote>
  <w:endnote w:type="continuationSeparator" w:id="0">
    <w:p w:rsidR="001D589A" w:rsidRPr="00AC3823" w:rsidRDefault="001D589A" w:rsidP="00AC3823">
      <w:pPr>
        <w:pStyle w:val="Footer"/>
      </w:pPr>
    </w:p>
  </w:endnote>
  <w:endnote w:type="continuationNotice" w:id="1">
    <w:p w:rsidR="001D589A" w:rsidRDefault="001D5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AC" w:rsidRPr="00B37FAC" w:rsidRDefault="00B37FAC" w:rsidP="00B37FAC">
    <w:pPr>
      <w:pStyle w:val="Footer"/>
      <w:tabs>
        <w:tab w:val="right" w:pos="9638"/>
      </w:tabs>
    </w:pPr>
    <w:r w:rsidRPr="00B37FAC">
      <w:rPr>
        <w:b/>
        <w:sz w:val="18"/>
      </w:rPr>
      <w:fldChar w:fldCharType="begin"/>
    </w:r>
    <w:r w:rsidRPr="00B37FAC">
      <w:rPr>
        <w:b/>
        <w:sz w:val="18"/>
      </w:rPr>
      <w:instrText xml:space="preserve"> PAGE  \* MERGEFORMAT </w:instrText>
    </w:r>
    <w:r w:rsidRPr="00B37FAC">
      <w:rPr>
        <w:b/>
        <w:sz w:val="18"/>
      </w:rPr>
      <w:fldChar w:fldCharType="separate"/>
    </w:r>
    <w:r w:rsidR="00526773">
      <w:rPr>
        <w:b/>
        <w:noProof/>
        <w:sz w:val="18"/>
      </w:rPr>
      <w:t>6</w:t>
    </w:r>
    <w:r w:rsidRPr="00B37FAC">
      <w:rPr>
        <w:b/>
        <w:sz w:val="18"/>
      </w:rPr>
      <w:fldChar w:fldCharType="end"/>
    </w:r>
    <w:r>
      <w:rPr>
        <w:b/>
        <w:sz w:val="18"/>
      </w:rPr>
      <w:tab/>
    </w:r>
    <w:r>
      <w:t>GE.17-11389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AC" w:rsidRPr="00B37FAC" w:rsidRDefault="00B37FAC" w:rsidP="00B37FAC">
    <w:pPr>
      <w:pStyle w:val="Footer"/>
      <w:tabs>
        <w:tab w:val="right" w:pos="9638"/>
      </w:tabs>
      <w:rPr>
        <w:b/>
        <w:sz w:val="18"/>
      </w:rPr>
    </w:pPr>
    <w:r>
      <w:t>GE.17-11389</w:t>
    </w:r>
    <w:r>
      <w:tab/>
    </w:r>
    <w:r w:rsidRPr="00B37FAC">
      <w:rPr>
        <w:b/>
        <w:sz w:val="18"/>
      </w:rPr>
      <w:fldChar w:fldCharType="begin"/>
    </w:r>
    <w:r w:rsidRPr="00B37FAC">
      <w:rPr>
        <w:b/>
        <w:sz w:val="18"/>
      </w:rPr>
      <w:instrText xml:space="preserve"> PAGE  \* MERGEFORMAT </w:instrText>
    </w:r>
    <w:r w:rsidRPr="00B37FAC">
      <w:rPr>
        <w:b/>
        <w:sz w:val="18"/>
      </w:rPr>
      <w:fldChar w:fldCharType="separate"/>
    </w:r>
    <w:r w:rsidR="00526773">
      <w:rPr>
        <w:b/>
        <w:noProof/>
        <w:sz w:val="18"/>
      </w:rPr>
      <w:t>5</w:t>
    </w:r>
    <w:r w:rsidRPr="00B37F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37FAC" w:rsidRDefault="00B37FAC" w:rsidP="00B37FAC">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17-11389  (F)</w:t>
    </w:r>
    <w:r w:rsidR="00480788">
      <w:rPr>
        <w:sz w:val="20"/>
      </w:rPr>
      <w:t xml:space="preserve">    030817    040817</w:t>
    </w:r>
    <w:r>
      <w:rPr>
        <w:sz w:val="20"/>
      </w:rPr>
      <w:br/>
    </w:r>
    <w:r w:rsidRPr="00B37FAC">
      <w:rPr>
        <w:rFonts w:ascii="C39T30Lfz" w:hAnsi="C39T30Lfz"/>
        <w:sz w:val="56"/>
      </w:rPr>
      <w:t></w:t>
    </w:r>
    <w:r w:rsidRPr="00B37FAC">
      <w:rPr>
        <w:rFonts w:ascii="C39T30Lfz" w:hAnsi="C39T30Lfz"/>
        <w:sz w:val="56"/>
      </w:rPr>
      <w:t></w:t>
    </w:r>
    <w:r w:rsidRPr="00B37FAC">
      <w:rPr>
        <w:rFonts w:ascii="C39T30Lfz" w:hAnsi="C39T30Lfz"/>
        <w:sz w:val="56"/>
      </w:rPr>
      <w:t></w:t>
    </w:r>
    <w:r w:rsidRPr="00B37FAC">
      <w:rPr>
        <w:rFonts w:ascii="C39T30Lfz" w:hAnsi="C39T30Lfz"/>
        <w:sz w:val="56"/>
      </w:rPr>
      <w:t></w:t>
    </w:r>
    <w:r w:rsidRPr="00B37FAC">
      <w:rPr>
        <w:rFonts w:ascii="C39T30Lfz" w:hAnsi="C39T30Lfz"/>
        <w:sz w:val="56"/>
      </w:rPr>
      <w:t></w:t>
    </w:r>
    <w:r w:rsidRPr="00B37FAC">
      <w:rPr>
        <w:rFonts w:ascii="C39T30Lfz" w:hAnsi="C39T30Lfz"/>
        <w:sz w:val="56"/>
      </w:rPr>
      <w:t></w:t>
    </w:r>
    <w:r w:rsidRPr="00B37FAC">
      <w:rPr>
        <w:rFonts w:ascii="C39T30Lfz" w:hAnsi="C39T30Lfz"/>
        <w:sz w:val="56"/>
      </w:rPr>
      <w:t></w:t>
    </w:r>
    <w:r w:rsidRPr="00B37FAC">
      <w:rPr>
        <w:rFonts w:ascii="C39T30Lfz" w:hAnsi="C39T30Lfz"/>
        <w:sz w:val="56"/>
      </w:rPr>
      <w:t></w:t>
    </w:r>
    <w:r w:rsidRPr="00B37FAC">
      <w:rPr>
        <w:rFonts w:ascii="C39T30Lfz" w:hAnsi="C39T30Lfz"/>
        <w:sz w:val="56"/>
      </w:rPr>
      <w:t></w:t>
    </w:r>
    <w:r>
      <w:rPr>
        <w:noProof/>
        <w:sz w:val="20"/>
        <w:lang w:val="en-GB" w:eastAsia="en-GB"/>
      </w:rPr>
      <w:drawing>
        <wp:anchor distT="0" distB="0" distL="114300" distR="114300" simplePos="0" relativeHeight="2516551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9A" w:rsidRPr="00AC3823" w:rsidRDefault="001D589A" w:rsidP="00AC3823">
      <w:pPr>
        <w:pStyle w:val="Footer"/>
        <w:tabs>
          <w:tab w:val="right" w:pos="2155"/>
        </w:tabs>
        <w:spacing w:after="80" w:line="240" w:lineRule="atLeast"/>
        <w:ind w:left="680"/>
        <w:rPr>
          <w:u w:val="single"/>
        </w:rPr>
      </w:pPr>
      <w:r>
        <w:rPr>
          <w:u w:val="single"/>
        </w:rPr>
        <w:tab/>
      </w:r>
    </w:p>
  </w:footnote>
  <w:footnote w:type="continuationSeparator" w:id="0">
    <w:p w:rsidR="001D589A" w:rsidRPr="00AC3823" w:rsidRDefault="001D589A" w:rsidP="00AC3823">
      <w:pPr>
        <w:pStyle w:val="Footer"/>
        <w:tabs>
          <w:tab w:val="right" w:pos="2155"/>
        </w:tabs>
        <w:spacing w:after="80" w:line="240" w:lineRule="atLeast"/>
        <w:ind w:left="680"/>
        <w:rPr>
          <w:u w:val="single"/>
        </w:rPr>
      </w:pPr>
      <w:r>
        <w:rPr>
          <w:u w:val="single"/>
        </w:rPr>
        <w:tab/>
      </w:r>
    </w:p>
  </w:footnote>
  <w:footnote w:type="continuationNotice" w:id="1">
    <w:p w:rsidR="001D589A" w:rsidRPr="00AC3823" w:rsidRDefault="001D589A">
      <w:pPr>
        <w:spacing w:line="240" w:lineRule="auto"/>
        <w:rPr>
          <w:sz w:val="2"/>
          <w:szCs w:val="2"/>
        </w:rPr>
      </w:pPr>
    </w:p>
  </w:footnote>
  <w:footnote w:id="2">
    <w:p w:rsidR="00A97211" w:rsidRPr="00A97211" w:rsidRDefault="00A97211">
      <w:pPr>
        <w:pStyle w:val="FootnoteText"/>
      </w:pPr>
      <w:r>
        <w:rPr>
          <w:rStyle w:val="FootnoteReference"/>
        </w:rPr>
        <w:tab/>
      </w:r>
      <w:r w:rsidRPr="00A97211">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AC" w:rsidRPr="00B37FAC" w:rsidRDefault="00526773">
    <w:pPr>
      <w:pStyle w:val="Header"/>
    </w:pPr>
    <w:r>
      <w:fldChar w:fldCharType="begin"/>
    </w:r>
    <w:r>
      <w:instrText xml:space="preserve"> TITLE  \* MERGEFORMAT </w:instrText>
    </w:r>
    <w:r>
      <w:fldChar w:fldCharType="separate"/>
    </w:r>
    <w:r w:rsidR="007B2876">
      <w:t>ECE/TRANS/WP.29/GRRF/2017/12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AC" w:rsidRPr="00B37FAC" w:rsidRDefault="00526773" w:rsidP="00B37FAC">
    <w:pPr>
      <w:pStyle w:val="Header"/>
      <w:jc w:val="right"/>
    </w:pPr>
    <w:r>
      <w:fldChar w:fldCharType="begin"/>
    </w:r>
    <w:r>
      <w:instrText xml:space="preserve"> TITLE  \* MERGEFORMAT </w:instrText>
    </w:r>
    <w:r>
      <w:fldChar w:fldCharType="separate"/>
    </w:r>
    <w:r w:rsidR="007B2876">
      <w:t>ECE/TRANS/WP.29/GRRF/2017/12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9A"/>
    <w:rsid w:val="00017F94"/>
    <w:rsid w:val="00023842"/>
    <w:rsid w:val="00024B52"/>
    <w:rsid w:val="000334F9"/>
    <w:rsid w:val="000426FD"/>
    <w:rsid w:val="00045FEB"/>
    <w:rsid w:val="00052B0E"/>
    <w:rsid w:val="00052EC4"/>
    <w:rsid w:val="00075B5D"/>
    <w:rsid w:val="0007796D"/>
    <w:rsid w:val="000B7790"/>
    <w:rsid w:val="000C1E58"/>
    <w:rsid w:val="00111F2F"/>
    <w:rsid w:val="001411B9"/>
    <w:rsid w:val="0014365E"/>
    <w:rsid w:val="00143C66"/>
    <w:rsid w:val="00176178"/>
    <w:rsid w:val="001D589A"/>
    <w:rsid w:val="001F379B"/>
    <w:rsid w:val="001F4809"/>
    <w:rsid w:val="001F525A"/>
    <w:rsid w:val="002073DC"/>
    <w:rsid w:val="00215CAF"/>
    <w:rsid w:val="00223272"/>
    <w:rsid w:val="00224BCA"/>
    <w:rsid w:val="00230F69"/>
    <w:rsid w:val="0024779E"/>
    <w:rsid w:val="00257168"/>
    <w:rsid w:val="002744B8"/>
    <w:rsid w:val="002832AC"/>
    <w:rsid w:val="00287D96"/>
    <w:rsid w:val="00290CE6"/>
    <w:rsid w:val="00292ADC"/>
    <w:rsid w:val="002C09E8"/>
    <w:rsid w:val="002D7C93"/>
    <w:rsid w:val="00305801"/>
    <w:rsid w:val="00341C18"/>
    <w:rsid w:val="003916DE"/>
    <w:rsid w:val="003A7421"/>
    <w:rsid w:val="003F312B"/>
    <w:rsid w:val="003F4D46"/>
    <w:rsid w:val="00402C15"/>
    <w:rsid w:val="00426A77"/>
    <w:rsid w:val="00441C3B"/>
    <w:rsid w:val="00446FE5"/>
    <w:rsid w:val="00452396"/>
    <w:rsid w:val="00480788"/>
    <w:rsid w:val="004837D8"/>
    <w:rsid w:val="004E468C"/>
    <w:rsid w:val="00503D3C"/>
    <w:rsid w:val="00526773"/>
    <w:rsid w:val="005301A8"/>
    <w:rsid w:val="005505B7"/>
    <w:rsid w:val="005611A8"/>
    <w:rsid w:val="00573BE5"/>
    <w:rsid w:val="00586ED3"/>
    <w:rsid w:val="00596AA9"/>
    <w:rsid w:val="005C0888"/>
    <w:rsid w:val="005C58E1"/>
    <w:rsid w:val="0062099F"/>
    <w:rsid w:val="00637068"/>
    <w:rsid w:val="0065038A"/>
    <w:rsid w:val="0071601D"/>
    <w:rsid w:val="00784EF1"/>
    <w:rsid w:val="007A62E6"/>
    <w:rsid w:val="007B2876"/>
    <w:rsid w:val="007F20FA"/>
    <w:rsid w:val="0080684C"/>
    <w:rsid w:val="00871C75"/>
    <w:rsid w:val="008776DC"/>
    <w:rsid w:val="0088268B"/>
    <w:rsid w:val="008F08A7"/>
    <w:rsid w:val="009446C0"/>
    <w:rsid w:val="009548DB"/>
    <w:rsid w:val="009705C8"/>
    <w:rsid w:val="009764AC"/>
    <w:rsid w:val="009A341C"/>
    <w:rsid w:val="009B0D6B"/>
    <w:rsid w:val="009B2999"/>
    <w:rsid w:val="009B575C"/>
    <w:rsid w:val="009C1CF4"/>
    <w:rsid w:val="009F6B74"/>
    <w:rsid w:val="00A30353"/>
    <w:rsid w:val="00A45E21"/>
    <w:rsid w:val="00A97211"/>
    <w:rsid w:val="00AC320C"/>
    <w:rsid w:val="00AC3823"/>
    <w:rsid w:val="00AE323C"/>
    <w:rsid w:val="00AF0CB5"/>
    <w:rsid w:val="00B00181"/>
    <w:rsid w:val="00B00B0D"/>
    <w:rsid w:val="00B162CF"/>
    <w:rsid w:val="00B37FAC"/>
    <w:rsid w:val="00B765F7"/>
    <w:rsid w:val="00B93755"/>
    <w:rsid w:val="00BA0CA9"/>
    <w:rsid w:val="00C02897"/>
    <w:rsid w:val="00C42F65"/>
    <w:rsid w:val="00C97039"/>
    <w:rsid w:val="00D3439C"/>
    <w:rsid w:val="00D713A0"/>
    <w:rsid w:val="00D85E02"/>
    <w:rsid w:val="00DB1831"/>
    <w:rsid w:val="00DD3BFD"/>
    <w:rsid w:val="00DD6BC1"/>
    <w:rsid w:val="00DF649D"/>
    <w:rsid w:val="00DF6678"/>
    <w:rsid w:val="00E0299A"/>
    <w:rsid w:val="00E33A51"/>
    <w:rsid w:val="00E36A4A"/>
    <w:rsid w:val="00E81E4E"/>
    <w:rsid w:val="00E84A37"/>
    <w:rsid w:val="00E85C74"/>
    <w:rsid w:val="00EA6547"/>
    <w:rsid w:val="00EC35E9"/>
    <w:rsid w:val="00EE2F6F"/>
    <w:rsid w:val="00EF2E22"/>
    <w:rsid w:val="00F0022D"/>
    <w:rsid w:val="00F21CDF"/>
    <w:rsid w:val="00F35BAF"/>
    <w:rsid w:val="00F56EEF"/>
    <w:rsid w:val="00F6118D"/>
    <w:rsid w:val="00F660DF"/>
    <w:rsid w:val="00F84A2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6676</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ECE/TRANS/WP.29/GRRF/2017/12</vt:lpstr>
      <vt:lpstr>ECE/TRANS/WP.29/GRRF/2017/12</vt:lpstr>
    </vt:vector>
  </TitlesOfParts>
  <Company>DCM</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ECE/TRANS/WP.29/GRRF/2017/12</dc:title>
  <dc:creator>DEVOS</dc:creator>
  <cp:lastModifiedBy>Benedicte Boudol</cp:lastModifiedBy>
  <cp:revision>2</cp:revision>
  <cp:lastPrinted>2017-08-04T09:58:00Z</cp:lastPrinted>
  <dcterms:created xsi:type="dcterms:W3CDTF">2017-08-15T14:55:00Z</dcterms:created>
  <dcterms:modified xsi:type="dcterms:W3CDTF">2017-08-15T14:55:00Z</dcterms:modified>
</cp:coreProperties>
</file>