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462C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462C9" w:rsidP="00E462C9">
            <w:pPr>
              <w:jc w:val="right"/>
            </w:pPr>
            <w:r w:rsidRPr="00E462C9">
              <w:rPr>
                <w:sz w:val="40"/>
              </w:rPr>
              <w:t>ECE</w:t>
            </w:r>
            <w:r>
              <w:t>/TRANS/WP.29/GRRF/2017/11</w:t>
            </w:r>
          </w:p>
        </w:tc>
      </w:tr>
      <w:tr w:rsidR="002D5AAC" w:rsidRPr="00E462C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462C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462C9" w:rsidRDefault="00E462C9" w:rsidP="00E462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July 2017</w:t>
            </w:r>
          </w:p>
          <w:p w:rsidR="00E462C9" w:rsidRDefault="00E462C9" w:rsidP="00E462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462C9" w:rsidRPr="008D53B6" w:rsidRDefault="00E462C9" w:rsidP="00E462C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462C9" w:rsidRPr="00E462C9" w:rsidRDefault="00E462C9" w:rsidP="00E462C9">
      <w:pPr>
        <w:tabs>
          <w:tab w:val="left" w:pos="4152"/>
        </w:tabs>
        <w:spacing w:before="120"/>
        <w:rPr>
          <w:sz w:val="28"/>
          <w:szCs w:val="28"/>
        </w:rPr>
      </w:pPr>
      <w:r w:rsidRPr="00E462C9">
        <w:rPr>
          <w:sz w:val="28"/>
          <w:szCs w:val="28"/>
        </w:rPr>
        <w:t>Комитет по внутреннему транспорту</w:t>
      </w:r>
    </w:p>
    <w:p w:rsidR="00E462C9" w:rsidRPr="00E462C9" w:rsidRDefault="00E462C9" w:rsidP="00E462C9">
      <w:pPr>
        <w:tabs>
          <w:tab w:val="left" w:pos="4152"/>
        </w:tabs>
        <w:spacing w:before="120"/>
        <w:rPr>
          <w:b/>
          <w:bCs/>
          <w:sz w:val="24"/>
          <w:szCs w:val="24"/>
        </w:rPr>
      </w:pPr>
      <w:r w:rsidRPr="00E462C9">
        <w:rPr>
          <w:b/>
          <w:bCs/>
          <w:sz w:val="24"/>
          <w:szCs w:val="24"/>
        </w:rPr>
        <w:t>Всемирный форум для согласования правил</w:t>
      </w:r>
      <w:r w:rsidRPr="00E462C9">
        <w:rPr>
          <w:rFonts w:hint="eastAsia"/>
          <w:b/>
          <w:bCs/>
          <w:sz w:val="24"/>
          <w:szCs w:val="24"/>
        </w:rPr>
        <w:br/>
      </w:r>
      <w:r w:rsidRPr="00E462C9">
        <w:rPr>
          <w:b/>
          <w:bCs/>
          <w:sz w:val="24"/>
          <w:szCs w:val="24"/>
        </w:rPr>
        <w:t>в области транспортных средств</w:t>
      </w:r>
    </w:p>
    <w:p w:rsidR="00E462C9" w:rsidRPr="00E462C9" w:rsidRDefault="00E462C9" w:rsidP="00E462C9">
      <w:pPr>
        <w:tabs>
          <w:tab w:val="left" w:pos="4152"/>
        </w:tabs>
        <w:spacing w:before="120"/>
        <w:rPr>
          <w:b/>
        </w:rPr>
      </w:pPr>
      <w:r w:rsidRPr="00E462C9">
        <w:rPr>
          <w:b/>
          <w:bCs/>
        </w:rPr>
        <w:t>Рабоча</w:t>
      </w:r>
      <w:r>
        <w:rPr>
          <w:b/>
          <w:bCs/>
        </w:rPr>
        <w:t>я группа по вопросам торможения</w:t>
      </w:r>
      <w:r w:rsidRPr="00E462C9">
        <w:rPr>
          <w:b/>
          <w:bCs/>
        </w:rPr>
        <w:br/>
        <w:t>и ходовой части</w:t>
      </w:r>
    </w:p>
    <w:p w:rsidR="00E462C9" w:rsidRPr="00E462C9" w:rsidRDefault="00E462C9" w:rsidP="00E462C9">
      <w:pPr>
        <w:tabs>
          <w:tab w:val="left" w:pos="4152"/>
        </w:tabs>
        <w:spacing w:before="120"/>
        <w:rPr>
          <w:b/>
        </w:rPr>
      </w:pPr>
      <w:r w:rsidRPr="00E462C9">
        <w:rPr>
          <w:b/>
        </w:rPr>
        <w:t>Восемьдесят четвертая сессия</w:t>
      </w:r>
    </w:p>
    <w:p w:rsidR="00E462C9" w:rsidRPr="00E462C9" w:rsidRDefault="00E462C9" w:rsidP="00E462C9">
      <w:pPr>
        <w:tabs>
          <w:tab w:val="left" w:pos="4152"/>
        </w:tabs>
      </w:pPr>
      <w:r w:rsidRPr="00E462C9">
        <w:t>Женева</w:t>
      </w:r>
      <w:r w:rsidR="00157479">
        <w:t>, 19</w:t>
      </w:r>
      <w:r w:rsidR="00157479">
        <w:rPr>
          <w:lang w:val="en-US"/>
        </w:rPr>
        <w:t>–</w:t>
      </w:r>
      <w:r w:rsidRPr="00E462C9">
        <w:t>22 сентября 2017 года</w:t>
      </w:r>
    </w:p>
    <w:p w:rsidR="00E462C9" w:rsidRPr="00E462C9" w:rsidRDefault="00E462C9" w:rsidP="00E462C9">
      <w:pPr>
        <w:tabs>
          <w:tab w:val="left" w:pos="4152"/>
        </w:tabs>
      </w:pPr>
      <w:r w:rsidRPr="00E462C9">
        <w:t xml:space="preserve">Пункт 3 </w:t>
      </w:r>
      <w:r w:rsidRPr="00E462C9">
        <w:rPr>
          <w:lang w:val="en-US"/>
        </w:rPr>
        <w:t>c</w:t>
      </w:r>
      <w:r w:rsidRPr="00E462C9">
        <w:t>) предварительной повестки дня</w:t>
      </w:r>
    </w:p>
    <w:p w:rsidR="00E462C9" w:rsidRPr="00E462C9" w:rsidRDefault="00E462C9" w:rsidP="00E462C9">
      <w:pPr>
        <w:tabs>
          <w:tab w:val="left" w:pos="4152"/>
        </w:tabs>
        <w:rPr>
          <w:b/>
        </w:rPr>
      </w:pPr>
      <w:r w:rsidRPr="00E462C9">
        <w:rPr>
          <w:b/>
        </w:rPr>
        <w:t>Правила № 13 и 13-</w:t>
      </w:r>
      <w:r w:rsidRPr="00E462C9">
        <w:rPr>
          <w:b/>
          <w:lang w:val="en-US"/>
        </w:rPr>
        <w:t>H</w:t>
      </w:r>
      <w:r w:rsidRPr="00E462C9">
        <w:rPr>
          <w:b/>
        </w:rPr>
        <w:t xml:space="preserve">: уточнения </w:t>
      </w:r>
    </w:p>
    <w:p w:rsidR="00E462C9" w:rsidRPr="00E462C9" w:rsidRDefault="00E462C9" w:rsidP="00E462C9">
      <w:pPr>
        <w:pStyle w:val="HChGR"/>
      </w:pPr>
      <w:r w:rsidRPr="00E462C9">
        <w:tab/>
      </w:r>
      <w:r w:rsidRPr="00E462C9">
        <w:tab/>
      </w:r>
      <w:r w:rsidRPr="00E462C9">
        <w:rPr>
          <w:bCs/>
        </w:rPr>
        <w:t>Предложение по поправкам к Правилам №</w:t>
      </w:r>
      <w:r w:rsidRPr="00E462C9">
        <w:t xml:space="preserve"> 13 (торможение транспортных средств большой грузоподъемности) </w:t>
      </w:r>
    </w:p>
    <w:p w:rsidR="00E462C9" w:rsidRPr="00E462C9" w:rsidRDefault="00E462C9" w:rsidP="00E462C9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E462C9">
        <w:t>Представлено экспертом от Европейской ассоциации поставщиков автомобильных деталей</w:t>
      </w:r>
      <w:r w:rsidRPr="00E462C9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E462C9" w:rsidRPr="00E462C9" w:rsidRDefault="00E462C9" w:rsidP="00E462C9">
      <w:pPr>
        <w:pStyle w:val="SingleTxtGR"/>
      </w:pPr>
      <w:r w:rsidRPr="00E462C9">
        <w:tab/>
        <w:t xml:space="preserve">Воспроизведенный ниже текст первоначально был предложен </w:t>
      </w:r>
      <w:r w:rsidRPr="00E462C9">
        <w:rPr>
          <w:bCs/>
        </w:rPr>
        <w:t>экспертом от Европейской ассоциации поставщиков автомобильных деталей</w:t>
      </w:r>
      <w:r w:rsidRPr="00E462C9">
        <w:t xml:space="preserve"> (КСАОД) на восемьдесят третьей сессии Рабочей группы по вопросам торможения и ход</w:t>
      </w:r>
      <w:r w:rsidRPr="00E462C9">
        <w:t>о</w:t>
      </w:r>
      <w:r w:rsidRPr="00E462C9">
        <w:t>вой части (</w:t>
      </w:r>
      <w:r w:rsidRPr="00E462C9">
        <w:rPr>
          <w:lang w:val="en-US"/>
        </w:rPr>
        <w:t>GRRF</w:t>
      </w:r>
      <w:r w:rsidRPr="00E462C9">
        <w:t xml:space="preserve">) в документе </w:t>
      </w:r>
      <w:r w:rsidRPr="00E462C9">
        <w:rPr>
          <w:lang w:val="en-US"/>
        </w:rPr>
        <w:t>GRRF</w:t>
      </w:r>
      <w:r w:rsidRPr="00E462C9">
        <w:t xml:space="preserve">-83-31. </w:t>
      </w:r>
      <w:proofErr w:type="gramStart"/>
      <w:r w:rsidRPr="00E462C9">
        <w:rPr>
          <w:lang w:val="en-US"/>
        </w:rPr>
        <w:t>GRRF</w:t>
      </w:r>
      <w:r w:rsidRPr="00E462C9">
        <w:t xml:space="preserve"> решила возобновить ра</w:t>
      </w:r>
      <w:r w:rsidRPr="00E462C9">
        <w:t>с</w:t>
      </w:r>
      <w:r w:rsidRPr="00E462C9">
        <w:t>смотрение этого предложения на своей восемьдесят четвертой сессии на основе документа, распространенного под официальным условным обозначением.</w:t>
      </w:r>
      <w:proofErr w:type="gramEnd"/>
      <w:r w:rsidRPr="00E462C9">
        <w:t xml:space="preserve"> И</w:t>
      </w:r>
      <w:r w:rsidRPr="00E462C9">
        <w:t>з</w:t>
      </w:r>
      <w:r w:rsidRPr="00E462C9">
        <w:t>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:rsidR="00E462C9" w:rsidRPr="00E462C9" w:rsidRDefault="00E462C9" w:rsidP="00E462C9">
      <w:pPr>
        <w:pStyle w:val="SingleTxtGR"/>
        <w:pageBreakBefore/>
      </w:pPr>
      <w:r w:rsidRPr="00E462C9">
        <w:rPr>
          <w:i/>
        </w:rPr>
        <w:lastRenderedPageBreak/>
        <w:t>Сноску 12</w:t>
      </w:r>
      <w:r w:rsidRPr="00E462C9">
        <w:t xml:space="preserve"> изменить следующим образом:</w:t>
      </w:r>
    </w:p>
    <w:p w:rsidR="00E462C9" w:rsidRPr="00E462C9" w:rsidRDefault="00E462C9" w:rsidP="00E462C9">
      <w:pPr>
        <w:pStyle w:val="SingleTxtGR"/>
      </w:pPr>
      <w:r>
        <w:t>«</w:t>
      </w:r>
      <w:r w:rsidRPr="00E462C9">
        <w:rPr>
          <w:lang w:val="fr-CH"/>
        </w:rPr>
        <w:separator/>
      </w:r>
    </w:p>
    <w:p w:rsidR="00E462C9" w:rsidRPr="00E462C9" w:rsidRDefault="00E462C9" w:rsidP="00E462C9">
      <w:pPr>
        <w:pStyle w:val="SingleTxtGR"/>
        <w:spacing w:line="220" w:lineRule="exact"/>
        <w:ind w:left="1701"/>
        <w:rPr>
          <w:sz w:val="18"/>
          <w:szCs w:val="18"/>
        </w:rPr>
      </w:pPr>
      <w:r w:rsidRPr="00E462C9">
        <w:rPr>
          <w:sz w:val="18"/>
          <w:szCs w:val="18"/>
          <w:vertAlign w:val="superscript"/>
        </w:rPr>
        <w:t>12</w:t>
      </w:r>
      <w:r w:rsidRPr="00E462C9">
        <w:rPr>
          <w:sz w:val="18"/>
          <w:szCs w:val="18"/>
        </w:rPr>
        <w:t>  Это требование не распространяется на транспортные средства повышенной проходимости, транспортные средства специального назначения (например, п</w:t>
      </w:r>
      <w:r w:rsidRPr="00E462C9">
        <w:rPr>
          <w:sz w:val="18"/>
          <w:szCs w:val="18"/>
        </w:rPr>
        <w:t>о</w:t>
      </w:r>
      <w:r w:rsidRPr="00E462C9">
        <w:rPr>
          <w:sz w:val="18"/>
          <w:szCs w:val="18"/>
        </w:rPr>
        <w:t xml:space="preserve">движные установки на нестандартном шасси, подвижные краны, транспортные средства с гидростатическим приводом, на которых система гидравлического привода используется также для торможения и вспомогательных функций, </w:t>
      </w:r>
      <w:r w:rsidRPr="00E462C9">
        <w:rPr>
          <w:b/>
          <w:sz w:val="18"/>
          <w:szCs w:val="18"/>
        </w:rPr>
        <w:t>транспортные средства на нестандартном шасси, на которых датчи</w:t>
      </w:r>
      <w:proofErr w:type="gramStart"/>
      <w:r w:rsidRPr="00E462C9">
        <w:rPr>
          <w:b/>
          <w:sz w:val="18"/>
          <w:szCs w:val="18"/>
        </w:rPr>
        <w:t>к(</w:t>
      </w:r>
      <w:proofErr w:type="gramEnd"/>
      <w:r w:rsidRPr="00E462C9">
        <w:rPr>
          <w:b/>
          <w:sz w:val="18"/>
          <w:szCs w:val="18"/>
        </w:rPr>
        <w:t>и) для определения значений поперечной составляющей ускорения и/или угловой скорости рыскания, необходимый(е) для функционирования контроля устойчивости, не может (не могут) быть установле</w:t>
      </w:r>
      <w:proofErr w:type="gramStart"/>
      <w:r w:rsidRPr="00E462C9">
        <w:rPr>
          <w:b/>
          <w:sz w:val="18"/>
          <w:szCs w:val="18"/>
        </w:rPr>
        <w:t>н(</w:t>
      </w:r>
      <w:proofErr w:type="gramEnd"/>
      <w:r w:rsidRPr="00E462C9">
        <w:rPr>
          <w:b/>
          <w:sz w:val="18"/>
          <w:szCs w:val="18"/>
        </w:rPr>
        <w:t>ы) в конкретной зоне поблизости от центра тяжести транспортного средства без ущерба для сп</w:t>
      </w:r>
      <w:r w:rsidRPr="00E462C9">
        <w:rPr>
          <w:b/>
          <w:sz w:val="18"/>
          <w:szCs w:val="18"/>
        </w:rPr>
        <w:t>е</w:t>
      </w:r>
      <w:r w:rsidRPr="00E462C9">
        <w:rPr>
          <w:b/>
          <w:sz w:val="18"/>
          <w:szCs w:val="18"/>
        </w:rPr>
        <w:t>циального назначения транспортного средства)</w:t>
      </w:r>
      <w:r w:rsidRPr="00E462C9">
        <w:rPr>
          <w:sz w:val="18"/>
          <w:szCs w:val="18"/>
        </w:rPr>
        <w:t>, транспортные средства кат</w:t>
      </w:r>
      <w:r w:rsidRPr="00E462C9">
        <w:rPr>
          <w:sz w:val="18"/>
          <w:szCs w:val="18"/>
        </w:rPr>
        <w:t>е</w:t>
      </w:r>
      <w:r w:rsidRPr="00E462C9">
        <w:rPr>
          <w:sz w:val="18"/>
          <w:szCs w:val="18"/>
        </w:rPr>
        <w:t>гории N</w:t>
      </w:r>
      <w:r w:rsidRPr="00157479">
        <w:rPr>
          <w:sz w:val="18"/>
          <w:szCs w:val="18"/>
          <w:vertAlign w:val="subscript"/>
        </w:rPr>
        <w:t>2</w:t>
      </w:r>
      <w:r w:rsidRPr="00E462C9">
        <w:rPr>
          <w:sz w:val="18"/>
          <w:szCs w:val="18"/>
        </w:rPr>
        <w:t>, которые обладают всеми перечисленными далее конструктивными ос</w:t>
      </w:r>
      <w:r w:rsidRPr="00E462C9">
        <w:rPr>
          <w:sz w:val="18"/>
          <w:szCs w:val="18"/>
        </w:rPr>
        <w:t>о</w:t>
      </w:r>
      <w:r w:rsidRPr="00E462C9">
        <w:rPr>
          <w:sz w:val="18"/>
          <w:szCs w:val="18"/>
        </w:rPr>
        <w:t>бенностями: полная масса транспортного средства от 3,5 до 7,5 тонн, неста</w:t>
      </w:r>
      <w:r w:rsidRPr="00E462C9">
        <w:rPr>
          <w:sz w:val="18"/>
          <w:szCs w:val="18"/>
        </w:rPr>
        <w:t>н</w:t>
      </w:r>
      <w:r w:rsidRPr="00E462C9">
        <w:rPr>
          <w:sz w:val="18"/>
          <w:szCs w:val="18"/>
        </w:rPr>
        <w:t>дартные низкорамные шасси, более двух осей и гидропривод), автобусы класса I и класса А, относящиеся к категориям М</w:t>
      </w:r>
      <w:proofErr w:type="gramStart"/>
      <w:r w:rsidRPr="00157479">
        <w:rPr>
          <w:sz w:val="18"/>
          <w:szCs w:val="18"/>
          <w:vertAlign w:val="subscript"/>
        </w:rPr>
        <w:t>2</w:t>
      </w:r>
      <w:proofErr w:type="gramEnd"/>
      <w:r w:rsidRPr="00E462C9">
        <w:rPr>
          <w:sz w:val="18"/>
          <w:szCs w:val="18"/>
        </w:rPr>
        <w:t xml:space="preserve"> и М</w:t>
      </w:r>
      <w:r w:rsidRPr="00157479">
        <w:rPr>
          <w:sz w:val="18"/>
          <w:szCs w:val="18"/>
          <w:vertAlign w:val="subscript"/>
        </w:rPr>
        <w:t>3</w:t>
      </w:r>
      <w:r w:rsidRPr="00E462C9">
        <w:rPr>
          <w:sz w:val="18"/>
          <w:szCs w:val="18"/>
        </w:rPr>
        <w:t>, сочлененные городские и межд</w:t>
      </w:r>
      <w:r w:rsidRPr="00E462C9">
        <w:rPr>
          <w:sz w:val="18"/>
          <w:szCs w:val="18"/>
        </w:rPr>
        <w:t>у</w:t>
      </w:r>
      <w:r w:rsidRPr="00E462C9">
        <w:rPr>
          <w:sz w:val="18"/>
          <w:szCs w:val="18"/>
        </w:rPr>
        <w:t>городные автобусы, тягачи категории N</w:t>
      </w:r>
      <w:r w:rsidRPr="00157479">
        <w:rPr>
          <w:sz w:val="18"/>
          <w:szCs w:val="18"/>
          <w:vertAlign w:val="subscript"/>
        </w:rPr>
        <w:t>2</w:t>
      </w:r>
      <w:r w:rsidRPr="00E462C9">
        <w:rPr>
          <w:sz w:val="18"/>
          <w:szCs w:val="18"/>
        </w:rPr>
        <w:t xml:space="preserve"> для полуприцепов с полной массой транспортного средства (ПМТС) от 3,5 до 7,5 тонн</w:t>
      </w:r>
      <w:r>
        <w:rPr>
          <w:sz w:val="18"/>
          <w:szCs w:val="18"/>
        </w:rPr>
        <w:t>.»</w:t>
      </w:r>
    </w:p>
    <w:p w:rsidR="00E12C5F" w:rsidRPr="00E462C9" w:rsidRDefault="00E462C9" w:rsidP="00E462C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462C9" w:rsidSect="00E462C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94" w:rsidRPr="00A312BC" w:rsidRDefault="009C6194" w:rsidP="00A312BC"/>
  </w:endnote>
  <w:endnote w:type="continuationSeparator" w:id="0">
    <w:p w:rsidR="009C6194" w:rsidRPr="00A312BC" w:rsidRDefault="009C61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C9" w:rsidRPr="00E462C9" w:rsidRDefault="00E462C9">
    <w:pPr>
      <w:pStyle w:val="Footer"/>
    </w:pPr>
    <w:r w:rsidRPr="00E462C9">
      <w:rPr>
        <w:b/>
        <w:sz w:val="18"/>
      </w:rPr>
      <w:fldChar w:fldCharType="begin"/>
    </w:r>
    <w:r w:rsidRPr="00E462C9">
      <w:rPr>
        <w:b/>
        <w:sz w:val="18"/>
      </w:rPr>
      <w:instrText xml:space="preserve"> PAGE  \* MERGEFORMAT </w:instrText>
    </w:r>
    <w:r w:rsidRPr="00E462C9">
      <w:rPr>
        <w:b/>
        <w:sz w:val="18"/>
      </w:rPr>
      <w:fldChar w:fldCharType="separate"/>
    </w:r>
    <w:r w:rsidR="009C263A">
      <w:rPr>
        <w:b/>
        <w:noProof/>
        <w:sz w:val="18"/>
      </w:rPr>
      <w:t>2</w:t>
    </w:r>
    <w:r w:rsidRPr="00E462C9">
      <w:rPr>
        <w:b/>
        <w:sz w:val="18"/>
      </w:rPr>
      <w:fldChar w:fldCharType="end"/>
    </w:r>
    <w:r>
      <w:rPr>
        <w:b/>
        <w:sz w:val="18"/>
      </w:rPr>
      <w:tab/>
    </w:r>
    <w:r>
      <w:t>GE.17-11171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C9" w:rsidRPr="00E462C9" w:rsidRDefault="00E462C9" w:rsidP="00E462C9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GE.17-11171</w:t>
    </w:r>
    <w:r>
      <w:tab/>
    </w:r>
    <w:r w:rsidRPr="00E462C9">
      <w:rPr>
        <w:b/>
        <w:sz w:val="18"/>
      </w:rPr>
      <w:fldChar w:fldCharType="begin"/>
    </w:r>
    <w:r w:rsidRPr="00E462C9">
      <w:rPr>
        <w:b/>
        <w:sz w:val="18"/>
      </w:rPr>
      <w:instrText xml:space="preserve"> PAGE  \* MERGEFORMAT </w:instrText>
    </w:r>
    <w:r w:rsidRPr="00E462C9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E462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E462C9" w:rsidRDefault="00E462C9" w:rsidP="00E462C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DC441C1" wp14:editId="3D1B3F2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17-11171  (R)  </w:t>
    </w:r>
    <w:r>
      <w:rPr>
        <w:lang w:val="en-US"/>
      </w:rPr>
      <w:t>170717  180717</w:t>
    </w:r>
    <w:r>
      <w:br/>
    </w:r>
    <w:r w:rsidRPr="00E462C9">
      <w:rPr>
        <w:rFonts w:ascii="C39T30Lfz" w:hAnsi="C39T30Lfz"/>
        <w:spacing w:val="0"/>
        <w:w w:val="100"/>
        <w:sz w:val="56"/>
      </w:rPr>
      <w:t></w:t>
    </w:r>
    <w:r w:rsidRPr="00E462C9">
      <w:rPr>
        <w:rFonts w:ascii="C39T30Lfz" w:hAnsi="C39T30Lfz"/>
        <w:spacing w:val="0"/>
        <w:w w:val="100"/>
        <w:sz w:val="56"/>
      </w:rPr>
      <w:t></w:t>
    </w:r>
    <w:r w:rsidRPr="00E462C9">
      <w:rPr>
        <w:rFonts w:ascii="C39T30Lfz" w:hAnsi="C39T30Lfz"/>
        <w:spacing w:val="0"/>
        <w:w w:val="100"/>
        <w:sz w:val="56"/>
      </w:rPr>
      <w:t></w:t>
    </w:r>
    <w:r w:rsidRPr="00E462C9">
      <w:rPr>
        <w:rFonts w:ascii="C39T30Lfz" w:hAnsi="C39T30Lfz"/>
        <w:spacing w:val="0"/>
        <w:w w:val="100"/>
        <w:sz w:val="56"/>
      </w:rPr>
      <w:t></w:t>
    </w:r>
    <w:r w:rsidRPr="00E462C9">
      <w:rPr>
        <w:rFonts w:ascii="C39T30Lfz" w:hAnsi="C39T30Lfz"/>
        <w:spacing w:val="0"/>
        <w:w w:val="100"/>
        <w:sz w:val="56"/>
      </w:rPr>
      <w:t></w:t>
    </w:r>
    <w:r w:rsidRPr="00E462C9">
      <w:rPr>
        <w:rFonts w:ascii="C39T30Lfz" w:hAnsi="C39T30Lfz"/>
        <w:spacing w:val="0"/>
        <w:w w:val="100"/>
        <w:sz w:val="56"/>
      </w:rPr>
      <w:t></w:t>
    </w:r>
    <w:r w:rsidRPr="00E462C9">
      <w:rPr>
        <w:rFonts w:ascii="C39T30Lfz" w:hAnsi="C39T30Lfz"/>
        <w:spacing w:val="0"/>
        <w:w w:val="100"/>
        <w:sz w:val="56"/>
      </w:rPr>
      <w:t></w:t>
    </w:r>
    <w:r w:rsidRPr="00E462C9">
      <w:rPr>
        <w:rFonts w:ascii="C39T30Lfz" w:hAnsi="C39T30Lfz"/>
        <w:spacing w:val="0"/>
        <w:w w:val="100"/>
        <w:sz w:val="56"/>
      </w:rPr>
      <w:t></w:t>
    </w:r>
    <w:r w:rsidRPr="00E462C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RF/2017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94" w:rsidRPr="001075E9" w:rsidRDefault="009C61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C6194" w:rsidRDefault="009C61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462C9" w:rsidRPr="003C06C3" w:rsidRDefault="00E462C9" w:rsidP="00C06479">
      <w:pPr>
        <w:pStyle w:val="FootnoteText"/>
        <w:spacing w:after="120"/>
        <w:rPr>
          <w:lang w:val="ru-RU"/>
        </w:rPr>
      </w:pPr>
      <w:r>
        <w:rPr>
          <w:lang w:val="ru-RU"/>
        </w:rPr>
        <w:tab/>
      </w:r>
      <w:r w:rsidRPr="00BB2169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rFonts w:eastAsiaTheme="minorEastAsia" w:hint="eastAsia"/>
          <w:lang w:val="ru-RU" w:eastAsia="zh-CN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C9" w:rsidRPr="00E462C9" w:rsidRDefault="009C263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E0848">
      <w:t>ECE/TRANS/WP.29/GRRF/2017/11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C9" w:rsidRPr="00E462C9" w:rsidRDefault="009C263A" w:rsidP="00E462C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E0848">
      <w:t>ECE/TRANS/WP.29/GRRF/2017/11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9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47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100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263A"/>
    <w:rsid w:val="009C6194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6479"/>
    <w:rsid w:val="00C106D6"/>
    <w:rsid w:val="00C119AE"/>
    <w:rsid w:val="00C60F0C"/>
    <w:rsid w:val="00C805C9"/>
    <w:rsid w:val="00C92939"/>
    <w:rsid w:val="00CA1679"/>
    <w:rsid w:val="00CB151C"/>
    <w:rsid w:val="00CE0848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462C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ECE/TRANS/WP.29/GRRF/2017/11</vt:lpstr>
      <vt:lpstr>ECE/TRANS/WP.29/GRRF/2017/11</vt:lpstr>
      <vt:lpstr>A/</vt:lpstr>
    </vt:vector>
  </TitlesOfParts>
  <Company>DCM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ECE/TRANS/WP.29/GRRF/2017/11</dc:title>
  <dc:creator>Kisseleva</dc:creator>
  <cp:lastModifiedBy>Benedicte Boudol</cp:lastModifiedBy>
  <cp:revision>2</cp:revision>
  <cp:lastPrinted>2017-07-18T06:29:00Z</cp:lastPrinted>
  <dcterms:created xsi:type="dcterms:W3CDTF">2017-08-16T08:46:00Z</dcterms:created>
  <dcterms:modified xsi:type="dcterms:W3CDTF">2017-08-16T08:46:00Z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