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2272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22724" w:rsidP="00822724">
            <w:pPr>
              <w:jc w:val="right"/>
            </w:pPr>
            <w:r w:rsidRPr="00822724">
              <w:rPr>
                <w:sz w:val="40"/>
              </w:rPr>
              <w:t>ECE</w:t>
            </w:r>
            <w:r>
              <w:t>/TRANS/WP.29/GRRF/2017/2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22724" w:rsidP="00892A2F">
            <w:pPr>
              <w:spacing w:before="240"/>
            </w:pPr>
            <w:r>
              <w:t>Distr. générale</w:t>
            </w:r>
          </w:p>
          <w:p w:rsidR="00822724" w:rsidRDefault="00822724" w:rsidP="00822724">
            <w:pPr>
              <w:spacing w:line="240" w:lineRule="exact"/>
            </w:pPr>
            <w:r>
              <w:t xml:space="preserve">14 novembre 2016 </w:t>
            </w:r>
          </w:p>
          <w:p w:rsidR="00822724" w:rsidRDefault="00822724" w:rsidP="00822724">
            <w:pPr>
              <w:spacing w:line="240" w:lineRule="exact"/>
            </w:pPr>
            <w:r>
              <w:t>Français</w:t>
            </w:r>
          </w:p>
          <w:p w:rsidR="00822724" w:rsidRPr="00DB58B5" w:rsidRDefault="00822724" w:rsidP="0082272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22724" w:rsidRPr="00851D7D" w:rsidRDefault="00822724" w:rsidP="00822724">
      <w:pPr>
        <w:spacing w:before="120"/>
        <w:rPr>
          <w:b/>
          <w:bCs/>
          <w:sz w:val="24"/>
          <w:szCs w:val="24"/>
        </w:rPr>
      </w:pPr>
      <w:r w:rsidRPr="00851D7D">
        <w:rPr>
          <w:b/>
          <w:bCs/>
          <w:sz w:val="24"/>
          <w:szCs w:val="24"/>
        </w:rPr>
        <w:t>Forum mondial de l’</w:t>
      </w:r>
      <w:r w:rsidR="008447D2">
        <w:rPr>
          <w:b/>
          <w:bCs/>
          <w:sz w:val="24"/>
          <w:szCs w:val="24"/>
        </w:rPr>
        <w:t>harmonisation des Règlements</w:t>
      </w:r>
      <w:r w:rsidRPr="00851D7D">
        <w:rPr>
          <w:b/>
          <w:bCs/>
          <w:sz w:val="24"/>
          <w:szCs w:val="24"/>
        </w:rPr>
        <w:br/>
        <w:t>concernant les véhicules</w:t>
      </w:r>
    </w:p>
    <w:p w:rsidR="00822724" w:rsidRPr="00851D7D" w:rsidRDefault="00822724" w:rsidP="00822724">
      <w:pPr>
        <w:spacing w:before="120"/>
        <w:rPr>
          <w:b/>
          <w:bCs/>
        </w:rPr>
      </w:pPr>
      <w:r w:rsidRPr="00851D7D">
        <w:rPr>
          <w:b/>
          <w:bCs/>
        </w:rPr>
        <w:t>Groupe de travail en matière de roulement et de freinage</w:t>
      </w:r>
    </w:p>
    <w:p w:rsidR="00822724" w:rsidRPr="00851D7D" w:rsidRDefault="00822724" w:rsidP="00822724">
      <w:pPr>
        <w:spacing w:before="120"/>
        <w:rPr>
          <w:b/>
        </w:rPr>
      </w:pPr>
      <w:r w:rsidRPr="00851D7D">
        <w:rPr>
          <w:b/>
          <w:bCs/>
        </w:rPr>
        <w:t>Quatre-vingt-troisième session</w:t>
      </w:r>
    </w:p>
    <w:p w:rsidR="00822724" w:rsidRPr="00822724" w:rsidRDefault="00822724" w:rsidP="00822724">
      <w:r w:rsidRPr="00822724">
        <w:t>Genève, 23-2</w:t>
      </w:r>
      <w:r>
        <w:t>7 </w:t>
      </w:r>
      <w:r w:rsidRPr="00822724">
        <w:t>janvier 2017</w:t>
      </w:r>
    </w:p>
    <w:p w:rsidR="00822724" w:rsidRPr="00822724" w:rsidRDefault="00822724" w:rsidP="00822724">
      <w:r w:rsidRPr="00822724">
        <w:t xml:space="preserve">Point </w:t>
      </w:r>
      <w:r>
        <w:t>3 </w:t>
      </w:r>
      <w:r w:rsidRPr="00822724">
        <w:t>c) de l’ordre du jour provisoire</w:t>
      </w:r>
    </w:p>
    <w:p w:rsidR="00822724" w:rsidRPr="00822724" w:rsidRDefault="00822724" w:rsidP="00822724">
      <w:pPr>
        <w:rPr>
          <w:b/>
        </w:rPr>
      </w:pPr>
      <w:r w:rsidRPr="00822724">
        <w:rPr>
          <w:b/>
        </w:rPr>
        <w:t>Règlements n</w:t>
      </w:r>
      <w:r w:rsidRPr="00822724">
        <w:rPr>
          <w:b/>
          <w:vertAlign w:val="superscript"/>
        </w:rPr>
        <w:t>os</w:t>
      </w:r>
      <w:r>
        <w:rPr>
          <w:b/>
        </w:rPr>
        <w:t> </w:t>
      </w:r>
      <w:r w:rsidRPr="00822724">
        <w:rPr>
          <w:b/>
        </w:rPr>
        <w:t>13 et 13-H :</w:t>
      </w:r>
      <w:r w:rsidRPr="00822724">
        <w:rPr>
          <w:b/>
        </w:rPr>
        <w:br/>
        <w:t>Clarifications</w:t>
      </w:r>
    </w:p>
    <w:p w:rsidR="00822724" w:rsidRPr="006D0011" w:rsidRDefault="00822724" w:rsidP="00822724">
      <w:pPr>
        <w:pStyle w:val="HChG"/>
      </w:pPr>
      <w:r w:rsidRPr="006D0011">
        <w:tab/>
      </w:r>
      <w:r w:rsidRPr="006D0011">
        <w:tab/>
      </w:r>
      <w:r w:rsidRPr="002F5C65">
        <w:rPr>
          <w:lang w:val="en-GB"/>
        </w:rPr>
        <w:t xml:space="preserve">Proposition </w:t>
      </w:r>
      <w:r>
        <w:rPr>
          <w:lang w:val="en-GB"/>
        </w:rPr>
        <w:t>d’</w:t>
      </w:r>
      <w:r>
        <w:t xml:space="preserve">amendement </w:t>
      </w:r>
      <w:r w:rsidRPr="002F5C65">
        <w:rPr>
          <w:lang w:val="en-GB"/>
        </w:rPr>
        <w:t xml:space="preserve">au </w:t>
      </w:r>
      <w:r w:rsidRPr="00822724">
        <w:t>Règlement</w:t>
      </w:r>
      <w:r w:rsidRPr="002F5C65">
        <w:rPr>
          <w:lang w:val="en-GB"/>
        </w:rPr>
        <w:t xml:space="preserve"> n</w:t>
      </w:r>
      <w:r w:rsidRPr="00822724">
        <w:rPr>
          <w:vertAlign w:val="superscript"/>
          <w:lang w:val="en-GB"/>
        </w:rPr>
        <w:t>o</w:t>
      </w:r>
      <w:r>
        <w:rPr>
          <w:lang w:val="en-GB"/>
        </w:rPr>
        <w:t> </w:t>
      </w:r>
      <w:r>
        <w:t>13</w:t>
      </w:r>
      <w:r>
        <w:br/>
      </w:r>
      <w:r w:rsidRPr="006D0011">
        <w:t>(</w:t>
      </w:r>
      <w:r w:rsidRPr="002F5C65">
        <w:t>Freinage des véhicules lourds</w:t>
      </w:r>
      <w:r w:rsidRPr="006D0011">
        <w:t>)</w:t>
      </w:r>
    </w:p>
    <w:p w:rsidR="00822724" w:rsidRPr="006D0011" w:rsidRDefault="00822724" w:rsidP="00822724">
      <w:pPr>
        <w:pStyle w:val="H1G"/>
      </w:pPr>
      <w:r w:rsidRPr="006D0011">
        <w:tab/>
      </w:r>
      <w:r w:rsidRPr="006D0011">
        <w:tab/>
      </w:r>
      <w:r w:rsidRPr="002F5C65">
        <w:t xml:space="preserve">Communication de </w:t>
      </w:r>
      <w:r>
        <w:t xml:space="preserve">l’expert </w:t>
      </w:r>
      <w:r w:rsidRPr="00822724">
        <w:t>des</w:t>
      </w:r>
      <w:r w:rsidRPr="002F5C65">
        <w:t xml:space="preserve"> Pays-Bas</w:t>
      </w:r>
      <w:r w:rsidRPr="00851D7D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822724" w:rsidRPr="00822724" w:rsidRDefault="00822724" w:rsidP="00822724">
      <w:pPr>
        <w:pStyle w:val="SingleTxtG"/>
        <w:ind w:firstLine="567"/>
      </w:pPr>
      <w:r w:rsidRPr="00822724">
        <w:t>Le texte reproduit ci-après, établi par l’expert des Pays-Bas, a pour objet de supprimer une prescription redondante. Les modifications au texte actuel du Règlement sont signalées en caractères gras pour les ajouts ou biffés pour les retraits.</w:t>
      </w:r>
    </w:p>
    <w:p w:rsidR="00822724" w:rsidRPr="00822724" w:rsidRDefault="00822724" w:rsidP="00822724">
      <w:pPr>
        <w:pStyle w:val="HChG"/>
      </w:pPr>
      <w:r w:rsidRPr="006D0011">
        <w:br w:type="page"/>
      </w:r>
      <w:r w:rsidRPr="00822724">
        <w:lastRenderedPageBreak/>
        <w:tab/>
        <w:t>I.</w:t>
      </w:r>
      <w:r w:rsidRPr="00822724">
        <w:tab/>
        <w:t>Proposition</w:t>
      </w:r>
    </w:p>
    <w:p w:rsidR="00822724" w:rsidRPr="00822724" w:rsidRDefault="00822724" w:rsidP="00822724">
      <w:pPr>
        <w:pStyle w:val="SingleTxtG"/>
      </w:pPr>
      <w:r w:rsidRPr="00822724">
        <w:rPr>
          <w:i/>
        </w:rPr>
        <w:t>Annexe 5</w:t>
      </w:r>
      <w:r w:rsidRPr="00822724">
        <w:t>,</w:t>
      </w:r>
    </w:p>
    <w:p w:rsidR="00822724" w:rsidRPr="00822724" w:rsidRDefault="00822724" w:rsidP="00822724">
      <w:pPr>
        <w:pStyle w:val="SingleTxtG"/>
      </w:pPr>
      <w:r w:rsidRPr="00822724">
        <w:rPr>
          <w:i/>
        </w:rPr>
        <w:t>Paragraphes 2.2 et 2.2.1</w:t>
      </w:r>
      <w:r w:rsidRPr="00822724">
        <w:t>, supprimer :</w:t>
      </w:r>
    </w:p>
    <w:p w:rsidR="00822724" w:rsidRPr="00822724" w:rsidRDefault="00822724" w:rsidP="00822724">
      <w:pPr>
        <w:suppressAutoHyphens w:val="0"/>
        <w:spacing w:after="120" w:line="240" w:lineRule="auto"/>
        <w:ind w:left="2268" w:right="1134" w:hanging="1134"/>
        <w:rPr>
          <w:strike/>
          <w:lang w:eastAsia="en-GB"/>
        </w:rPr>
      </w:pPr>
      <w:r w:rsidRPr="00822724">
        <w:rPr>
          <w:lang w:eastAsia="en-GB"/>
        </w:rPr>
        <w:t>« </w:t>
      </w:r>
      <w:r w:rsidR="00851D7D">
        <w:rPr>
          <w:strike/>
          <w:lang w:eastAsia="en-GB"/>
        </w:rPr>
        <w:t>2.2</w:t>
      </w:r>
      <w:r w:rsidRPr="00822724">
        <w:rPr>
          <w:strike/>
          <w:lang w:eastAsia="en-GB"/>
        </w:rPr>
        <w:t xml:space="preserve"> </w:t>
      </w:r>
      <w:r w:rsidRPr="00822724">
        <w:rPr>
          <w:strike/>
          <w:lang w:eastAsia="en-GB"/>
        </w:rPr>
        <w:tab/>
      </w:r>
      <w:r w:rsidRPr="00822724">
        <w:rPr>
          <w:strike/>
        </w:rPr>
        <w:t>Dispositif antiblocage sur les remorques</w:t>
      </w:r>
    </w:p>
    <w:p w:rsidR="00822724" w:rsidRPr="00822724" w:rsidRDefault="00851D7D" w:rsidP="00822724">
      <w:pPr>
        <w:suppressAutoHyphens w:val="0"/>
        <w:spacing w:after="120" w:line="240" w:lineRule="auto"/>
        <w:ind w:left="2268" w:right="1134" w:hanging="1134"/>
        <w:rPr>
          <w:strike/>
        </w:rPr>
      </w:pPr>
      <w:r>
        <w:rPr>
          <w:strike/>
          <w:lang w:eastAsia="en-GB"/>
        </w:rPr>
        <w:t>2.2.1</w:t>
      </w:r>
      <w:r w:rsidR="00822724" w:rsidRPr="00822724">
        <w:rPr>
          <w:strike/>
          <w:lang w:eastAsia="en-GB"/>
        </w:rPr>
        <w:tab/>
        <w:t>Les remorques de la catégorie O</w:t>
      </w:r>
      <w:r w:rsidR="00822724" w:rsidRPr="00851D7D">
        <w:rPr>
          <w:strike/>
          <w:vertAlign w:val="subscript"/>
          <w:lang w:eastAsia="en-GB"/>
        </w:rPr>
        <w:t>4</w:t>
      </w:r>
      <w:r w:rsidR="00822724" w:rsidRPr="00822724">
        <w:rPr>
          <w:strike/>
          <w:lang w:eastAsia="en-GB"/>
        </w:rPr>
        <w:t xml:space="preserve"> doivent être équipées d’un dispositif antiblocage de la catégorie A tel qu’il est défini à l’annexe 13 du présent Règlement.</w:t>
      </w:r>
      <w:r w:rsidR="00822724" w:rsidRPr="00822724">
        <w:rPr>
          <w:lang w:eastAsia="en-GB"/>
        </w:rPr>
        <w:t> ».</w:t>
      </w:r>
    </w:p>
    <w:p w:rsidR="00822724" w:rsidRPr="00822724" w:rsidRDefault="00822724" w:rsidP="00822724">
      <w:pPr>
        <w:pStyle w:val="SingleTxtG"/>
      </w:pPr>
      <w:r w:rsidRPr="00822724">
        <w:rPr>
          <w:i/>
        </w:rPr>
        <w:t>Paragraphes. 2.3 à 2.4.1</w:t>
      </w:r>
      <w:r w:rsidRPr="00822724">
        <w:t xml:space="preserve"> </w:t>
      </w:r>
      <w:r w:rsidRPr="00822724">
        <w:rPr>
          <w:i/>
        </w:rPr>
        <w:t>(anciens),</w:t>
      </w:r>
      <w:r w:rsidRPr="00822724">
        <w:t xml:space="preserve"> renuméroter paragraphes 2.2 à 2.3.1.</w:t>
      </w:r>
    </w:p>
    <w:p w:rsidR="00822724" w:rsidRPr="00822724" w:rsidRDefault="00822724" w:rsidP="00822724">
      <w:pPr>
        <w:pStyle w:val="HChG"/>
      </w:pPr>
      <w:r w:rsidRPr="00822724">
        <w:tab/>
        <w:t>II.</w:t>
      </w:r>
      <w:r w:rsidRPr="00822724">
        <w:tab/>
        <w:t>Justification</w:t>
      </w:r>
    </w:p>
    <w:p w:rsidR="00822724" w:rsidRPr="00822724" w:rsidRDefault="00822724" w:rsidP="00822724">
      <w:pPr>
        <w:pStyle w:val="SingleTxtG"/>
        <w:ind w:firstLine="567"/>
        <w:rPr>
          <w:rFonts w:eastAsia="SimSun"/>
        </w:rPr>
      </w:pPr>
      <w:r w:rsidRPr="00822724">
        <w:rPr>
          <w:rFonts w:eastAsia="SimSun"/>
        </w:rPr>
        <w:t xml:space="preserve">La proposition a pour objet de supprimer une prescription redondante. </w:t>
      </w:r>
      <w:r>
        <w:rPr>
          <w:rFonts w:eastAsia="SimSun"/>
        </w:rPr>
        <w:t>Les paragraphes </w:t>
      </w:r>
      <w:r w:rsidRPr="00822724">
        <w:rPr>
          <w:rFonts w:eastAsia="SimSun"/>
        </w:rPr>
        <w:t>2.2 et 2.2.1</w:t>
      </w:r>
      <w:r>
        <w:rPr>
          <w:rFonts w:eastAsia="SimSun"/>
        </w:rPr>
        <w:t xml:space="preserve"> </w:t>
      </w:r>
      <w:r w:rsidRPr="00822724">
        <w:rPr>
          <w:rFonts w:eastAsia="SimSun"/>
        </w:rPr>
        <w:t>sont superf</w:t>
      </w:r>
      <w:r>
        <w:rPr>
          <w:rFonts w:eastAsia="SimSun"/>
        </w:rPr>
        <w:t>lus, car le paragraphe 5.2.2.13</w:t>
      </w:r>
      <w:r w:rsidRPr="00822724">
        <w:rPr>
          <w:rFonts w:eastAsia="SimSun"/>
        </w:rPr>
        <w:t xml:space="preserve"> prescrit déjà que toutes les remorques O</w:t>
      </w:r>
      <w:r w:rsidRPr="00851D7D">
        <w:rPr>
          <w:rFonts w:eastAsia="SimSun"/>
          <w:vertAlign w:val="subscript"/>
        </w:rPr>
        <w:t>4</w:t>
      </w:r>
      <w:r w:rsidRPr="00822724">
        <w:rPr>
          <w:rFonts w:eastAsia="SimSun"/>
        </w:rPr>
        <w:t xml:space="preserve"> soient équipées de systèmes de freinage an</w:t>
      </w:r>
      <w:r>
        <w:rPr>
          <w:rFonts w:eastAsia="SimSun"/>
        </w:rPr>
        <w:t>tiblocage (ABS) de la catégorie </w:t>
      </w:r>
      <w:r w:rsidRPr="00822724">
        <w:rPr>
          <w:rFonts w:eastAsia="SimSun"/>
        </w:rPr>
        <w:t>A.</w:t>
      </w:r>
    </w:p>
    <w:p w:rsidR="00822724" w:rsidRPr="00822724" w:rsidRDefault="00822724" w:rsidP="00822724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</w:rPr>
        <w:tab/>
      </w:r>
      <w:r>
        <w:rPr>
          <w:rFonts w:eastAsia="SimSun"/>
          <w:u w:val="single"/>
        </w:rPr>
        <w:tab/>
      </w:r>
      <w:r>
        <w:rPr>
          <w:rFonts w:eastAsia="SimSun"/>
          <w:u w:val="single"/>
        </w:rPr>
        <w:tab/>
      </w:r>
    </w:p>
    <w:p w:rsidR="00F9573C" w:rsidRDefault="00F9573C" w:rsidP="00AF0CB5"/>
    <w:sectPr w:rsidR="00F9573C" w:rsidSect="008227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8F" w:rsidRDefault="007D558F" w:rsidP="00F95C08">
      <w:pPr>
        <w:spacing w:line="240" w:lineRule="auto"/>
      </w:pPr>
    </w:p>
  </w:endnote>
  <w:endnote w:type="continuationSeparator" w:id="0">
    <w:p w:rsidR="007D558F" w:rsidRPr="00AC3823" w:rsidRDefault="007D558F" w:rsidP="00AC3823">
      <w:pPr>
        <w:pStyle w:val="Pieddepage"/>
      </w:pPr>
    </w:p>
  </w:endnote>
  <w:endnote w:type="continuationNotice" w:id="1">
    <w:p w:rsidR="007D558F" w:rsidRDefault="007D55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24" w:rsidRPr="00822724" w:rsidRDefault="00822724" w:rsidP="00822724">
    <w:pPr>
      <w:pStyle w:val="Pieddepage"/>
      <w:tabs>
        <w:tab w:val="right" w:pos="9638"/>
      </w:tabs>
    </w:pPr>
    <w:r w:rsidRPr="00822724">
      <w:rPr>
        <w:b/>
        <w:sz w:val="18"/>
      </w:rPr>
      <w:fldChar w:fldCharType="begin"/>
    </w:r>
    <w:r w:rsidRPr="00822724">
      <w:rPr>
        <w:b/>
        <w:sz w:val="18"/>
      </w:rPr>
      <w:instrText xml:space="preserve"> PAGE  \* MERGEFORMAT </w:instrText>
    </w:r>
    <w:r w:rsidRPr="00822724">
      <w:rPr>
        <w:b/>
        <w:sz w:val="18"/>
      </w:rPr>
      <w:fldChar w:fldCharType="separate"/>
    </w:r>
    <w:r w:rsidR="00F93A78">
      <w:rPr>
        <w:b/>
        <w:noProof/>
        <w:sz w:val="18"/>
      </w:rPr>
      <w:t>2</w:t>
    </w:r>
    <w:r w:rsidRPr="00822724">
      <w:rPr>
        <w:b/>
        <w:sz w:val="18"/>
      </w:rPr>
      <w:fldChar w:fldCharType="end"/>
    </w:r>
    <w:r>
      <w:rPr>
        <w:b/>
        <w:sz w:val="18"/>
      </w:rPr>
      <w:tab/>
    </w:r>
    <w:r>
      <w:t>GE.16-19729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24" w:rsidRPr="00822724" w:rsidRDefault="00822724" w:rsidP="00822724">
    <w:pPr>
      <w:pStyle w:val="Pieddepage"/>
      <w:tabs>
        <w:tab w:val="right" w:pos="9638"/>
      </w:tabs>
      <w:rPr>
        <w:b/>
        <w:sz w:val="18"/>
      </w:rPr>
    </w:pPr>
    <w:r>
      <w:t>GE.16-19729</w:t>
    </w:r>
    <w:r>
      <w:tab/>
    </w:r>
    <w:r w:rsidRPr="00822724">
      <w:rPr>
        <w:b/>
        <w:sz w:val="18"/>
      </w:rPr>
      <w:fldChar w:fldCharType="begin"/>
    </w:r>
    <w:r w:rsidRPr="00822724">
      <w:rPr>
        <w:b/>
        <w:sz w:val="18"/>
      </w:rPr>
      <w:instrText xml:space="preserve"> PAGE  \* MERGEFORMAT </w:instrText>
    </w:r>
    <w:r w:rsidRPr="0082272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227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822724" w:rsidRDefault="00822724" w:rsidP="0082272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56598672" wp14:editId="4387ADF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16-19729  (F)    171116    171116</w:t>
    </w:r>
    <w:r>
      <w:rPr>
        <w:sz w:val="20"/>
      </w:rPr>
      <w:br/>
    </w:r>
    <w:r w:rsidRPr="00822724">
      <w:rPr>
        <w:rFonts w:ascii="C39T30Lfz" w:hAnsi="C39T30Lfz"/>
        <w:sz w:val="56"/>
      </w:rPr>
      <w:t></w:t>
    </w:r>
    <w:r w:rsidRPr="00822724">
      <w:rPr>
        <w:rFonts w:ascii="C39T30Lfz" w:hAnsi="C39T30Lfz"/>
        <w:sz w:val="56"/>
      </w:rPr>
      <w:t></w:t>
    </w:r>
    <w:r w:rsidRPr="00822724">
      <w:rPr>
        <w:rFonts w:ascii="C39T30Lfz" w:hAnsi="C39T30Lfz"/>
        <w:sz w:val="56"/>
      </w:rPr>
      <w:t></w:t>
    </w:r>
    <w:r w:rsidRPr="00822724">
      <w:rPr>
        <w:rFonts w:ascii="C39T30Lfz" w:hAnsi="C39T30Lfz"/>
        <w:sz w:val="56"/>
      </w:rPr>
      <w:t></w:t>
    </w:r>
    <w:r w:rsidRPr="00822724">
      <w:rPr>
        <w:rFonts w:ascii="C39T30Lfz" w:hAnsi="C39T30Lfz"/>
        <w:sz w:val="56"/>
      </w:rPr>
      <w:t></w:t>
    </w:r>
    <w:r w:rsidRPr="00822724">
      <w:rPr>
        <w:rFonts w:ascii="C39T30Lfz" w:hAnsi="C39T30Lfz"/>
        <w:sz w:val="56"/>
      </w:rPr>
      <w:t></w:t>
    </w:r>
    <w:r w:rsidRPr="00822724">
      <w:rPr>
        <w:rFonts w:ascii="C39T30Lfz" w:hAnsi="C39T30Lfz"/>
        <w:sz w:val="56"/>
      </w:rPr>
      <w:t></w:t>
    </w:r>
    <w:r w:rsidRPr="00822724">
      <w:rPr>
        <w:rFonts w:ascii="C39T30Lfz" w:hAnsi="C39T30Lfz"/>
        <w:sz w:val="56"/>
      </w:rPr>
      <w:t></w:t>
    </w:r>
    <w:r w:rsidRPr="00822724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7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7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8F" w:rsidRPr="00AC3823" w:rsidRDefault="007D558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D558F" w:rsidRPr="00AC3823" w:rsidRDefault="007D558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D558F" w:rsidRPr="00AC3823" w:rsidRDefault="007D558F">
      <w:pPr>
        <w:spacing w:line="240" w:lineRule="auto"/>
        <w:rPr>
          <w:sz w:val="2"/>
          <w:szCs w:val="2"/>
        </w:rPr>
      </w:pPr>
    </w:p>
  </w:footnote>
  <w:footnote w:id="2">
    <w:p w:rsidR="00822724" w:rsidRPr="00822724" w:rsidRDefault="00822724" w:rsidP="00822724">
      <w:pPr>
        <w:pStyle w:val="Notedebasdepage"/>
      </w:pPr>
      <w:r>
        <w:tab/>
      </w:r>
      <w:r w:rsidRPr="00822724">
        <w:rPr>
          <w:rStyle w:val="Appelnotedebasdep"/>
          <w:sz w:val="20"/>
          <w:vertAlign w:val="baseline"/>
          <w:lang w:val="en-US" w:eastAsia="x-none"/>
        </w:rPr>
        <w:t>*</w:t>
      </w:r>
      <w:r w:rsidRPr="002232AF">
        <w:rPr>
          <w:sz w:val="20"/>
          <w:lang w:val="en-US" w:eastAsia="x-none"/>
        </w:rPr>
        <w:tab/>
      </w:r>
      <w:r w:rsidRPr="00822724">
        <w:t>Conformément au programme de travail du Comité des transports intérieurs pour la période</w:t>
      </w:r>
      <w:r>
        <w:t xml:space="preserve"> 2016</w:t>
      </w:r>
      <w:r>
        <w:noBreakHyphen/>
        <w:t>2017 (ECE/TRANS/254, par. </w:t>
      </w:r>
      <w:r w:rsidRPr="00822724">
        <w:t>159, et ECE/TRANS/2016/28/Add.1, activité 03.1),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24" w:rsidRPr="00822724" w:rsidRDefault="00822724">
    <w:pPr>
      <w:pStyle w:val="En-tte"/>
    </w:pPr>
    <w:r>
      <w:t>ECE/TRANS/WP.29/GRRF/2017/2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24" w:rsidRPr="00822724" w:rsidRDefault="00822724" w:rsidP="00822724">
    <w:pPr>
      <w:pStyle w:val="En-tte"/>
      <w:jc w:val="right"/>
    </w:pPr>
    <w:r>
      <w:t>ECE/TRANS/WP.29/GRRF/2017/2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20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D558F"/>
    <w:rsid w:val="007F20FA"/>
    <w:rsid w:val="0080684C"/>
    <w:rsid w:val="00822724"/>
    <w:rsid w:val="008447D2"/>
    <w:rsid w:val="00851D7D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92320"/>
    <w:rsid w:val="00DB1831"/>
    <w:rsid w:val="00DD3BFD"/>
    <w:rsid w:val="00DF6678"/>
    <w:rsid w:val="00E85C74"/>
    <w:rsid w:val="00EA6547"/>
    <w:rsid w:val="00EF2E22"/>
    <w:rsid w:val="00F35BAF"/>
    <w:rsid w:val="00F660DF"/>
    <w:rsid w:val="00F93A78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1184E-4CAA-47A0-AD64-76013370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Footnote symbol,Footnote,Footnote Reference Superscript,SUPERS,-E Fußnotenzeichen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22724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ECE/TRANS/WP.29/GRRF/2017/2</vt:lpstr>
    </vt:vector>
  </TitlesOfParts>
  <Company>DCM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ECE/TRANS/WP.29/GRRF/2017/2</dc:title>
  <dc:subject>final</dc:subject>
  <dc:creator>Beaunee</dc:creator>
  <cp:keywords/>
  <dc:description/>
  <cp:lastModifiedBy>Bénédicte Boudol</cp:lastModifiedBy>
  <cp:revision>2</cp:revision>
  <cp:lastPrinted>2016-11-17T11:31:00Z</cp:lastPrinted>
  <dcterms:created xsi:type="dcterms:W3CDTF">2016-11-21T14:22:00Z</dcterms:created>
  <dcterms:modified xsi:type="dcterms:W3CDTF">2016-11-21T14:22:00Z</dcterms:modified>
</cp:coreProperties>
</file>