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CA" w:rsidRDefault="00732AD2" w:rsidP="007B3014">
      <w:pPr>
        <w:pStyle w:val="HChG"/>
        <w:ind w:right="849"/>
      </w:pPr>
      <w:r w:rsidRPr="00525E6C">
        <w:tab/>
      </w:r>
      <w:r w:rsidRPr="00525E6C">
        <w:tab/>
      </w:r>
      <w:r w:rsidR="00465ECA">
        <w:t>Comments from Germany</w:t>
      </w:r>
      <w:r w:rsidR="007B3014">
        <w:t xml:space="preserve"> on E</w:t>
      </w:r>
      <w:r w:rsidR="007B3014" w:rsidRPr="007B3014">
        <w:t>CE/TRANS/WP.29/GRE/2017/2</w:t>
      </w:r>
    </w:p>
    <w:p w:rsidR="00465ECA" w:rsidRPr="00465ECA" w:rsidRDefault="00465ECA" w:rsidP="00465ECA">
      <w:pPr>
        <w:rPr>
          <w:b/>
        </w:rPr>
      </w:pPr>
      <w:r>
        <w:tab/>
      </w:r>
      <w:r>
        <w:tab/>
      </w:r>
      <w:r w:rsidRPr="00465ECA">
        <w:rPr>
          <w:b/>
        </w:rPr>
        <w:t>General remarks to all documents dealing with the item “LED substitute light sources”</w:t>
      </w:r>
    </w:p>
    <w:p w:rsidR="00465ECA" w:rsidRPr="00465ECA" w:rsidRDefault="00465ECA" w:rsidP="00465ECA">
      <w:pPr>
        <w:rPr>
          <w:b/>
        </w:rPr>
      </w:pPr>
    </w:p>
    <w:p w:rsidR="00465ECA" w:rsidRPr="00465ECA" w:rsidRDefault="00465ECA" w:rsidP="00465ECA">
      <w:pPr>
        <w:ind w:left="1134" w:firstLine="6"/>
        <w:rPr>
          <w:b/>
        </w:rPr>
      </w:pPr>
      <w:r w:rsidRPr="00465ECA">
        <w:rPr>
          <w:b/>
        </w:rPr>
        <w:t>From our point of view, as mentioned by UK, at first the fundamental questions need to be discussed:</w:t>
      </w:r>
    </w:p>
    <w:p w:rsidR="00465ECA" w:rsidRPr="00465ECA" w:rsidRDefault="00465ECA" w:rsidP="00465ECA">
      <w:pPr>
        <w:ind w:left="1276" w:hanging="142"/>
        <w:rPr>
          <w:b/>
        </w:rPr>
      </w:pPr>
    </w:p>
    <w:p w:rsidR="00465ECA" w:rsidRPr="00465ECA" w:rsidRDefault="00465ECA" w:rsidP="00465ECA">
      <w:pPr>
        <w:ind w:left="1276" w:hanging="142"/>
        <w:rPr>
          <w:b/>
        </w:rPr>
      </w:pPr>
      <w:r w:rsidRPr="00465ECA">
        <w:rPr>
          <w:b/>
        </w:rPr>
        <w:t>- Do we want to make LED substitute light sources legal, which are able due to their construction to replace filament light sources in existing approved lamps?</w:t>
      </w:r>
    </w:p>
    <w:p w:rsidR="00465ECA" w:rsidRPr="00465ECA" w:rsidRDefault="00465ECA" w:rsidP="00465ECA">
      <w:pPr>
        <w:ind w:left="1276" w:hanging="142"/>
        <w:rPr>
          <w:b/>
        </w:rPr>
      </w:pPr>
    </w:p>
    <w:p w:rsidR="00465ECA" w:rsidRPr="00465ECA" w:rsidRDefault="00465ECA" w:rsidP="00465ECA">
      <w:pPr>
        <w:ind w:left="1276" w:hanging="142"/>
        <w:rPr>
          <w:b/>
        </w:rPr>
      </w:pPr>
      <w:r w:rsidRPr="00465ECA">
        <w:rPr>
          <w:b/>
        </w:rPr>
        <w:t xml:space="preserve">If the answer of GRE is </w:t>
      </w:r>
      <w:proofErr w:type="gramStart"/>
      <w:r w:rsidRPr="00465ECA">
        <w:rPr>
          <w:b/>
        </w:rPr>
        <w:t>Yes</w:t>
      </w:r>
      <w:proofErr w:type="gramEnd"/>
      <w:r w:rsidRPr="00465ECA">
        <w:rPr>
          <w:b/>
        </w:rPr>
        <w:t>:</w:t>
      </w:r>
    </w:p>
    <w:p w:rsidR="00465ECA" w:rsidRPr="00465ECA" w:rsidRDefault="00465ECA" w:rsidP="00465ECA">
      <w:pPr>
        <w:ind w:left="1276" w:hanging="142"/>
        <w:rPr>
          <w:b/>
        </w:rPr>
      </w:pPr>
    </w:p>
    <w:p w:rsidR="00465ECA" w:rsidRPr="00465ECA" w:rsidRDefault="00465ECA" w:rsidP="00465ECA">
      <w:pPr>
        <w:ind w:left="1276" w:hanging="142"/>
        <w:rPr>
          <w:b/>
        </w:rPr>
      </w:pPr>
      <w:r w:rsidRPr="00465ECA">
        <w:rPr>
          <w:b/>
        </w:rPr>
        <w:t xml:space="preserve">- The political aspects need to be discussed, because this will influence not only </w:t>
      </w:r>
      <w:proofErr w:type="spellStart"/>
      <w:r w:rsidRPr="00465ECA">
        <w:rPr>
          <w:b/>
        </w:rPr>
        <w:t>typ</w:t>
      </w:r>
      <w:proofErr w:type="spellEnd"/>
      <w:r w:rsidRPr="00465ECA">
        <w:rPr>
          <w:b/>
        </w:rPr>
        <w:t xml:space="preserve">-approval and </w:t>
      </w:r>
      <w:proofErr w:type="spellStart"/>
      <w:r w:rsidRPr="00465ECA">
        <w:rPr>
          <w:b/>
        </w:rPr>
        <w:t>CoP</w:t>
      </w:r>
      <w:proofErr w:type="spellEnd"/>
      <w:r w:rsidRPr="00465ECA">
        <w:rPr>
          <w:b/>
        </w:rPr>
        <w:t xml:space="preserve"> but also Periodical Technical Inspection, Technical Roadside Inspection and inspections by Police </w:t>
      </w:r>
      <w:r w:rsidR="00174653">
        <w:rPr>
          <w:b/>
        </w:rPr>
        <w:t>and other authorities</w:t>
      </w:r>
      <w:r w:rsidRPr="00465ECA">
        <w:rPr>
          <w:b/>
        </w:rPr>
        <w:t>.</w:t>
      </w:r>
    </w:p>
    <w:p w:rsidR="00465ECA" w:rsidRPr="00465ECA" w:rsidRDefault="00465ECA" w:rsidP="00465ECA">
      <w:pPr>
        <w:ind w:left="1276" w:hanging="142"/>
        <w:rPr>
          <w:b/>
        </w:rPr>
      </w:pPr>
      <w:r w:rsidRPr="00465ECA">
        <w:rPr>
          <w:b/>
        </w:rPr>
        <w:t>- For that purpose we need a clear identification of the approved lamps where the installation of LED substitute light sources is legal.</w:t>
      </w:r>
    </w:p>
    <w:p w:rsidR="00465ECA" w:rsidRDefault="00465ECA" w:rsidP="00732AD2">
      <w:pPr>
        <w:pStyle w:val="HChG"/>
      </w:pPr>
    </w:p>
    <w:p w:rsidR="00732AD2" w:rsidRPr="00525E6C" w:rsidRDefault="00465ECA" w:rsidP="007B3014">
      <w:pPr>
        <w:pStyle w:val="HChG"/>
      </w:pPr>
      <w:r>
        <w:tab/>
      </w:r>
      <w:r>
        <w:tab/>
      </w:r>
      <w:r w:rsidR="0005586D" w:rsidRPr="00525E6C">
        <w:t xml:space="preserve"> </w:t>
      </w:r>
    </w:p>
    <w:p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:rsidR="00732AD2" w:rsidRPr="00525E6C" w:rsidRDefault="00732AD2" w:rsidP="00732AD2"/>
    <w:p w:rsidR="0053129E" w:rsidRPr="00525E6C" w:rsidRDefault="0053129E" w:rsidP="0053129E">
      <w:pPr>
        <w:rPr>
          <w:b/>
          <w:bCs/>
        </w:rPr>
      </w:pPr>
    </w:p>
    <w:p w:rsidR="0053129E" w:rsidRPr="00525E6C" w:rsidRDefault="0053129E" w:rsidP="0053129E">
      <w:pPr>
        <w:rPr>
          <w:b/>
          <w:bCs/>
        </w:rPr>
      </w:pPr>
    </w:p>
    <w:p w:rsidR="0053129E" w:rsidRPr="00525E6C" w:rsidRDefault="0053129E" w:rsidP="0053129E">
      <w:pPr>
        <w:rPr>
          <w:lang w:val="en-US"/>
        </w:rPr>
        <w:sectPr w:rsidR="0053129E" w:rsidRPr="00525E6C" w:rsidSect="00607A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:rsidR="00E048CF" w:rsidRPr="00525E6C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  <w:r w:rsidR="001500E7">
        <w:t xml:space="preserve"> – Comments from Germany in yellow</w:t>
      </w:r>
    </w:p>
    <w:p w:rsidR="0036339F" w:rsidRPr="00EA6840" w:rsidRDefault="00013847" w:rsidP="00C51879">
      <w:pPr>
        <w:spacing w:after="120"/>
        <w:ind w:left="2268" w:right="1134" w:hanging="1134"/>
        <w:jc w:val="both"/>
        <w:rPr>
          <w:bCs/>
          <w:i/>
        </w:rPr>
      </w:pPr>
      <w:r w:rsidRPr="00013847">
        <w:rPr>
          <w:bCs/>
          <w:i/>
          <w:highlight w:val="yellow"/>
        </w:rPr>
        <w:t xml:space="preserve">Amend </w:t>
      </w:r>
      <w:proofErr w:type="gramStart"/>
      <w:r w:rsidRPr="00013847">
        <w:rPr>
          <w:bCs/>
          <w:i/>
          <w:highlight w:val="yellow"/>
        </w:rPr>
        <w:t xml:space="preserve">the </w:t>
      </w:r>
      <w:r w:rsidR="0036339F" w:rsidRPr="00013847">
        <w:rPr>
          <w:bCs/>
          <w:i/>
          <w:highlight w:val="yellow"/>
        </w:rPr>
        <w:t xml:space="preserve"> new</w:t>
      </w:r>
      <w:proofErr w:type="gramEnd"/>
      <w:r w:rsidR="0036339F" w:rsidRPr="00013847">
        <w:rPr>
          <w:bCs/>
          <w:i/>
          <w:highlight w:val="yellow"/>
        </w:rPr>
        <w:t xml:space="preserve"> paragraph 2.1.2.4., to read: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b/>
          <w:bCs/>
        </w:rPr>
      </w:pPr>
      <w:r w:rsidRPr="00EA6840">
        <w:rPr>
          <w:bCs/>
        </w:rPr>
        <w:t>“</w:t>
      </w:r>
      <w:r w:rsidRPr="00EA6840">
        <w:rPr>
          <w:b/>
          <w:bCs/>
        </w:rPr>
        <w:t>2.1.2.4.</w:t>
      </w:r>
      <w:r w:rsidRPr="00EA6840">
        <w:rPr>
          <w:b/>
          <w:bCs/>
        </w:rPr>
        <w:tab/>
        <w:t>The correlated* colour temperature, in so far as it concerns</w:t>
      </w:r>
      <w:r w:rsidR="001A042E">
        <w:rPr>
          <w:b/>
          <w:bCs/>
        </w:rPr>
        <w:t xml:space="preserve"> </w:t>
      </w:r>
      <w:r w:rsidR="001A042E" w:rsidRPr="006F77C4">
        <w:rPr>
          <w:b/>
          <w:bCs/>
          <w:color w:val="FF0000"/>
          <w:highlight w:val="yellow"/>
        </w:rPr>
        <w:t>white</w:t>
      </w:r>
      <w:r w:rsidR="001A042E">
        <w:rPr>
          <w:b/>
          <w:bCs/>
        </w:rPr>
        <w:t xml:space="preserve"> </w:t>
      </w:r>
      <w:r w:rsidRPr="00EA6840">
        <w:rPr>
          <w:b/>
          <w:bCs/>
        </w:rPr>
        <w:t xml:space="preserve">LED </w:t>
      </w:r>
      <w:r w:rsidRPr="00F90BDF">
        <w:rPr>
          <w:b/>
          <w:bCs/>
          <w:strike/>
          <w:highlight w:val="yellow"/>
        </w:rPr>
        <w:t>substitute</w:t>
      </w:r>
      <w:r w:rsidRPr="00EA6840">
        <w:rPr>
          <w:b/>
          <w:bCs/>
        </w:rPr>
        <w:t xml:space="preserve"> light sources;</w:t>
      </w:r>
    </w:p>
    <w:p w:rsidR="0036339F" w:rsidRDefault="0036339F" w:rsidP="00C51879">
      <w:pPr>
        <w:spacing w:after="120"/>
        <w:ind w:left="2268" w:right="1134"/>
        <w:jc w:val="both"/>
        <w:rPr>
          <w:b/>
          <w:bCs/>
        </w:rPr>
      </w:pPr>
      <w:r w:rsidRPr="00EA6840">
        <w:rPr>
          <w:b/>
          <w:bCs/>
        </w:rPr>
        <w:t xml:space="preserve">LED </w:t>
      </w:r>
      <w:r w:rsidRPr="00F90BDF">
        <w:rPr>
          <w:b/>
          <w:bCs/>
          <w:strike/>
          <w:highlight w:val="yellow"/>
        </w:rPr>
        <w:t>substitute</w:t>
      </w:r>
      <w:r w:rsidRPr="00EA6840">
        <w:rPr>
          <w:b/>
          <w:bCs/>
        </w:rPr>
        <w:t xml:space="preserve"> light sources of the colour white with a correlated colour temperature </w:t>
      </w:r>
      <w:r w:rsidRPr="00EA6840">
        <w:rPr>
          <w:b/>
          <w:bCs/>
        </w:rPr>
        <w:tab/>
        <w:t>exceeding 3000 K or not exceeding 3000 K are considered as being of different types.</w:t>
      </w:r>
    </w:p>
    <w:p w:rsidR="0036339F" w:rsidRPr="00EA6840" w:rsidRDefault="0036339F" w:rsidP="00C51879">
      <w:pPr>
        <w:spacing w:after="120"/>
        <w:ind w:left="2694" w:right="1134" w:hanging="426"/>
        <w:jc w:val="both"/>
        <w:rPr>
          <w:bCs/>
        </w:rPr>
      </w:pPr>
      <w:r w:rsidRPr="00EA6840">
        <w:rPr>
          <w:b/>
          <w:sz w:val="16"/>
        </w:rPr>
        <w:t>*</w:t>
      </w:r>
      <w:r w:rsidR="00814D5A">
        <w:rPr>
          <w:b/>
          <w:sz w:val="16"/>
        </w:rPr>
        <w:t xml:space="preserve"> </w:t>
      </w:r>
      <w:r w:rsidRPr="00EA6840">
        <w:rPr>
          <w:b/>
          <w:sz w:val="16"/>
        </w:rPr>
        <w:t xml:space="preserve">CIE S 017/E: 2011: ILV: International Lighting Vocabulary, or </w:t>
      </w:r>
      <w:hyperlink r:id="rId15" w:history="1">
        <w:proofErr w:type="spellStart"/>
        <w:r w:rsidRPr="00EA6840">
          <w:rPr>
            <w:b/>
            <w:sz w:val="16"/>
            <w:u w:val="single"/>
          </w:rPr>
          <w:t>eILV</w:t>
        </w:r>
        <w:proofErr w:type="spellEnd"/>
      </w:hyperlink>
      <w:r w:rsidRPr="00EA6840">
        <w:rPr>
          <w:b/>
          <w:sz w:val="16"/>
        </w:rPr>
        <w:t>; term 17-258</w:t>
      </w:r>
      <w:proofErr w:type="gramStart"/>
      <w:r w:rsidR="00814D5A">
        <w:rPr>
          <w:b/>
          <w:sz w:val="16"/>
        </w:rPr>
        <w:t>.</w:t>
      </w:r>
      <w:r w:rsidRPr="00EA6840">
        <w:rPr>
          <w:bCs/>
        </w:rPr>
        <w:t>“</w:t>
      </w:r>
      <w:proofErr w:type="gramEnd"/>
    </w:p>
    <w:p w:rsidR="0036339F" w:rsidRPr="00EA6840" w:rsidRDefault="0036339F" w:rsidP="00C51879">
      <w:pPr>
        <w:spacing w:after="120"/>
        <w:ind w:left="2268" w:right="1134" w:hanging="1134"/>
        <w:jc w:val="both"/>
        <w:rPr>
          <w:bCs/>
        </w:rPr>
      </w:pPr>
      <w:r w:rsidRPr="00EA6840">
        <w:rPr>
          <w:bCs/>
          <w:i/>
        </w:rPr>
        <w:t>Paragraph 2.2.2.</w:t>
      </w:r>
      <w:r w:rsidR="00A17675">
        <w:rPr>
          <w:bCs/>
          <w:i/>
        </w:rPr>
        <w:t>2.</w:t>
      </w:r>
      <w:r w:rsidRPr="00EA6840">
        <w:rPr>
          <w:bCs/>
          <w:i/>
        </w:rPr>
        <w:t>,</w:t>
      </w:r>
      <w:r w:rsidRPr="00EA6840">
        <w:rPr>
          <w:bCs/>
        </w:rPr>
        <w:t xml:space="preserve"> amend</w:t>
      </w:r>
      <w:r w:rsidRPr="00EA6840">
        <w:rPr>
          <w:bCs/>
          <w:i/>
        </w:rPr>
        <w:t xml:space="preserve"> </w:t>
      </w:r>
      <w:r w:rsidRPr="00EA6840">
        <w:rPr>
          <w:bCs/>
        </w:rPr>
        <w:t>to read:</w:t>
      </w:r>
    </w:p>
    <w:p w:rsidR="0036339F" w:rsidRPr="00EA6840" w:rsidRDefault="0036339F" w:rsidP="00C51879">
      <w:pPr>
        <w:spacing w:after="120"/>
        <w:ind w:left="2268" w:right="1134" w:hanging="1134"/>
        <w:jc w:val="both"/>
      </w:pPr>
      <w:r w:rsidRPr="00EA6840">
        <w:rPr>
          <w:bCs/>
        </w:rPr>
        <w:t>“2.2.2.2.</w:t>
      </w:r>
      <w:r w:rsidRPr="00EA6840">
        <w:rPr>
          <w:bCs/>
        </w:rPr>
        <w:tab/>
        <w:t>A brief technical description</w:t>
      </w:r>
      <w:r w:rsidRPr="00EA6840">
        <w:rPr>
          <w:b/>
          <w:bCs/>
          <w:lang w:val="en-US"/>
        </w:rPr>
        <w:t xml:space="preserve"> including the correlated </w:t>
      </w:r>
      <w:r w:rsidRPr="00EA6840">
        <w:rPr>
          <w:b/>
          <w:bCs/>
        </w:rPr>
        <w:t>colour</w:t>
      </w:r>
      <w:r w:rsidRPr="00EA6840">
        <w:rPr>
          <w:b/>
          <w:bCs/>
          <w:lang w:val="en-US"/>
        </w:rPr>
        <w:t xml:space="preserve"> temperature of the light emitted in case of a LED substitute light source emitting white light</w:t>
      </w:r>
      <w:r w:rsidR="00A17675">
        <w:rPr>
          <w:b/>
          <w:bCs/>
          <w:lang w:val="en-US"/>
        </w:rPr>
        <w:t>;</w:t>
      </w:r>
      <w:r w:rsidRPr="00EA6840">
        <w:t>”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i/>
        </w:rPr>
      </w:pPr>
      <w:r w:rsidRPr="00EA6840">
        <w:rPr>
          <w:i/>
        </w:rPr>
        <w:t xml:space="preserve">Insert </w:t>
      </w:r>
      <w:r w:rsidR="00814D5A">
        <w:rPr>
          <w:i/>
        </w:rPr>
        <w:t xml:space="preserve">a </w:t>
      </w:r>
      <w:r w:rsidRPr="00EA6840">
        <w:rPr>
          <w:i/>
        </w:rPr>
        <w:t>new paragraph 2.3.1.5</w:t>
      </w:r>
      <w:r w:rsidRPr="00EA6840">
        <w:t>., to read: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b/>
        </w:rPr>
      </w:pPr>
      <w:r w:rsidRPr="00EA6840">
        <w:rPr>
          <w:b/>
        </w:rPr>
        <w:t>“2.3.1.5.</w:t>
      </w:r>
      <w:r w:rsidRPr="00EA6840">
        <w:rPr>
          <w:b/>
        </w:rPr>
        <w:tab/>
        <w:t>The marking as indicated in paragraph 2.3.3</w:t>
      </w:r>
      <w:r w:rsidR="00814D5A">
        <w:rPr>
          <w:b/>
        </w:rPr>
        <w:t>.</w:t>
      </w:r>
      <w:r w:rsidRPr="00EA6840">
        <w:rPr>
          <w:b/>
        </w:rPr>
        <w:t>, if applicable. “</w:t>
      </w:r>
    </w:p>
    <w:p w:rsidR="0036339F" w:rsidRPr="00EA6840" w:rsidRDefault="00013847" w:rsidP="00C51879">
      <w:pPr>
        <w:spacing w:after="120"/>
        <w:ind w:left="2268" w:right="1134" w:hanging="1134"/>
        <w:jc w:val="both"/>
      </w:pPr>
      <w:r w:rsidRPr="00013847">
        <w:rPr>
          <w:i/>
          <w:highlight w:val="yellow"/>
        </w:rPr>
        <w:t xml:space="preserve">Delete this </w:t>
      </w:r>
      <w:r w:rsidR="0036339F" w:rsidRPr="00013847">
        <w:rPr>
          <w:i/>
          <w:highlight w:val="yellow"/>
        </w:rPr>
        <w:t>new paragraph 2.3.</w:t>
      </w:r>
      <w:r w:rsidR="00814D5A" w:rsidRPr="00013847">
        <w:rPr>
          <w:i/>
          <w:highlight w:val="yellow"/>
        </w:rPr>
        <w:t xml:space="preserve">3. </w:t>
      </w:r>
      <w:proofErr w:type="gramStart"/>
      <w:r w:rsidR="0036339F" w:rsidRPr="00013847">
        <w:rPr>
          <w:i/>
          <w:highlight w:val="yellow"/>
        </w:rPr>
        <w:t>and</w:t>
      </w:r>
      <w:proofErr w:type="gramEnd"/>
      <w:r w:rsidR="0036339F" w:rsidRPr="00013847">
        <w:rPr>
          <w:i/>
          <w:highlight w:val="yellow"/>
        </w:rPr>
        <w:t xml:space="preserve"> renumber the </w:t>
      </w:r>
      <w:r w:rsidR="00814D5A" w:rsidRPr="00013847">
        <w:rPr>
          <w:i/>
          <w:highlight w:val="yellow"/>
        </w:rPr>
        <w:t xml:space="preserve">former </w:t>
      </w:r>
      <w:r w:rsidR="0036339F" w:rsidRPr="00013847">
        <w:rPr>
          <w:i/>
          <w:highlight w:val="yellow"/>
        </w:rPr>
        <w:t xml:space="preserve">paragraph 2.3.3., </w:t>
      </w:r>
      <w:r w:rsidR="0036339F" w:rsidRPr="00013847">
        <w:rPr>
          <w:highlight w:val="yellow"/>
        </w:rPr>
        <w:t>to read:</w:t>
      </w:r>
    </w:p>
    <w:p w:rsidR="0036339F" w:rsidRDefault="0036339F" w:rsidP="00C51879">
      <w:pPr>
        <w:spacing w:after="120"/>
        <w:ind w:left="2268" w:right="1134" w:hanging="1134"/>
        <w:jc w:val="both"/>
        <w:rPr>
          <w:b/>
          <w:bCs/>
          <w:strike/>
        </w:rPr>
      </w:pPr>
      <w:r w:rsidRPr="00F90BDF">
        <w:rPr>
          <w:bCs/>
          <w:strike/>
          <w:highlight w:val="yellow"/>
        </w:rPr>
        <w:t>“2.3.3.</w:t>
      </w:r>
      <w:r w:rsidRPr="00F90BDF">
        <w:rPr>
          <w:bCs/>
          <w:strike/>
          <w:highlight w:val="yellow"/>
        </w:rPr>
        <w:tab/>
      </w:r>
      <w:r w:rsidRPr="00F90BDF">
        <w:rPr>
          <w:b/>
          <w:bCs/>
          <w:strike/>
          <w:highlight w:val="yellow"/>
        </w:rPr>
        <w:t xml:space="preserve">LED substitute light sources of the colour white with a correlated colour temperature </w:t>
      </w:r>
      <w:r w:rsidRPr="00F90BDF">
        <w:rPr>
          <w:b/>
          <w:bCs/>
          <w:strike/>
          <w:highlight w:val="yellow"/>
        </w:rPr>
        <w:tab/>
        <w:t>not exceeding 3000 K shall be marked by a “G”, placed after the LED substitute light source category marking separated by a space.</w:t>
      </w:r>
      <w:r w:rsidRPr="00F90BDF">
        <w:rPr>
          <w:b/>
          <w:bCs/>
          <w:strike/>
        </w:rPr>
        <w:t xml:space="preserve">  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bCs/>
        </w:rPr>
      </w:pPr>
      <w:r w:rsidRPr="00EA6840">
        <w:rPr>
          <w:b/>
          <w:bCs/>
        </w:rPr>
        <w:t>2.3.4.</w:t>
      </w:r>
      <w:r w:rsidRPr="00EA6840">
        <w:rPr>
          <w:bCs/>
        </w:rPr>
        <w:tab/>
        <w:t>Inscriptions other than those covered by paragraphs 2.3.1.</w:t>
      </w:r>
      <w:r w:rsidRPr="00EA6840">
        <w:rPr>
          <w:b/>
          <w:bCs/>
        </w:rPr>
        <w:t>, 2.3.3.</w:t>
      </w:r>
      <w:r w:rsidRPr="00EA6840">
        <w:rPr>
          <w:bCs/>
        </w:rPr>
        <w:t xml:space="preserve"> </w:t>
      </w:r>
      <w:proofErr w:type="gramStart"/>
      <w:r w:rsidRPr="00EA6840">
        <w:rPr>
          <w:bCs/>
        </w:rPr>
        <w:t>and</w:t>
      </w:r>
      <w:proofErr w:type="gramEnd"/>
      <w:r w:rsidRPr="00EA6840">
        <w:rPr>
          <w:bCs/>
        </w:rPr>
        <w:t xml:space="preserve"> 2.4.4. </w:t>
      </w:r>
      <w:proofErr w:type="gramStart"/>
      <w:r w:rsidRPr="00EA6840">
        <w:rPr>
          <w:bCs/>
        </w:rPr>
        <w:t>may</w:t>
      </w:r>
      <w:proofErr w:type="gramEnd"/>
      <w:r w:rsidRPr="00EA6840">
        <w:rPr>
          <w:bCs/>
        </w:rPr>
        <w:t xml:space="preserve"> be affixed, on the condition that they do not adversely affect the luminous characteristics.”</w:t>
      </w:r>
    </w:p>
    <w:p w:rsidR="0036339F" w:rsidRPr="00EA6840" w:rsidRDefault="0036339F" w:rsidP="00C51879">
      <w:pPr>
        <w:spacing w:after="120"/>
        <w:ind w:left="2268" w:right="1134" w:hanging="1134"/>
        <w:jc w:val="both"/>
      </w:pPr>
      <w:r w:rsidRPr="00EA6840">
        <w:rPr>
          <w:i/>
        </w:rPr>
        <w:t>Insert a new paragraph 3.1</w:t>
      </w:r>
      <w:r w:rsidR="00BE305A">
        <w:rPr>
          <w:i/>
        </w:rPr>
        <w:t>0</w:t>
      </w:r>
      <w:r w:rsidRPr="00EA6840">
        <w:rPr>
          <w:i/>
        </w:rPr>
        <w:t xml:space="preserve">., </w:t>
      </w:r>
      <w:r w:rsidRPr="00EA6840">
        <w:t>to read: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b/>
          <w:bCs/>
        </w:rPr>
      </w:pPr>
      <w:r w:rsidRPr="00EA6840">
        <w:rPr>
          <w:b/>
          <w:bCs/>
        </w:rPr>
        <w:t>“3.1</w:t>
      </w:r>
      <w:r w:rsidR="00BE305A">
        <w:rPr>
          <w:b/>
          <w:bCs/>
        </w:rPr>
        <w:t>0</w:t>
      </w:r>
      <w:r w:rsidRPr="00EA6840">
        <w:rPr>
          <w:b/>
          <w:bCs/>
        </w:rPr>
        <w:t>.</w:t>
      </w:r>
      <w:r w:rsidRPr="00EA6840">
        <w:rPr>
          <w:b/>
          <w:bCs/>
        </w:rPr>
        <w:tab/>
        <w:t>LED substitute light sources - additional requirements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b/>
          <w:bCs/>
        </w:rPr>
      </w:pPr>
      <w:r w:rsidRPr="00EA6840">
        <w:rPr>
          <w:b/>
          <w:bCs/>
        </w:rPr>
        <w:t>3.1</w:t>
      </w:r>
      <w:r w:rsidR="00BE305A">
        <w:rPr>
          <w:b/>
          <w:bCs/>
        </w:rPr>
        <w:t>0</w:t>
      </w:r>
      <w:r w:rsidRPr="00EA6840">
        <w:rPr>
          <w:b/>
          <w:bCs/>
        </w:rPr>
        <w:t>.1.</w:t>
      </w:r>
      <w:r w:rsidRPr="00EA6840">
        <w:rPr>
          <w:b/>
          <w:bCs/>
        </w:rPr>
        <w:tab/>
        <w:t xml:space="preserve">The electrical current of the LED substitute light source shall be measured at ambient temperature of (23 ± 2) °C in still air after 1 minute and after 30 minutes of operation at test voltage.   </w:t>
      </w:r>
    </w:p>
    <w:p w:rsidR="00BF631B" w:rsidRPr="006F77C4" w:rsidRDefault="0036339F" w:rsidP="001A042E">
      <w:pPr>
        <w:spacing w:after="120"/>
        <w:ind w:left="2268" w:right="1134"/>
        <w:jc w:val="both"/>
        <w:rPr>
          <w:b/>
          <w:bCs/>
        </w:rPr>
      </w:pPr>
      <w:r w:rsidRPr="00EA6840">
        <w:rPr>
          <w:b/>
          <w:bCs/>
        </w:rPr>
        <w:t xml:space="preserve">Measured values of the electrical current shall be within the limits as </w:t>
      </w:r>
      <w:r w:rsidRPr="006F77C4">
        <w:rPr>
          <w:b/>
          <w:bCs/>
        </w:rPr>
        <w:t xml:space="preserve">specified in the relevant data sheet of Annex 1.  </w:t>
      </w:r>
      <w:r w:rsidR="00BF631B" w:rsidRPr="006F77C4">
        <w:rPr>
          <w:sz w:val="18"/>
          <w:szCs w:val="18"/>
          <w:lang w:val="en-US" w:eastAsia="en-GB"/>
        </w:rPr>
        <w:t>.</w:t>
      </w:r>
    </w:p>
    <w:p w:rsidR="0036339F" w:rsidRPr="006F77C4" w:rsidRDefault="0036339F" w:rsidP="00C51879">
      <w:pPr>
        <w:spacing w:after="120"/>
        <w:ind w:left="2268" w:right="1134" w:hanging="1134"/>
        <w:jc w:val="both"/>
        <w:rPr>
          <w:b/>
        </w:rPr>
      </w:pPr>
      <w:r w:rsidRPr="006F77C4">
        <w:rPr>
          <w:b/>
          <w:bCs/>
        </w:rPr>
        <w:t>3.1</w:t>
      </w:r>
      <w:r w:rsidR="00BE305A" w:rsidRPr="006F77C4">
        <w:rPr>
          <w:b/>
          <w:bCs/>
        </w:rPr>
        <w:t>0</w:t>
      </w:r>
      <w:r w:rsidRPr="006F77C4">
        <w:rPr>
          <w:b/>
          <w:bCs/>
        </w:rPr>
        <w:t>.2.</w:t>
      </w:r>
      <w:r w:rsidRPr="006F77C4">
        <w:rPr>
          <w:b/>
          <w:bCs/>
        </w:rPr>
        <w:tab/>
      </w:r>
      <w:r w:rsidRPr="006F77C4">
        <w:rPr>
          <w:b/>
        </w:rPr>
        <w:t>The LED substitute light source shall comply with the technical requirements to an electrical/electronic sub-assembly (ESA) as specified by Regulation No. 10 and its series of amendments in force at the time of application for type approval.</w:t>
      </w:r>
    </w:p>
    <w:p w:rsidR="00F90BDF" w:rsidRDefault="0036339F" w:rsidP="00F90BDF">
      <w:pPr>
        <w:spacing w:after="120"/>
        <w:ind w:left="2268" w:right="1134" w:hanging="1134"/>
        <w:jc w:val="both"/>
        <w:rPr>
          <w:b/>
        </w:rPr>
      </w:pPr>
      <w:r w:rsidRPr="006F77C4">
        <w:rPr>
          <w:b/>
        </w:rPr>
        <w:t>3.1</w:t>
      </w:r>
      <w:r w:rsidR="00BE305A" w:rsidRPr="006F77C4">
        <w:rPr>
          <w:b/>
        </w:rPr>
        <w:t>0</w:t>
      </w:r>
      <w:r w:rsidRPr="006F77C4">
        <w:rPr>
          <w:b/>
        </w:rPr>
        <w:t>.3.</w:t>
      </w:r>
      <w:r w:rsidRPr="006F77C4">
        <w:rPr>
          <w:b/>
        </w:rPr>
        <w:tab/>
        <w:t>The LED substitute light source shall not emit light when activated for 2 milliseconds or shorter.”</w:t>
      </w:r>
      <w:r w:rsidR="006F77C4">
        <w:rPr>
          <w:b/>
        </w:rPr>
        <w:t xml:space="preserve"> </w:t>
      </w:r>
    </w:p>
    <w:p w:rsidR="006F77C4" w:rsidRPr="006F77C4" w:rsidRDefault="006F77C4" w:rsidP="00F90BDF">
      <w:pPr>
        <w:spacing w:after="120"/>
        <w:ind w:left="2268" w:right="1134" w:hanging="1134"/>
        <w:jc w:val="both"/>
        <w:rPr>
          <w:i/>
          <w:highlight w:val="yellow"/>
        </w:rPr>
      </w:pPr>
      <w:r w:rsidRPr="006F77C4">
        <w:rPr>
          <w:i/>
          <w:highlight w:val="yellow"/>
        </w:rPr>
        <w:t>Add a further paragraph:</w:t>
      </w:r>
    </w:p>
    <w:p w:rsidR="002B3273" w:rsidRPr="006F77C4" w:rsidRDefault="001A042E" w:rsidP="00200ADD">
      <w:pPr>
        <w:spacing w:after="120"/>
        <w:ind w:left="2268" w:right="1134" w:hanging="1134"/>
        <w:jc w:val="both"/>
        <w:rPr>
          <w:b/>
          <w:highlight w:val="yellow"/>
        </w:rPr>
      </w:pPr>
      <w:r w:rsidRPr="006F77C4">
        <w:rPr>
          <w:b/>
          <w:highlight w:val="yellow"/>
        </w:rPr>
        <w:t xml:space="preserve">3.10.4. </w:t>
      </w:r>
      <w:r w:rsidRPr="006F77C4">
        <w:rPr>
          <w:b/>
          <w:highlight w:val="yellow"/>
        </w:rPr>
        <w:tab/>
        <w:t>Only such LED substitute light source</w:t>
      </w:r>
      <w:r w:rsidR="002B3273" w:rsidRPr="006F77C4">
        <w:rPr>
          <w:b/>
          <w:highlight w:val="yellow"/>
        </w:rPr>
        <w:t xml:space="preserve">s </w:t>
      </w:r>
      <w:r w:rsidR="001500E7">
        <w:rPr>
          <w:b/>
          <w:highlight w:val="yellow"/>
        </w:rPr>
        <w:t>are allowed to be appro</w:t>
      </w:r>
      <w:r w:rsidR="002B3273" w:rsidRPr="006F77C4">
        <w:rPr>
          <w:b/>
          <w:highlight w:val="yellow"/>
        </w:rPr>
        <w:t>ved</w:t>
      </w:r>
      <w:r w:rsidRPr="006F77C4">
        <w:rPr>
          <w:b/>
          <w:highlight w:val="yellow"/>
        </w:rPr>
        <w:t>, which generate the same light performance in any</w:t>
      </w:r>
      <w:r w:rsidR="002B3273" w:rsidRPr="006F77C4">
        <w:rPr>
          <w:b/>
          <w:highlight w:val="yellow"/>
        </w:rPr>
        <w:t xml:space="preserve"> lamp</w:t>
      </w:r>
      <w:r w:rsidR="001500E7">
        <w:rPr>
          <w:b/>
          <w:highlight w:val="yellow"/>
        </w:rPr>
        <w:t>, which was appro</w:t>
      </w:r>
      <w:r w:rsidRPr="006F77C4">
        <w:rPr>
          <w:b/>
          <w:highlight w:val="yellow"/>
        </w:rPr>
        <w:t>ved with th</w:t>
      </w:r>
      <w:r w:rsidR="001500E7">
        <w:rPr>
          <w:b/>
          <w:highlight w:val="yellow"/>
        </w:rPr>
        <w:t>e filament lamp of the same [corresponding] cat</w:t>
      </w:r>
      <w:r w:rsidRPr="006F77C4">
        <w:rPr>
          <w:b/>
          <w:highlight w:val="yellow"/>
        </w:rPr>
        <w:t>egory</w:t>
      </w:r>
      <w:r w:rsidR="002B3273" w:rsidRPr="006F77C4">
        <w:rPr>
          <w:b/>
          <w:highlight w:val="yellow"/>
        </w:rPr>
        <w:t xml:space="preserve"> without any</w:t>
      </w:r>
      <w:r w:rsidR="00200ADD" w:rsidRPr="006F77C4">
        <w:rPr>
          <w:b/>
          <w:highlight w:val="yellow"/>
        </w:rPr>
        <w:t xml:space="preserve"> exception</w:t>
      </w:r>
      <w:r w:rsidRPr="006F77C4">
        <w:rPr>
          <w:b/>
          <w:highlight w:val="yellow"/>
        </w:rPr>
        <w:t>.</w:t>
      </w:r>
      <w:r w:rsidR="002B3273" w:rsidRPr="006F77C4">
        <w:rPr>
          <w:b/>
          <w:highlight w:val="yellow"/>
        </w:rPr>
        <w:t xml:space="preserve"> </w:t>
      </w:r>
    </w:p>
    <w:p w:rsidR="001A042E" w:rsidRPr="006F77C4" w:rsidRDefault="00681138" w:rsidP="00D52917">
      <w:pPr>
        <w:suppressAutoHyphens w:val="0"/>
        <w:autoSpaceDE w:val="0"/>
        <w:autoSpaceDN w:val="0"/>
        <w:adjustRightInd w:val="0"/>
        <w:spacing w:line="240" w:lineRule="auto"/>
        <w:ind w:left="2268" w:right="1134" w:hanging="1134"/>
        <w:jc w:val="both"/>
        <w:rPr>
          <w:b/>
          <w:highlight w:val="yellow"/>
          <w:lang w:val="en-US" w:eastAsia="en-GB"/>
        </w:rPr>
      </w:pPr>
      <w:r w:rsidRPr="006F77C4">
        <w:rPr>
          <w:b/>
          <w:highlight w:val="yellow"/>
        </w:rPr>
        <w:lastRenderedPageBreak/>
        <w:t>3.10.4.1.</w:t>
      </w:r>
      <w:r w:rsidRPr="006F77C4">
        <w:rPr>
          <w:b/>
          <w:highlight w:val="yellow"/>
        </w:rPr>
        <w:tab/>
      </w:r>
      <w:r w:rsidR="001A042E" w:rsidRPr="006F77C4">
        <w:rPr>
          <w:b/>
          <w:highlight w:val="yellow"/>
        </w:rPr>
        <w:t xml:space="preserve">The applicant shall </w:t>
      </w:r>
      <w:r w:rsidR="001A042E" w:rsidRPr="006F77C4">
        <w:rPr>
          <w:b/>
          <w:highlight w:val="yellow"/>
          <w:lang w:val="en-US" w:eastAsia="en-GB"/>
        </w:rPr>
        <w:t>demonstrate to the Technical Service responsible for type</w:t>
      </w:r>
      <w:r w:rsidR="00D52917" w:rsidRPr="006F77C4">
        <w:rPr>
          <w:b/>
          <w:highlight w:val="yellow"/>
          <w:lang w:val="en-US" w:eastAsia="en-GB"/>
        </w:rPr>
        <w:t xml:space="preserve"> </w:t>
      </w:r>
      <w:r w:rsidR="001A042E" w:rsidRPr="006F77C4">
        <w:rPr>
          <w:b/>
          <w:highlight w:val="yellow"/>
          <w:lang w:val="en-US" w:eastAsia="en-GB"/>
        </w:rPr>
        <w:t xml:space="preserve">approval </w:t>
      </w:r>
      <w:r w:rsidR="00D52917" w:rsidRPr="006F77C4">
        <w:rPr>
          <w:b/>
          <w:highlight w:val="yellow"/>
          <w:lang w:val="en-US" w:eastAsia="en-GB"/>
        </w:rPr>
        <w:t>with measurements,</w:t>
      </w:r>
      <w:r w:rsidR="001A042E" w:rsidRPr="006F77C4">
        <w:rPr>
          <w:b/>
          <w:highlight w:val="yellow"/>
          <w:lang w:val="en-US" w:eastAsia="en-GB"/>
        </w:rPr>
        <w:t xml:space="preserve"> by a suffi</w:t>
      </w:r>
      <w:r w:rsidR="006A1FD3" w:rsidRPr="006F77C4">
        <w:rPr>
          <w:b/>
          <w:highlight w:val="yellow"/>
          <w:lang w:val="en-US" w:eastAsia="en-GB"/>
        </w:rPr>
        <w:t>c</w:t>
      </w:r>
      <w:r w:rsidR="001A042E" w:rsidRPr="006F77C4">
        <w:rPr>
          <w:b/>
          <w:highlight w:val="yellow"/>
          <w:lang w:val="en-US" w:eastAsia="en-GB"/>
        </w:rPr>
        <w:t xml:space="preserve">ient number </w:t>
      </w:r>
      <w:r w:rsidR="00C03B1B" w:rsidRPr="006F77C4">
        <w:rPr>
          <w:b/>
          <w:highlight w:val="yellow"/>
          <w:lang w:val="en-US" w:eastAsia="en-GB"/>
        </w:rPr>
        <w:t xml:space="preserve">of </w:t>
      </w:r>
      <w:r w:rsidRPr="006F77C4">
        <w:rPr>
          <w:b/>
          <w:highlight w:val="yellow"/>
          <w:lang w:val="en-US" w:eastAsia="en-GB"/>
        </w:rPr>
        <w:t xml:space="preserve">lamps of different technology </w:t>
      </w:r>
      <w:r w:rsidR="006A1FD3" w:rsidRPr="006F77C4">
        <w:rPr>
          <w:b/>
          <w:highlight w:val="yellow"/>
          <w:lang w:val="en-US" w:eastAsia="en-GB"/>
        </w:rPr>
        <w:t>(</w:t>
      </w:r>
      <w:r w:rsidRPr="006F77C4">
        <w:rPr>
          <w:b/>
          <w:highlight w:val="yellow"/>
          <w:lang w:val="en-US" w:eastAsia="en-GB"/>
        </w:rPr>
        <w:t>and different manufacturers</w:t>
      </w:r>
      <w:r w:rsidR="006A1FD3" w:rsidRPr="006F77C4">
        <w:rPr>
          <w:b/>
          <w:highlight w:val="yellow"/>
          <w:lang w:val="en-US" w:eastAsia="en-GB"/>
        </w:rPr>
        <w:t>)</w:t>
      </w:r>
      <w:r w:rsidRPr="006F77C4">
        <w:rPr>
          <w:b/>
          <w:highlight w:val="yellow"/>
          <w:lang w:val="en-US" w:eastAsia="en-GB"/>
        </w:rPr>
        <w:t xml:space="preserve">, that </w:t>
      </w:r>
      <w:r w:rsidR="006A1FD3" w:rsidRPr="006F77C4">
        <w:rPr>
          <w:b/>
          <w:highlight w:val="yellow"/>
          <w:lang w:val="en-US" w:eastAsia="en-GB"/>
        </w:rPr>
        <w:t>the</w:t>
      </w:r>
      <w:r w:rsidRPr="006F77C4">
        <w:rPr>
          <w:b/>
          <w:highlight w:val="yellow"/>
          <w:lang w:val="en-US" w:eastAsia="en-GB"/>
        </w:rPr>
        <w:t xml:space="preserve"> </w:t>
      </w:r>
      <w:r w:rsidRPr="006F77C4">
        <w:rPr>
          <w:b/>
          <w:highlight w:val="yellow"/>
        </w:rPr>
        <w:t>LED substitute light source</w:t>
      </w:r>
      <w:r w:rsidR="00C03B1B" w:rsidRPr="006F77C4">
        <w:rPr>
          <w:b/>
          <w:highlight w:val="yellow"/>
        </w:rPr>
        <w:t xml:space="preserve"> </w:t>
      </w:r>
      <w:r w:rsidRPr="006F77C4">
        <w:rPr>
          <w:b/>
          <w:highlight w:val="yellow"/>
        </w:rPr>
        <w:t xml:space="preserve">generate the same light performance in </w:t>
      </w:r>
      <w:r w:rsidR="001500E7">
        <w:rPr>
          <w:b/>
          <w:highlight w:val="yellow"/>
        </w:rPr>
        <w:t>[nearly all] [min. 80 %] [</w:t>
      </w:r>
      <w:r w:rsidRPr="006F77C4">
        <w:rPr>
          <w:b/>
          <w:highlight w:val="yellow"/>
        </w:rPr>
        <w:t>any</w:t>
      </w:r>
      <w:r w:rsidR="001500E7">
        <w:rPr>
          <w:b/>
          <w:highlight w:val="yellow"/>
        </w:rPr>
        <w:t>]</w:t>
      </w:r>
      <w:r w:rsidRPr="006F77C4">
        <w:rPr>
          <w:b/>
          <w:highlight w:val="yellow"/>
        </w:rPr>
        <w:t xml:space="preserve"> of the tested lamps.</w:t>
      </w:r>
      <w:r w:rsidR="00D52917" w:rsidRPr="006F77C4">
        <w:rPr>
          <w:b/>
          <w:highlight w:val="yellow"/>
        </w:rPr>
        <w:t xml:space="preserve"> </w:t>
      </w:r>
    </w:p>
    <w:p w:rsidR="002B3273" w:rsidRPr="006F77C4" w:rsidRDefault="002B3273" w:rsidP="00D52917">
      <w:pPr>
        <w:suppressAutoHyphens w:val="0"/>
        <w:autoSpaceDE w:val="0"/>
        <w:autoSpaceDN w:val="0"/>
        <w:adjustRightInd w:val="0"/>
        <w:spacing w:line="240" w:lineRule="auto"/>
        <w:ind w:left="2268" w:right="1134" w:hanging="1134"/>
        <w:jc w:val="both"/>
        <w:rPr>
          <w:b/>
          <w:highlight w:val="yellow"/>
        </w:rPr>
      </w:pPr>
    </w:p>
    <w:p w:rsidR="006A1FD3" w:rsidRDefault="00681138" w:rsidP="002B3273">
      <w:pPr>
        <w:spacing w:after="120"/>
        <w:ind w:left="2268" w:right="1134" w:hanging="1134"/>
        <w:jc w:val="both"/>
        <w:rPr>
          <w:b/>
        </w:rPr>
      </w:pPr>
      <w:r w:rsidRPr="006F77C4">
        <w:rPr>
          <w:b/>
          <w:highlight w:val="yellow"/>
        </w:rPr>
        <w:t>3.10.4.2.</w:t>
      </w:r>
      <w:r w:rsidRPr="006F77C4">
        <w:rPr>
          <w:b/>
          <w:highlight w:val="yellow"/>
        </w:rPr>
        <w:tab/>
      </w:r>
      <w:r w:rsidRPr="006F77C4">
        <w:rPr>
          <w:rFonts w:ascii="TimesNewRomanPSMT" w:hAnsi="TimesNewRomanPSMT" w:cs="TimesNewRomanPSMT"/>
          <w:b/>
          <w:highlight w:val="yellow"/>
          <w:lang w:val="en-US" w:eastAsia="en-GB"/>
        </w:rPr>
        <w:t xml:space="preserve">The authority which granted approval shall have the right to check the performance of a </w:t>
      </w:r>
      <w:r w:rsidRPr="006F77C4">
        <w:rPr>
          <w:b/>
          <w:highlight w:val="yellow"/>
        </w:rPr>
        <w:t>LED substitute light source</w:t>
      </w:r>
      <w:r w:rsidR="002B3273" w:rsidRPr="006F77C4">
        <w:rPr>
          <w:b/>
          <w:highlight w:val="yellow"/>
        </w:rPr>
        <w:t xml:space="preserve">, </w:t>
      </w:r>
      <w:r w:rsidR="006A1FD3" w:rsidRPr="006F77C4">
        <w:rPr>
          <w:b/>
          <w:highlight w:val="yellow"/>
        </w:rPr>
        <w:t>equivalent to paragraph 3.10.4.1</w:t>
      </w:r>
      <w:proofErr w:type="gramStart"/>
      <w:r w:rsidR="006A1FD3" w:rsidRPr="006F77C4">
        <w:rPr>
          <w:b/>
          <w:highlight w:val="yellow"/>
        </w:rPr>
        <w:t>..</w:t>
      </w:r>
      <w:proofErr w:type="gramEnd"/>
      <w:r w:rsidR="006A1FD3">
        <w:rPr>
          <w:b/>
        </w:rPr>
        <w:t xml:space="preserve"> 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i/>
        </w:rPr>
      </w:pPr>
      <w:r w:rsidRPr="00EA6840">
        <w:rPr>
          <w:i/>
        </w:rPr>
        <w:t>Annex 4,</w:t>
      </w:r>
      <w:r w:rsidR="00BE305A">
        <w:rPr>
          <w:i/>
        </w:rPr>
        <w:t xml:space="preserve"> </w:t>
      </w:r>
      <w:proofErr w:type="spellStart"/>
      <w:r w:rsidR="00BE305A">
        <w:rPr>
          <w:i/>
        </w:rPr>
        <w:t>indroductory</w:t>
      </w:r>
      <w:proofErr w:type="spellEnd"/>
      <w:r w:rsidR="00BE305A">
        <w:rPr>
          <w:i/>
        </w:rPr>
        <w:t xml:space="preserve"> part, </w:t>
      </w:r>
      <w:r w:rsidRPr="00EA6840">
        <w:t>amend to read:</w:t>
      </w:r>
    </w:p>
    <w:p w:rsidR="0036339F" w:rsidRPr="00EA6840" w:rsidRDefault="0036339F" w:rsidP="00C51879">
      <w:pPr>
        <w:spacing w:after="120"/>
        <w:ind w:left="1134" w:right="1134"/>
        <w:jc w:val="both"/>
        <w:rPr>
          <w:bCs/>
        </w:rPr>
      </w:pPr>
      <w:r w:rsidRPr="00EA6840">
        <w:rPr>
          <w:bCs/>
          <w:lang w:val="en-US"/>
        </w:rPr>
        <w:t>“</w:t>
      </w:r>
      <w:r w:rsidRPr="00EA6840">
        <w:rPr>
          <w:bCs/>
        </w:rPr>
        <w:t xml:space="preserve">Light sources of all categories with integrated </w:t>
      </w:r>
      <w:r w:rsidRPr="00EA6840">
        <w:rPr>
          <w:bCs/>
          <w:strike/>
        </w:rPr>
        <w:t>heatsink</w:t>
      </w:r>
      <w:r w:rsidRPr="00EA6840">
        <w:rPr>
          <w:bCs/>
        </w:rPr>
        <w:t xml:space="preserve"> </w:t>
      </w:r>
      <w:r w:rsidRPr="00EA6840">
        <w:rPr>
          <w:b/>
          <w:bCs/>
          <w:lang w:val="en-US"/>
        </w:rPr>
        <w:t xml:space="preserve">heat sink </w:t>
      </w:r>
      <w:r w:rsidRPr="00EA6840">
        <w:rPr>
          <w:bCs/>
        </w:rPr>
        <w:t xml:space="preserve">shall be measured </w:t>
      </w:r>
      <w:r w:rsidRPr="00EA6840">
        <w:rPr>
          <w:b/>
          <w:bCs/>
        </w:rPr>
        <w:t>in still air</w:t>
      </w:r>
      <w:r w:rsidRPr="00EA6840">
        <w:rPr>
          <w:bCs/>
        </w:rPr>
        <w:t xml:space="preserve"> at ambient temperature of  (23 ± 2) °C </w:t>
      </w:r>
      <w:r w:rsidRPr="00EA6840">
        <w:rPr>
          <w:bCs/>
          <w:strike/>
        </w:rPr>
        <w:t>in still air</w:t>
      </w:r>
      <w:r w:rsidRPr="00EA6840">
        <w:rPr>
          <w:b/>
          <w:bCs/>
          <w:lang w:val="en-US"/>
        </w:rPr>
        <w:t>,</w:t>
      </w:r>
      <w:r w:rsidRPr="00EA6840">
        <w:rPr>
          <w:bCs/>
          <w:lang w:val="en-US"/>
        </w:rPr>
        <w:t xml:space="preserve"> </w:t>
      </w:r>
      <w:r w:rsidRPr="00EA6840">
        <w:rPr>
          <w:bCs/>
        </w:rPr>
        <w:t xml:space="preserve"> </w:t>
      </w:r>
      <w:r w:rsidRPr="00EA6840">
        <w:rPr>
          <w:b/>
          <w:bCs/>
          <w:lang w:val="en-US"/>
        </w:rPr>
        <w:t>and</w:t>
      </w:r>
      <w:r w:rsidRPr="00EA6840">
        <w:rPr>
          <w:b/>
          <w:bCs/>
        </w:rPr>
        <w:t xml:space="preserve"> </w:t>
      </w:r>
      <w:r w:rsidRPr="00EA6840">
        <w:rPr>
          <w:b/>
          <w:bCs/>
          <w:lang w:val="en-US"/>
        </w:rPr>
        <w:t>at an additional ambient temperature if indicated in the relevant light source sheet.</w:t>
      </w:r>
      <w:r w:rsidRPr="00EA6840">
        <w:rPr>
          <w:bCs/>
          <w:lang w:val="en-US"/>
        </w:rPr>
        <w:t xml:space="preserve">  </w:t>
      </w:r>
      <w:r w:rsidRPr="00EA6840">
        <w:rPr>
          <w:bCs/>
        </w:rPr>
        <w:t>For these measurements the minimum free space as defined in the data sheets shall be maintained.</w:t>
      </w:r>
    </w:p>
    <w:p w:rsidR="0036339F" w:rsidRPr="00EA6840" w:rsidRDefault="0036339F" w:rsidP="00C51879">
      <w:pPr>
        <w:spacing w:after="120"/>
        <w:ind w:left="1134" w:right="1134"/>
        <w:jc w:val="both"/>
        <w:rPr>
          <w:lang w:val="en-US"/>
        </w:rPr>
      </w:pPr>
      <w:r w:rsidRPr="00EA6840">
        <w:rPr>
          <w:bCs/>
        </w:rPr>
        <w:t>Light sources of all categories with definition of a temperature T</w:t>
      </w:r>
      <w:r w:rsidRPr="00EA6840">
        <w:rPr>
          <w:bCs/>
          <w:vertAlign w:val="subscript"/>
        </w:rPr>
        <w:t>b</w:t>
      </w:r>
      <w:r w:rsidRPr="00EA6840">
        <w:rPr>
          <w:bCs/>
        </w:rPr>
        <w:t xml:space="preserve"> shall be measured by stabilising the T</w:t>
      </w:r>
      <w:r w:rsidRPr="00EA6840">
        <w:rPr>
          <w:bCs/>
          <w:vertAlign w:val="subscript"/>
        </w:rPr>
        <w:t>b</w:t>
      </w:r>
      <w:r w:rsidRPr="00EA6840">
        <w:rPr>
          <w:bCs/>
        </w:rPr>
        <w:t>-point at the specific temperature defined on the category data sheet</w:t>
      </w:r>
      <w:r>
        <w:rPr>
          <w:lang w:val="en-US"/>
        </w:rPr>
        <w:t>...”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i/>
        </w:rPr>
      </w:pPr>
      <w:r w:rsidRPr="00EA6840">
        <w:rPr>
          <w:i/>
        </w:rPr>
        <w:t xml:space="preserve">Annex 5, </w:t>
      </w:r>
      <w:r w:rsidR="00BE305A">
        <w:rPr>
          <w:i/>
        </w:rPr>
        <w:t xml:space="preserve">paragraph </w:t>
      </w:r>
      <w:proofErr w:type="gramStart"/>
      <w:r w:rsidR="00BE305A">
        <w:rPr>
          <w:i/>
        </w:rPr>
        <w:t>1.,</w:t>
      </w:r>
      <w:proofErr w:type="gramEnd"/>
      <w:r w:rsidR="00BE305A">
        <w:rPr>
          <w:i/>
        </w:rPr>
        <w:t xml:space="preserve"> </w:t>
      </w:r>
      <w:r w:rsidRPr="00EA6840">
        <w:t>amend to read: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bCs/>
          <w:snapToGrid w:val="0"/>
        </w:rPr>
      </w:pPr>
      <w:r w:rsidRPr="00EA6840">
        <w:rPr>
          <w:bCs/>
          <w:snapToGrid w:val="0"/>
        </w:rPr>
        <w:t>“1.</w:t>
      </w:r>
      <w:r w:rsidRPr="00EA6840">
        <w:rPr>
          <w:bCs/>
          <w:snapToGrid w:val="0"/>
        </w:rPr>
        <w:tab/>
        <w:t>General</w:t>
      </w:r>
    </w:p>
    <w:p w:rsidR="0036339F" w:rsidRPr="00EA6840" w:rsidRDefault="0036339F" w:rsidP="00C51879">
      <w:pPr>
        <w:spacing w:after="120"/>
        <w:ind w:left="2268" w:right="1134" w:hanging="1134"/>
        <w:jc w:val="both"/>
        <w:rPr>
          <w:bCs/>
          <w:snapToGrid w:val="0"/>
        </w:rPr>
      </w:pPr>
      <w:r w:rsidRPr="00EA6840">
        <w:rPr>
          <w:bCs/>
          <w:snapToGrid w:val="0"/>
        </w:rPr>
        <w:tab/>
        <w:t>The conformity requirements shall be considered satisfied from a photometric, geometrical, visual and electrical standpoint if the specified tolerances for production LED light sources in the relevant data sheet of Annex 1</w:t>
      </w:r>
      <w:r w:rsidRPr="00EA6840">
        <w:rPr>
          <w:b/>
          <w:bCs/>
          <w:snapToGrid w:val="0"/>
        </w:rPr>
        <w:t>,</w:t>
      </w:r>
      <w:r w:rsidRPr="00EA6840">
        <w:rPr>
          <w:bCs/>
          <w:snapToGrid w:val="0"/>
        </w:rPr>
        <w:t xml:space="preserve"> </w:t>
      </w:r>
      <w:r w:rsidRPr="00EA6840">
        <w:rPr>
          <w:bCs/>
          <w:strike/>
          <w:snapToGrid w:val="0"/>
        </w:rPr>
        <w:t>and</w:t>
      </w:r>
      <w:r w:rsidRPr="00EA6840">
        <w:rPr>
          <w:bCs/>
          <w:snapToGrid w:val="0"/>
        </w:rPr>
        <w:t xml:space="preserve"> the relevant data sheet for the caps</w:t>
      </w:r>
      <w:r w:rsidRPr="00EA6840">
        <w:rPr>
          <w:b/>
          <w:bCs/>
          <w:snapToGrid w:val="0"/>
        </w:rPr>
        <w:t xml:space="preserve"> and in the case of LED substitute light sources the additional requirements to LED substitute light sources in paragraph 3.1</w:t>
      </w:r>
      <w:r w:rsidR="00AD2305">
        <w:rPr>
          <w:b/>
          <w:bCs/>
          <w:snapToGrid w:val="0"/>
        </w:rPr>
        <w:t>0</w:t>
      </w:r>
      <w:r w:rsidR="008254B2">
        <w:rPr>
          <w:b/>
          <w:bCs/>
          <w:snapToGrid w:val="0"/>
        </w:rPr>
        <w:t>.</w:t>
      </w:r>
      <w:r w:rsidRPr="00EA6840">
        <w:rPr>
          <w:b/>
          <w:bCs/>
          <w:snapToGrid w:val="0"/>
        </w:rPr>
        <w:t xml:space="preserve"> </w:t>
      </w:r>
      <w:proofErr w:type="gramStart"/>
      <w:r w:rsidRPr="00EA6840">
        <w:rPr>
          <w:bCs/>
          <w:snapToGrid w:val="0"/>
        </w:rPr>
        <w:t>are</w:t>
      </w:r>
      <w:proofErr w:type="gramEnd"/>
      <w:r w:rsidRPr="00EA6840">
        <w:rPr>
          <w:bCs/>
          <w:snapToGrid w:val="0"/>
        </w:rPr>
        <w:t xml:space="preserve"> met.</w:t>
      </w:r>
      <w:r w:rsidR="008254B2">
        <w:rPr>
          <w:bCs/>
          <w:snapToGrid w:val="0"/>
        </w:rPr>
        <w:t>"</w:t>
      </w:r>
      <w:r w:rsidRPr="00EA6840">
        <w:rPr>
          <w:bCs/>
          <w:snapToGrid w:val="0"/>
        </w:rPr>
        <w:t xml:space="preserve">  </w:t>
      </w:r>
    </w:p>
    <w:p w:rsidR="0036339F" w:rsidRPr="00EA6840" w:rsidRDefault="0036339F" w:rsidP="00C51879">
      <w:pPr>
        <w:spacing w:after="120"/>
        <w:ind w:left="2268" w:right="1134" w:hanging="1134"/>
        <w:rPr>
          <w:i/>
        </w:rPr>
      </w:pPr>
      <w:r w:rsidRPr="00EA6840">
        <w:rPr>
          <w:i/>
        </w:rPr>
        <w:t xml:space="preserve">Annex 6, table 1, </w:t>
      </w:r>
      <w:proofErr w:type="gramStart"/>
      <w:r w:rsidRPr="00EA6840">
        <w:t>insert</w:t>
      </w:r>
      <w:proofErr w:type="gramEnd"/>
      <w:r w:rsidRPr="00EA6840">
        <w:t xml:space="preserve"> an additional row at the bottom, to read:</w:t>
      </w:r>
    </w:p>
    <w:p w:rsidR="0036339F" w:rsidRPr="00EA6840" w:rsidRDefault="0036339F" w:rsidP="00C51879">
      <w:pPr>
        <w:spacing w:after="120"/>
        <w:ind w:left="1134" w:right="1134"/>
        <w:outlineLvl w:val="0"/>
        <w:rPr>
          <w:snapToGrid w:val="0"/>
        </w:rPr>
      </w:pPr>
      <w:r w:rsidRPr="00EA6840">
        <w:rPr>
          <w:snapToGrid w:val="0"/>
        </w:rPr>
        <w:t>“Table 1</w:t>
      </w:r>
    </w:p>
    <w:p w:rsidR="0036339F" w:rsidRPr="00EA6840" w:rsidRDefault="0036339F" w:rsidP="00C51879">
      <w:pPr>
        <w:spacing w:after="120"/>
        <w:ind w:left="1134" w:right="1134"/>
        <w:outlineLvl w:val="0"/>
        <w:rPr>
          <w:b/>
          <w:snapToGrid w:val="0"/>
        </w:rPr>
      </w:pPr>
      <w:r w:rsidRPr="00EA6840">
        <w:rPr>
          <w:b/>
          <w:snapToGrid w:val="0"/>
        </w:rPr>
        <w:t>Characteristics</w:t>
      </w:r>
    </w:p>
    <w:tbl>
      <w:tblPr>
        <w:tblW w:w="0" w:type="auto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217"/>
        <w:gridCol w:w="1701"/>
        <w:gridCol w:w="1779"/>
      </w:tblGrid>
      <w:tr w:rsidR="0036339F" w:rsidRPr="008254B2" w:rsidTr="0062604B">
        <w:trPr>
          <w:cantSplit/>
          <w:jc w:val="center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8254B2">
            <w:pPr>
              <w:rPr>
                <w:bCs/>
                <w:i/>
                <w:snapToGrid w:val="0"/>
                <w:sz w:val="16"/>
                <w:szCs w:val="16"/>
              </w:rPr>
            </w:pPr>
            <w:r w:rsidRPr="008254B2">
              <w:rPr>
                <w:bCs/>
                <w:i/>
                <w:snapToGrid w:val="0"/>
                <w:sz w:val="16"/>
                <w:szCs w:val="16"/>
              </w:rPr>
              <w:t>Grouping of characteristics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62604B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8254B2">
              <w:rPr>
                <w:bCs/>
                <w:i/>
                <w:snapToGrid w:val="0"/>
                <w:sz w:val="16"/>
                <w:szCs w:val="16"/>
              </w:rPr>
              <w:t>Grouping* of test records between</w:t>
            </w:r>
            <w:r w:rsidR="0062604B">
              <w:rPr>
                <w:bCs/>
                <w:i/>
                <w:snapToGrid w:val="0"/>
                <w:sz w:val="16"/>
                <w:szCs w:val="16"/>
              </w:rPr>
              <w:t xml:space="preserve"> </w:t>
            </w:r>
            <w:r w:rsidRPr="008254B2">
              <w:rPr>
                <w:bCs/>
                <w:i/>
                <w:snapToGrid w:val="0"/>
                <w:sz w:val="16"/>
                <w:szCs w:val="16"/>
              </w:rPr>
              <w:t>LED light source types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8254B2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8254B2">
              <w:rPr>
                <w:bCs/>
                <w:i/>
                <w:snapToGrid w:val="0"/>
                <w:sz w:val="16"/>
                <w:szCs w:val="16"/>
              </w:rPr>
              <w:t>Minimum 12 monthly sample per grouping*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8254B2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8254B2">
              <w:rPr>
                <w:bCs/>
                <w:i/>
                <w:snapToGrid w:val="0"/>
                <w:sz w:val="16"/>
                <w:szCs w:val="16"/>
              </w:rPr>
              <w:t>Acceptable level of non-compliance per grouping of characteristics (%)</w:t>
            </w:r>
          </w:p>
        </w:tc>
      </w:tr>
      <w:tr w:rsidR="0036339F" w:rsidRPr="008254B2" w:rsidTr="0062604B">
        <w:trPr>
          <w:cantSplit/>
          <w:jc w:val="center"/>
        </w:trPr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Marking, legibility and durability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All types with the same external dimensions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315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1</w:t>
            </w:r>
          </w:p>
        </w:tc>
      </w:tr>
      <w:tr w:rsidR="0036339F" w:rsidRPr="008254B2" w:rsidTr="0062604B">
        <w:trPr>
          <w:cantSplit/>
          <w:jc w:val="center"/>
        </w:trPr>
        <w:tc>
          <w:tcPr>
            <w:tcW w:w="2114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External LED light source</w:t>
            </w:r>
            <w:r w:rsidRPr="008254B2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Pr="008254B2">
              <w:rPr>
                <w:bCs/>
                <w:snapToGrid w:val="0"/>
                <w:sz w:val="18"/>
                <w:szCs w:val="18"/>
              </w:rPr>
              <w:t>dimensions (excluding cap/base)</w:t>
            </w:r>
          </w:p>
        </w:tc>
        <w:tc>
          <w:tcPr>
            <w:tcW w:w="2217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All types of the same category</w:t>
            </w:r>
          </w:p>
        </w:tc>
        <w:tc>
          <w:tcPr>
            <w:tcW w:w="1701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79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1</w:t>
            </w:r>
          </w:p>
        </w:tc>
      </w:tr>
      <w:tr w:rsidR="0036339F" w:rsidRPr="008254B2" w:rsidTr="0062604B">
        <w:trPr>
          <w:cantSplit/>
          <w:jc w:val="center"/>
        </w:trPr>
        <w:tc>
          <w:tcPr>
            <w:tcW w:w="2114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Dimensions of caps and bases</w:t>
            </w:r>
          </w:p>
        </w:tc>
        <w:tc>
          <w:tcPr>
            <w:tcW w:w="2217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All types of the same category</w:t>
            </w:r>
          </w:p>
        </w:tc>
        <w:tc>
          <w:tcPr>
            <w:tcW w:w="1701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79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6.5</w:t>
            </w:r>
          </w:p>
        </w:tc>
      </w:tr>
      <w:tr w:rsidR="0036339F" w:rsidRPr="008254B2" w:rsidTr="0062604B">
        <w:trPr>
          <w:cantSplit/>
          <w:jc w:val="center"/>
        </w:trPr>
        <w:tc>
          <w:tcPr>
            <w:tcW w:w="2114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Dimensions related to light emitting surface and internal elements**</w:t>
            </w:r>
          </w:p>
        </w:tc>
        <w:tc>
          <w:tcPr>
            <w:tcW w:w="2217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All LED light sources of one type</w:t>
            </w:r>
          </w:p>
        </w:tc>
        <w:tc>
          <w:tcPr>
            <w:tcW w:w="1701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79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6.5</w:t>
            </w:r>
          </w:p>
        </w:tc>
      </w:tr>
      <w:tr w:rsidR="0036339F" w:rsidRPr="008254B2" w:rsidTr="0062604B">
        <w:trPr>
          <w:cantSplit/>
          <w:jc w:val="center"/>
        </w:trPr>
        <w:tc>
          <w:tcPr>
            <w:tcW w:w="2114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Initial readings, power, colour and luminous flux**</w:t>
            </w:r>
          </w:p>
        </w:tc>
        <w:tc>
          <w:tcPr>
            <w:tcW w:w="2217" w:type="dxa"/>
            <w:vAlign w:val="center"/>
          </w:tcPr>
          <w:p w:rsidR="0036339F" w:rsidRPr="008254B2" w:rsidRDefault="0036339F" w:rsidP="008254B2">
            <w:pPr>
              <w:spacing w:before="40" w:after="40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All LED light sources of one type</w:t>
            </w:r>
          </w:p>
        </w:tc>
        <w:tc>
          <w:tcPr>
            <w:tcW w:w="1701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779" w:type="dxa"/>
            <w:vAlign w:val="center"/>
          </w:tcPr>
          <w:p w:rsidR="0036339F" w:rsidRPr="008254B2" w:rsidRDefault="0036339F" w:rsidP="008254B2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8254B2">
              <w:rPr>
                <w:bCs/>
                <w:snapToGrid w:val="0"/>
                <w:sz w:val="18"/>
                <w:szCs w:val="18"/>
              </w:rPr>
              <w:t>1</w:t>
            </w:r>
          </w:p>
        </w:tc>
      </w:tr>
      <w:tr w:rsidR="0036339F" w:rsidRPr="008254B2" w:rsidTr="0062604B">
        <w:trPr>
          <w:cantSplit/>
          <w:jc w:val="center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36339F" w:rsidRPr="008254B2" w:rsidRDefault="0036339F" w:rsidP="008254B2">
            <w:pPr>
              <w:rPr>
                <w:bCs/>
                <w:sz w:val="18"/>
                <w:szCs w:val="18"/>
                <w:lang w:val="en-US"/>
              </w:rPr>
            </w:pPr>
            <w:r w:rsidRPr="008254B2">
              <w:rPr>
                <w:bCs/>
                <w:sz w:val="18"/>
                <w:szCs w:val="18"/>
              </w:rPr>
              <w:t>Normalised</w:t>
            </w:r>
            <w:r w:rsidRPr="008254B2">
              <w:rPr>
                <w:bCs/>
                <w:sz w:val="18"/>
                <w:szCs w:val="18"/>
                <w:lang w:val="en-US"/>
              </w:rPr>
              <w:t xml:space="preserve"> luminous intensity or cumulative luminous flux distribution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36339F" w:rsidRPr="008254B2" w:rsidRDefault="0036339F" w:rsidP="008254B2">
            <w:pPr>
              <w:rPr>
                <w:bCs/>
                <w:sz w:val="18"/>
                <w:szCs w:val="18"/>
              </w:rPr>
            </w:pPr>
            <w:r w:rsidRPr="008254B2">
              <w:rPr>
                <w:bCs/>
                <w:sz w:val="18"/>
                <w:szCs w:val="18"/>
              </w:rPr>
              <w:t xml:space="preserve">All </w:t>
            </w:r>
            <w:r w:rsidRPr="008254B2">
              <w:rPr>
                <w:bCs/>
                <w:snapToGrid w:val="0"/>
                <w:sz w:val="18"/>
                <w:szCs w:val="18"/>
              </w:rPr>
              <w:t xml:space="preserve">LED light sources </w:t>
            </w:r>
            <w:r w:rsidRPr="008254B2">
              <w:rPr>
                <w:bCs/>
                <w:sz w:val="18"/>
                <w:szCs w:val="18"/>
              </w:rPr>
              <w:t>of one 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339F" w:rsidRPr="008254B2" w:rsidRDefault="0036339F" w:rsidP="008254B2">
            <w:pPr>
              <w:jc w:val="center"/>
              <w:rPr>
                <w:bCs/>
                <w:sz w:val="18"/>
                <w:szCs w:val="18"/>
              </w:rPr>
            </w:pPr>
            <w:r w:rsidRPr="008254B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36339F" w:rsidRPr="008254B2" w:rsidRDefault="0036339F" w:rsidP="008254B2">
            <w:pPr>
              <w:jc w:val="center"/>
              <w:rPr>
                <w:bCs/>
                <w:sz w:val="18"/>
                <w:szCs w:val="18"/>
              </w:rPr>
            </w:pPr>
            <w:r w:rsidRPr="008254B2">
              <w:rPr>
                <w:bCs/>
                <w:sz w:val="18"/>
                <w:szCs w:val="18"/>
              </w:rPr>
              <w:t>6.5</w:t>
            </w:r>
          </w:p>
        </w:tc>
      </w:tr>
      <w:tr w:rsidR="0036339F" w:rsidRPr="008254B2" w:rsidTr="0062604B">
        <w:trPr>
          <w:cantSplit/>
          <w:jc w:val="center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8254B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54B2">
              <w:rPr>
                <w:b/>
                <w:bCs/>
                <w:sz w:val="18"/>
                <w:szCs w:val="18"/>
                <w:lang w:val="en-US"/>
              </w:rPr>
              <w:lastRenderedPageBreak/>
              <w:t>Electrical current</w:t>
            </w:r>
            <w:r w:rsidRPr="008254B2">
              <w:rPr>
                <w:b/>
                <w:sz w:val="18"/>
                <w:szCs w:val="18"/>
              </w:rPr>
              <w:t xml:space="preserve"> </w:t>
            </w:r>
            <w:r w:rsidRPr="008254B2">
              <w:rPr>
                <w:b/>
                <w:bCs/>
                <w:sz w:val="18"/>
                <w:szCs w:val="18"/>
                <w:lang w:val="en-US"/>
              </w:rPr>
              <w:t>***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8254B2">
            <w:pPr>
              <w:rPr>
                <w:b/>
                <w:bCs/>
                <w:sz w:val="18"/>
                <w:szCs w:val="18"/>
              </w:rPr>
            </w:pPr>
            <w:r w:rsidRPr="008254B2">
              <w:rPr>
                <w:b/>
                <w:bCs/>
                <w:snapToGrid w:val="0"/>
                <w:sz w:val="18"/>
                <w:szCs w:val="18"/>
              </w:rPr>
              <w:t>All LED light sources of one 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8254B2">
            <w:pPr>
              <w:jc w:val="center"/>
              <w:rPr>
                <w:b/>
                <w:bCs/>
                <w:sz w:val="18"/>
                <w:szCs w:val="18"/>
              </w:rPr>
            </w:pPr>
            <w:r w:rsidRPr="008254B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:rsidR="0036339F" w:rsidRPr="008254B2" w:rsidRDefault="0036339F" w:rsidP="008254B2">
            <w:pPr>
              <w:jc w:val="center"/>
              <w:rPr>
                <w:b/>
                <w:bCs/>
                <w:sz w:val="18"/>
                <w:szCs w:val="18"/>
              </w:rPr>
            </w:pPr>
            <w:r w:rsidRPr="008254B2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36339F" w:rsidRPr="00EA6840" w:rsidRDefault="0036339F" w:rsidP="0062604B">
      <w:pPr>
        <w:spacing w:before="120" w:after="120"/>
        <w:ind w:left="1134" w:right="1134"/>
        <w:jc w:val="both"/>
        <w:rPr>
          <w:snapToGrid w:val="0"/>
          <w:sz w:val="18"/>
          <w:szCs w:val="18"/>
        </w:rPr>
      </w:pPr>
      <w:r w:rsidRPr="00EA6840">
        <w:rPr>
          <w:snapToGrid w:val="0"/>
          <w:sz w:val="18"/>
          <w:szCs w:val="18"/>
        </w:rPr>
        <w:t>*</w:t>
      </w:r>
      <w:r w:rsidRPr="00EA6840">
        <w:rPr>
          <w:snapToGrid w:val="0"/>
          <w:sz w:val="18"/>
          <w:szCs w:val="18"/>
        </w:rPr>
        <w:tab/>
        <w:t>The assessment shall in general cover series production LED light sources from individual factories. A manufacturer may group together records concerning the same type from several factories, provided these operate under the same quality system and quality management.</w:t>
      </w:r>
    </w:p>
    <w:p w:rsidR="0036339F" w:rsidRPr="00EA6840" w:rsidRDefault="0036339F" w:rsidP="0062604B">
      <w:pPr>
        <w:spacing w:after="120"/>
        <w:ind w:left="1134" w:right="1134"/>
        <w:jc w:val="both"/>
        <w:rPr>
          <w:snapToGrid w:val="0"/>
          <w:sz w:val="18"/>
          <w:szCs w:val="18"/>
        </w:rPr>
      </w:pPr>
      <w:r w:rsidRPr="00EA6840">
        <w:rPr>
          <w:snapToGrid w:val="0"/>
          <w:sz w:val="18"/>
          <w:szCs w:val="18"/>
        </w:rPr>
        <w:t>**</w:t>
      </w:r>
      <w:r w:rsidRPr="00EA6840">
        <w:rPr>
          <w:snapToGrid w:val="0"/>
          <w:sz w:val="18"/>
          <w:szCs w:val="18"/>
        </w:rPr>
        <w:tab/>
        <w:t>In case a LED light source has more than one light output function the grouping of characteristics (dimensions, power, colour and luminous flux) applies to each element separately.</w:t>
      </w:r>
    </w:p>
    <w:p w:rsidR="0036339F" w:rsidRDefault="0036339F" w:rsidP="0062604B">
      <w:pPr>
        <w:pStyle w:val="para0"/>
        <w:ind w:left="1134" w:firstLine="0"/>
        <w:rPr>
          <w:i/>
          <w:lang w:val="en-US"/>
        </w:rPr>
      </w:pPr>
      <w:r w:rsidRPr="00EA6840">
        <w:rPr>
          <w:b/>
          <w:sz w:val="18"/>
          <w:szCs w:val="18"/>
          <w:lang w:val="en-GB"/>
        </w:rPr>
        <w:t>***</w:t>
      </w:r>
      <w:r w:rsidRPr="00EA6840">
        <w:rPr>
          <w:b/>
          <w:sz w:val="18"/>
          <w:szCs w:val="18"/>
          <w:lang w:val="en-GB"/>
        </w:rPr>
        <w:tab/>
        <w:t>LED substitute light sources only</w:t>
      </w:r>
      <w:r w:rsidRPr="00EA6840">
        <w:rPr>
          <w:lang w:val="en-GB"/>
        </w:rPr>
        <w:t xml:space="preserve"> “</w:t>
      </w:r>
    </w:p>
    <w:p w:rsidR="00575D2C" w:rsidRDefault="00914CE3" w:rsidP="00914CE3">
      <w:pPr>
        <w:pStyle w:val="HChG"/>
      </w:pPr>
      <w:r w:rsidRPr="00525E6C">
        <w:tab/>
      </w:r>
      <w:r w:rsidR="00575D2C" w:rsidRPr="00525E6C">
        <w:t>II.</w:t>
      </w:r>
      <w:r w:rsidR="00575D2C" w:rsidRPr="00525E6C">
        <w:tab/>
        <w:t>Justification</w:t>
      </w:r>
    </w:p>
    <w:p w:rsidR="006F77C4" w:rsidRDefault="006F77C4" w:rsidP="006F77C4"/>
    <w:p w:rsidR="006F77C4" w:rsidRDefault="006F77C4" w:rsidP="006F77C4">
      <w:r>
        <w:t xml:space="preserve">With regard </w:t>
      </w:r>
      <w:r w:rsidR="00CF768F">
        <w:t>to</w:t>
      </w:r>
      <w:r>
        <w:t xml:space="preserve"> the comments of the expert of Germany the following principle is a</w:t>
      </w:r>
      <w:r w:rsidR="00CF768F">
        <w:t>n</w:t>
      </w:r>
      <w:r>
        <w:t xml:space="preserve"> import</w:t>
      </w:r>
      <w:r w:rsidR="00CF768F">
        <w:t>ant</w:t>
      </w:r>
      <w:r>
        <w:t xml:space="preserve"> item:</w:t>
      </w:r>
    </w:p>
    <w:p w:rsidR="006F77C4" w:rsidRDefault="006F77C4" w:rsidP="006F77C4"/>
    <w:p w:rsidR="006F77C4" w:rsidRDefault="006F77C4" w:rsidP="006F77C4">
      <w:pPr>
        <w:rPr>
          <w:b/>
          <w:bCs/>
        </w:rPr>
      </w:pPr>
      <w:r w:rsidRPr="006F77C4">
        <w:rPr>
          <w:b/>
          <w:bCs/>
          <w:u w:val="single"/>
        </w:rPr>
        <w:t>Fundamental Law of Replaceable Light Sources</w:t>
      </w:r>
      <w:proofErr w:type="gramStart"/>
      <w:r w:rsidRPr="006F77C4">
        <w:rPr>
          <w:b/>
          <w:bCs/>
          <w:u w:val="single"/>
        </w:rPr>
        <w:t>:</w:t>
      </w:r>
      <w:proofErr w:type="gramEnd"/>
      <w:r w:rsidRPr="006F77C4">
        <w:rPr>
          <w:b/>
          <w:bCs/>
          <w:u w:val="single"/>
        </w:rPr>
        <w:br/>
      </w:r>
      <w:r w:rsidRPr="006F77C4">
        <w:rPr>
          <w:b/>
          <w:bCs/>
        </w:rPr>
        <w:br/>
      </w:r>
      <w:r>
        <w:rPr>
          <w:b/>
          <w:bCs/>
        </w:rPr>
        <w:t xml:space="preserve">Replaceable light sources of the same category and </w:t>
      </w:r>
      <w:r w:rsidRPr="006F77C4">
        <w:rPr>
          <w:b/>
          <w:bCs/>
        </w:rPr>
        <w:t xml:space="preserve">the same cup-holder-system </w:t>
      </w:r>
      <w:r w:rsidRPr="006F77C4">
        <w:rPr>
          <w:b/>
          <w:bCs/>
        </w:rPr>
        <w:br/>
        <w:t>shall generate in any lamp ,</w:t>
      </w:r>
      <w:r>
        <w:rPr>
          <w:b/>
          <w:bCs/>
        </w:rPr>
        <w:t xml:space="preserve"> </w:t>
      </w:r>
      <w:r w:rsidRPr="006F77C4">
        <w:rPr>
          <w:b/>
          <w:bCs/>
        </w:rPr>
        <w:t xml:space="preserve">which was approved with that category, </w:t>
      </w:r>
      <w:r w:rsidRPr="006F77C4">
        <w:rPr>
          <w:b/>
          <w:bCs/>
        </w:rPr>
        <w:br/>
      </w:r>
      <w:r>
        <w:rPr>
          <w:b/>
          <w:bCs/>
        </w:rPr>
        <w:t>-</w:t>
      </w:r>
      <w:r>
        <w:rPr>
          <w:b/>
          <w:bCs/>
        </w:rPr>
        <w:tab/>
      </w:r>
      <w:r w:rsidRPr="006F77C4">
        <w:rPr>
          <w:b/>
          <w:bCs/>
        </w:rPr>
        <w:t xml:space="preserve">the same lighting performance </w:t>
      </w:r>
      <w:r w:rsidRPr="006F77C4">
        <w:rPr>
          <w:b/>
          <w:bCs/>
        </w:rPr>
        <w:br/>
      </w:r>
      <w:r>
        <w:rPr>
          <w:b/>
          <w:bCs/>
        </w:rPr>
        <w:t>-</w:t>
      </w:r>
      <w:r>
        <w:rPr>
          <w:b/>
          <w:bCs/>
        </w:rPr>
        <w:tab/>
        <w:t xml:space="preserve">independently from </w:t>
      </w:r>
      <w:r w:rsidRPr="006F77C4">
        <w:rPr>
          <w:b/>
          <w:bCs/>
        </w:rPr>
        <w:t xml:space="preserve">the optical construction  of the lamp </w:t>
      </w:r>
      <w:r>
        <w:rPr>
          <w:b/>
          <w:bCs/>
        </w:rPr>
        <w:t>and</w:t>
      </w:r>
      <w:r w:rsidRPr="006F77C4">
        <w:rPr>
          <w:b/>
          <w:bCs/>
        </w:rPr>
        <w:br/>
      </w:r>
      <w:r>
        <w:rPr>
          <w:b/>
          <w:bCs/>
        </w:rPr>
        <w:t>-</w:t>
      </w:r>
      <w:r>
        <w:rPr>
          <w:b/>
          <w:bCs/>
        </w:rPr>
        <w:tab/>
        <w:t xml:space="preserve">independently </w:t>
      </w:r>
      <w:r w:rsidRPr="006F77C4">
        <w:rPr>
          <w:b/>
          <w:bCs/>
        </w:rPr>
        <w:t>from the light  source technology.</w:t>
      </w:r>
    </w:p>
    <w:p w:rsidR="006F77C4" w:rsidRDefault="006F77C4" w:rsidP="006F77C4">
      <w:pPr>
        <w:rPr>
          <w:b/>
          <w:bCs/>
        </w:rPr>
      </w:pPr>
    </w:p>
    <w:p w:rsidR="006F77C4" w:rsidRPr="006F77C4" w:rsidRDefault="006F77C4" w:rsidP="006F77C4"/>
    <w:p w:rsidR="002F0860" w:rsidRPr="00CF768F" w:rsidRDefault="00CF768F" w:rsidP="00CF768F">
      <w:pPr>
        <w:pStyle w:val="endnotetable"/>
        <w:spacing w:before="240" w:line="240" w:lineRule="atLeast"/>
        <w:ind w:hanging="1134"/>
        <w:rPr>
          <w:b/>
          <w:u w:val="single"/>
        </w:rPr>
      </w:pPr>
      <w:r w:rsidRPr="00CF768F">
        <w:rPr>
          <w:b/>
          <w:sz w:val="20"/>
          <w:szCs w:val="20"/>
        </w:rPr>
        <w:t>Therefore is a marking with “G” for general use not acceptable.</w:t>
      </w:r>
    </w:p>
    <w:sectPr w:rsidR="002F0860" w:rsidRPr="00CF768F" w:rsidSect="005D68A6">
      <w:headerReference w:type="even" r:id="rId16"/>
      <w:headerReference w:type="default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15" w:rsidRDefault="00EC1915"/>
  </w:endnote>
  <w:endnote w:type="continuationSeparator" w:id="0">
    <w:p w:rsidR="00EC1915" w:rsidRDefault="00EC1915"/>
  </w:endnote>
  <w:endnote w:type="continuationNotice" w:id="1">
    <w:p w:rsidR="00EC1915" w:rsidRDefault="00EC1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Default="00BE305A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BF57A1">
      <w:rPr>
        <w:b/>
        <w:noProof/>
        <w:sz w:val="18"/>
      </w:rPr>
      <w:t>4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14" w:rsidRDefault="007B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003B38" w:rsidRDefault="00BE305A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BE305A" w:rsidRPr="002C0FEE" w:rsidTr="00732AD2">
      <w:tc>
        <w:tcPr>
          <w:tcW w:w="3346" w:type="dxa"/>
        </w:tcPr>
        <w:p w:rsidR="00BE305A" w:rsidRPr="00503D4F" w:rsidRDefault="00BE305A" w:rsidP="00732AD2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1A0351B9" wp14:editId="0C62DCAF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BE305A" w:rsidRPr="00503D4F" w:rsidRDefault="00BE305A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BE305A" w:rsidRPr="004E78A5" w:rsidRDefault="00BE305A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:rsidR="00BE305A" w:rsidRDefault="00BE30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A330CE" w:rsidRDefault="00BE305A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BF57A1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15" w:rsidRPr="000B175B" w:rsidRDefault="00EC19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1915" w:rsidRPr="00FC68B7" w:rsidRDefault="00EC19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1915" w:rsidRDefault="00EC19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14" w:rsidRDefault="007B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47" w:rsidRDefault="00013847" w:rsidP="007B3014">
    <w:pPr>
      <w:pStyle w:val="Header"/>
      <w:pBdr>
        <w:bottom w:val="none" w:sz="0" w:space="0" w:color="auto"/>
      </w:pBdr>
    </w:pPr>
  </w:p>
  <w:tbl>
    <w:tblPr>
      <w:tblW w:w="97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9"/>
      <w:gridCol w:w="3820"/>
    </w:tblGrid>
    <w:tr w:rsidR="00013847" w:rsidTr="00013847">
      <w:tc>
        <w:tcPr>
          <w:tcW w:w="5959" w:type="dxa"/>
          <w:hideMark/>
        </w:tcPr>
        <w:p w:rsidR="00013847" w:rsidRDefault="00013847" w:rsidP="00013847">
          <w:pPr>
            <w:widowControl w:val="0"/>
            <w:jc w:val="both"/>
            <w:rPr>
              <w:rFonts w:ascii="Century" w:hAnsi="Century"/>
              <w:kern w:val="2"/>
              <w:sz w:val="21"/>
              <w:szCs w:val="22"/>
              <w:lang w:val="en-US" w:eastAsia="ja-JP"/>
            </w:rPr>
          </w:pPr>
          <w:r>
            <w:t>Submitted by the experts from Germany</w:t>
          </w:r>
        </w:p>
      </w:tc>
      <w:tc>
        <w:tcPr>
          <w:tcW w:w="3820" w:type="dxa"/>
          <w:hideMark/>
        </w:tcPr>
        <w:p w:rsidR="00013847" w:rsidRDefault="00013847">
          <w:pPr>
            <w:ind w:left="278"/>
            <w:rPr>
              <w:b/>
              <w:bCs/>
              <w:color w:val="000000"/>
              <w:kern w:val="2"/>
              <w:lang w:val="fr-FR" w:eastAsia="ar-SA"/>
            </w:rPr>
          </w:pPr>
          <w:r>
            <w:rPr>
              <w:u w:val="single"/>
              <w:lang w:eastAsia="ar-SA"/>
            </w:rPr>
            <w:t>Informal</w:t>
          </w:r>
          <w:r>
            <w:rPr>
              <w:u w:val="single"/>
              <w:lang w:val="fr-FR" w:eastAsia="ar-SA"/>
            </w:rPr>
            <w:t xml:space="preserve"> document</w:t>
          </w:r>
          <w:r>
            <w:rPr>
              <w:lang w:val="fr-FR" w:eastAsia="ar-SA"/>
            </w:rPr>
            <w:t xml:space="preserve"> </w:t>
          </w:r>
          <w:r>
            <w:rPr>
              <w:b/>
              <w:bCs/>
              <w:lang w:val="fr-FR" w:eastAsia="ar-SA"/>
            </w:rPr>
            <w:t>GRE-77-</w:t>
          </w:r>
          <w:r w:rsidR="00BF57A1">
            <w:rPr>
              <w:b/>
              <w:bCs/>
              <w:lang w:val="fr-FR" w:eastAsia="ar-SA"/>
            </w:rPr>
            <w:t>29</w:t>
          </w:r>
          <w:bookmarkStart w:id="0" w:name="_GoBack"/>
          <w:bookmarkEnd w:id="0"/>
        </w:p>
        <w:p w:rsidR="00013847" w:rsidRDefault="00013847">
          <w:pPr>
            <w:tabs>
              <w:tab w:val="center" w:pos="4677"/>
              <w:tab w:val="right" w:pos="9355"/>
            </w:tabs>
            <w:ind w:left="278"/>
            <w:rPr>
              <w:lang w:val="en-US" w:eastAsia="ar-SA"/>
            </w:rPr>
          </w:pPr>
          <w:r>
            <w:rPr>
              <w:lang w:eastAsia="ar-SA"/>
            </w:rPr>
            <w:t>(77th GRE, 4-7 April 2017,</w:t>
          </w:r>
        </w:p>
        <w:p w:rsidR="00013847" w:rsidRDefault="00013847" w:rsidP="00013847">
          <w:pPr>
            <w:widowControl w:val="0"/>
            <w:ind w:left="278"/>
            <w:jc w:val="both"/>
            <w:rPr>
              <w:kern w:val="2"/>
              <w:sz w:val="21"/>
              <w:szCs w:val="22"/>
              <w:lang w:val="en-US" w:eastAsia="ja-JP"/>
            </w:rPr>
          </w:pPr>
          <w:r>
            <w:rPr>
              <w:lang w:val="en-TT" w:eastAsia="ar-SA"/>
            </w:rPr>
            <w:t>agenda item 5 )</w:t>
          </w:r>
        </w:p>
      </w:tc>
    </w:tr>
  </w:tbl>
  <w:p w:rsidR="00013847" w:rsidRDefault="00013847" w:rsidP="007B3014">
    <w:pPr>
      <w:pStyle w:val="Header"/>
      <w:pBdr>
        <w:bottom w:val="none" w:sz="0" w:space="0" w:color="auto"/>
      </w:pBdr>
    </w:pPr>
  </w:p>
  <w:p w:rsidR="00013847" w:rsidRDefault="00013847" w:rsidP="007B3014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14" w:rsidRDefault="007B30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7B3014" w:rsidRDefault="00BE305A" w:rsidP="007B301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7B3014" w:rsidRDefault="00BE305A" w:rsidP="007B301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7B4C72" w:rsidRDefault="00BE305A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1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17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26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7"/>
  </w:num>
  <w:num w:numId="5">
    <w:abstractNumId w:val="13"/>
  </w:num>
  <w:num w:numId="6">
    <w:abstractNumId w:val="11"/>
  </w:num>
  <w:num w:numId="7">
    <w:abstractNumId w:val="8"/>
  </w:num>
  <w:num w:numId="8">
    <w:abstractNumId w:val="23"/>
  </w:num>
  <w:num w:numId="9">
    <w:abstractNumId w:val="24"/>
  </w:num>
  <w:num w:numId="10">
    <w:abstractNumId w:val="16"/>
  </w:num>
  <w:num w:numId="11">
    <w:abstractNumId w:val="10"/>
  </w:num>
  <w:num w:numId="12">
    <w:abstractNumId w:val="18"/>
  </w:num>
  <w:num w:numId="13">
    <w:abstractNumId w:val="25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2"/>
  </w:num>
  <w:num w:numId="25">
    <w:abstractNumId w:val="17"/>
  </w:num>
  <w:num w:numId="26">
    <w:abstractNumId w:val="21"/>
  </w:num>
  <w:num w:numId="27">
    <w:abstractNumId w:val="22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847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74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17C9A"/>
    <w:rsid w:val="001216D7"/>
    <w:rsid w:val="00121FBD"/>
    <w:rsid w:val="001220B8"/>
    <w:rsid w:val="00123AE3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0E7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7E8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4653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42E"/>
    <w:rsid w:val="001A07D2"/>
    <w:rsid w:val="001A0B33"/>
    <w:rsid w:val="001A105F"/>
    <w:rsid w:val="001A2058"/>
    <w:rsid w:val="001A2084"/>
    <w:rsid w:val="001A3F39"/>
    <w:rsid w:val="001A4DBF"/>
    <w:rsid w:val="001A6300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6A3A"/>
    <w:rsid w:val="001C7168"/>
    <w:rsid w:val="001C7307"/>
    <w:rsid w:val="001C7895"/>
    <w:rsid w:val="001C7D2D"/>
    <w:rsid w:val="001D1424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E76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0ADD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273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42AD"/>
    <w:rsid w:val="00405494"/>
    <w:rsid w:val="00405941"/>
    <w:rsid w:val="00406906"/>
    <w:rsid w:val="00407784"/>
    <w:rsid w:val="00412D3F"/>
    <w:rsid w:val="00413AAC"/>
    <w:rsid w:val="00413BF9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5ECA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60A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BD1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938"/>
    <w:rsid w:val="00551959"/>
    <w:rsid w:val="00551E8E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5CB2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138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1FD3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7C4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014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2F65"/>
    <w:rsid w:val="00823538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8E0"/>
    <w:rsid w:val="008541AC"/>
    <w:rsid w:val="00854C89"/>
    <w:rsid w:val="00855010"/>
    <w:rsid w:val="00856875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03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0E3A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3FAA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3C44"/>
    <w:rsid w:val="00A34774"/>
    <w:rsid w:val="00A34A4C"/>
    <w:rsid w:val="00A34D75"/>
    <w:rsid w:val="00A36673"/>
    <w:rsid w:val="00A368F2"/>
    <w:rsid w:val="00A36B69"/>
    <w:rsid w:val="00A36E2A"/>
    <w:rsid w:val="00A370E1"/>
    <w:rsid w:val="00A376C2"/>
    <w:rsid w:val="00A37CA0"/>
    <w:rsid w:val="00A406A6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57A1"/>
    <w:rsid w:val="00BF626C"/>
    <w:rsid w:val="00BF631B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3B1B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493B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16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CF768F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2917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40954"/>
    <w:rsid w:val="00E40F22"/>
    <w:rsid w:val="00E41157"/>
    <w:rsid w:val="00E41166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915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D5A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0BDF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ilv.cie.co.at/term/258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BA71-3F28-4622-AB5D-382E2651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1700707</vt:lpstr>
      <vt:lpstr>1700707</vt:lpstr>
    </vt:vector>
  </TitlesOfParts>
  <Company>CSD</Company>
  <LinksUpToDate>false</LinksUpToDate>
  <CharactersWithSpaces>6617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1700707</dc:title>
  <dc:subject>ECE/TRANS/WP.29/GRE/2017/2</dc:subject>
  <dc:creator>AFTER JUNE</dc:creator>
  <cp:lastModifiedBy>Konstantin Glukhenkiy</cp:lastModifiedBy>
  <cp:revision>3</cp:revision>
  <cp:lastPrinted>2017-01-17T14:04:00Z</cp:lastPrinted>
  <dcterms:created xsi:type="dcterms:W3CDTF">2017-04-05T12:14:00Z</dcterms:created>
  <dcterms:modified xsi:type="dcterms:W3CDTF">2017-04-05T12:14:00Z</dcterms:modified>
</cp:coreProperties>
</file>