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57" w:rsidRPr="009A2F0E" w:rsidRDefault="00D37B57" w:rsidP="00D37B57">
      <w:pPr>
        <w:contextualSpacing/>
        <w:jc w:val="center"/>
        <w:rPr>
          <w:rFonts w:ascii="Times New Roman" w:hAnsi="Times New Roman" w:cs="Times New Roman"/>
          <w:sz w:val="24"/>
          <w:szCs w:val="24"/>
        </w:rPr>
      </w:pPr>
    </w:p>
    <w:p w:rsidR="00225E4A" w:rsidRPr="00832107" w:rsidRDefault="00225E4A" w:rsidP="00225E4A">
      <w:pPr>
        <w:pStyle w:val="HChG"/>
        <w:tabs>
          <w:tab w:val="clear" w:pos="851"/>
        </w:tabs>
        <w:spacing w:before="100" w:beforeAutospacing="1" w:after="120"/>
        <w:ind w:left="1701" w:hanging="567"/>
        <w:jc w:val="center"/>
        <w:rPr>
          <w:sz w:val="32"/>
        </w:rPr>
      </w:pPr>
      <w:r>
        <w:rPr>
          <w:sz w:val="32"/>
        </w:rPr>
        <w:t>EQUIVALENCE CRITERIA</w:t>
      </w:r>
    </w:p>
    <w:p w:rsidR="00225E4A" w:rsidRPr="00466B2F" w:rsidRDefault="00225E4A" w:rsidP="00225E4A">
      <w:pPr>
        <w:pStyle w:val="Header"/>
        <w:spacing w:before="100" w:beforeAutospacing="1" w:after="120"/>
        <w:ind w:left="1134" w:right="1134"/>
        <w:jc w:val="center"/>
        <w:rPr>
          <w:rFonts w:ascii="Times New Roman" w:hAnsi="Times New Roman" w:cs="Times New Roman"/>
          <w:sz w:val="20"/>
          <w:lang w:val="en-US"/>
        </w:rPr>
      </w:pPr>
      <w:r w:rsidRPr="00466B2F">
        <w:rPr>
          <w:rFonts w:ascii="Times New Roman" w:hAnsi="Times New Roman" w:cs="Times New Roman"/>
          <w:sz w:val="20"/>
          <w:lang w:val="en-US"/>
        </w:rPr>
        <w:t>FOR SPECIFYING LED SUBSTITUTE LIGHT SOURCE CATEGORIES</w:t>
      </w:r>
      <w:r w:rsidRPr="00466B2F">
        <w:rPr>
          <w:rFonts w:ascii="Times New Roman" w:hAnsi="Times New Roman" w:cs="Times New Roman"/>
          <w:sz w:val="20"/>
          <w:lang w:val="en-US"/>
        </w:rPr>
        <w:br/>
        <w:t>AS EQUIVALENTS FOR CORRESPONDING FILAMENT LIGHT SOURCE CATEGORIES</w:t>
      </w:r>
    </w:p>
    <w:p w:rsidR="00225E4A" w:rsidRPr="00A61DF5" w:rsidRDefault="00225E4A" w:rsidP="00225E4A">
      <w:pPr>
        <w:ind w:left="1701" w:right="1134" w:hanging="567"/>
        <w:rPr>
          <w:lang w:val="en-US"/>
        </w:rPr>
      </w:pPr>
    </w:p>
    <w:p w:rsidR="00225E4A" w:rsidRPr="00142201" w:rsidRDefault="00225E4A" w:rsidP="00225E4A">
      <w:pPr>
        <w:pStyle w:val="Heading1"/>
        <w:spacing w:after="120"/>
        <w:ind w:left="1701" w:right="1134" w:hanging="567"/>
        <w:rPr>
          <w:b/>
        </w:rPr>
      </w:pPr>
      <w:r>
        <w:rPr>
          <w:b/>
        </w:rPr>
        <w:t>1</w:t>
      </w:r>
      <w:r w:rsidRPr="00832107">
        <w:rPr>
          <w:b/>
        </w:rPr>
        <w:t>.</w:t>
      </w:r>
      <w:r w:rsidRPr="00832107">
        <w:rPr>
          <w:b/>
        </w:rPr>
        <w:tab/>
      </w:r>
      <w:r>
        <w:rPr>
          <w:b/>
        </w:rPr>
        <w:t>INTRODUCTION</w:t>
      </w:r>
    </w:p>
    <w:p w:rsidR="00225E4A" w:rsidRDefault="00225E4A" w:rsidP="00225E4A">
      <w:pPr>
        <w:pStyle w:val="PlainText"/>
        <w:spacing w:after="120"/>
        <w:ind w:left="1134" w:right="1134"/>
        <w:jc w:val="both"/>
        <w:rPr>
          <w:rFonts w:cs="Times New Roman"/>
        </w:rPr>
      </w:pPr>
      <w:r w:rsidRPr="00832107">
        <w:rPr>
          <w:rFonts w:cs="Times New Roman"/>
        </w:rPr>
        <w:t xml:space="preserve">At </w:t>
      </w:r>
      <w:r>
        <w:rPr>
          <w:rFonts w:cs="Times New Roman"/>
        </w:rPr>
        <w:t>the</w:t>
      </w:r>
      <w:r w:rsidRPr="00832107">
        <w:rPr>
          <w:rFonts w:cs="Times New Roman"/>
        </w:rPr>
        <w:t xml:space="preserve"> </w:t>
      </w:r>
      <w:r>
        <w:rPr>
          <w:rFonts w:cs="Times New Roman"/>
        </w:rPr>
        <w:t>sixty-ninth (</w:t>
      </w:r>
      <w:r w:rsidRPr="00793FF2">
        <w:rPr>
          <w:rFonts w:cs="Times New Roman"/>
        </w:rPr>
        <w:t>GRE-69-41</w:t>
      </w:r>
      <w:r>
        <w:rPr>
          <w:rFonts w:cs="Times New Roman"/>
        </w:rPr>
        <w:t xml:space="preserve">) and at the seventieth GRE </w:t>
      </w:r>
      <w:r w:rsidRPr="00832107">
        <w:rPr>
          <w:rFonts w:cs="Times New Roman"/>
        </w:rPr>
        <w:t>session</w:t>
      </w:r>
      <w:r>
        <w:rPr>
          <w:rFonts w:cs="Times New Roman"/>
        </w:rPr>
        <w:t xml:space="preserve"> (GRE-70-47)</w:t>
      </w:r>
      <w:r w:rsidRPr="00832107">
        <w:rPr>
          <w:rFonts w:cs="Times New Roman"/>
        </w:rPr>
        <w:t xml:space="preserve">, </w:t>
      </w:r>
      <w:r>
        <w:rPr>
          <w:rFonts w:cs="Times New Roman"/>
        </w:rPr>
        <w:t xml:space="preserve">GTB presented their motivation and a possible approach for the introduction of LED Substitute light sources as alternative replacement parts in type-approved devices for Regulation No. 37 filament light sources. </w:t>
      </w:r>
    </w:p>
    <w:p w:rsidR="00225E4A" w:rsidRDefault="00225E4A" w:rsidP="00225E4A">
      <w:pPr>
        <w:pStyle w:val="PlainText"/>
        <w:spacing w:after="120"/>
        <w:ind w:left="1134" w:right="1134"/>
        <w:jc w:val="both"/>
        <w:rPr>
          <w:rFonts w:cs="Times New Roman"/>
        </w:rPr>
      </w:pPr>
      <w:r>
        <w:rPr>
          <w:rFonts w:cs="Times New Roman"/>
        </w:rPr>
        <w:t>Compared to the tungsten filament technology the LED technology offers the opportunity of highly energy efficient light sources in combination with long lifetime values.</w:t>
      </w:r>
    </w:p>
    <w:p w:rsidR="00225E4A" w:rsidRDefault="00225E4A" w:rsidP="00225E4A">
      <w:pPr>
        <w:pStyle w:val="PlainText"/>
        <w:spacing w:after="120"/>
        <w:ind w:left="1134" w:right="1134"/>
        <w:jc w:val="both"/>
        <w:rPr>
          <w:rFonts w:cs="Times New Roman"/>
        </w:rPr>
      </w:pPr>
      <w:r>
        <w:rPr>
          <w:rFonts w:cs="Times New Roman"/>
        </w:rPr>
        <w:t>To not compromise traffic safety after replacement of a filament light source according to Regulation No. 37 by an LED substitute light source according to Regulation No. 128, criteria for technical equivalence have to be established.  This document describes such criteria and gives guidance for the specification of new LED substitute light source categories in Regulation No. 128.</w:t>
      </w:r>
    </w:p>
    <w:p w:rsidR="00225E4A" w:rsidRPr="00A61DF5" w:rsidRDefault="00225E4A" w:rsidP="00225E4A">
      <w:pPr>
        <w:ind w:left="1701" w:right="1134" w:hanging="567"/>
        <w:jc w:val="both"/>
        <w:rPr>
          <w:lang w:val="en-US"/>
        </w:rPr>
      </w:pPr>
    </w:p>
    <w:p w:rsidR="00225E4A" w:rsidRDefault="00225E4A" w:rsidP="00225E4A">
      <w:pPr>
        <w:pStyle w:val="Heading1"/>
        <w:spacing w:after="120"/>
        <w:ind w:left="1701" w:right="1134" w:hanging="567"/>
        <w:rPr>
          <w:b/>
        </w:rPr>
      </w:pPr>
      <w:r>
        <w:rPr>
          <w:b/>
        </w:rPr>
        <w:t>2</w:t>
      </w:r>
      <w:r w:rsidRPr="00832107">
        <w:rPr>
          <w:b/>
        </w:rPr>
        <w:t>.</w:t>
      </w:r>
      <w:r w:rsidRPr="00832107">
        <w:rPr>
          <w:b/>
        </w:rPr>
        <w:tab/>
      </w:r>
      <w:r>
        <w:rPr>
          <w:b/>
        </w:rPr>
        <w:t>COMPARING FILAMENT LAMPS AND LED LIGHT SOURCES</w:t>
      </w:r>
    </w:p>
    <w:p w:rsidR="00225E4A" w:rsidRDefault="00225E4A" w:rsidP="00225E4A">
      <w:pPr>
        <w:pStyle w:val="PlainText"/>
        <w:spacing w:after="120"/>
        <w:ind w:left="1134" w:right="1134"/>
        <w:jc w:val="both"/>
        <w:rPr>
          <w:rFonts w:cs="Times New Roman"/>
        </w:rPr>
      </w:pPr>
      <w:r>
        <w:rPr>
          <w:rFonts w:cs="Times New Roman"/>
        </w:rPr>
        <w:t xml:space="preserve">Several electrical, geometrical, photometrical and thermal parameters shall be specified to describe </w:t>
      </w:r>
      <w:r w:rsidRPr="00953932">
        <w:rPr>
          <w:rFonts w:cs="Times New Roman"/>
        </w:rPr>
        <w:t>equivalence</w:t>
      </w:r>
      <w:r>
        <w:rPr>
          <w:rFonts w:cs="Times New Roman"/>
        </w:rPr>
        <w:t xml:space="preserve"> between LED substitute light sources and filament light sources of the corresponding Regulation No. 37 category.</w:t>
      </w:r>
    </w:p>
    <w:p w:rsidR="00225E4A" w:rsidRDefault="00225E4A" w:rsidP="00225E4A">
      <w:pPr>
        <w:pStyle w:val="PlainText"/>
        <w:spacing w:after="120"/>
        <w:ind w:left="1701" w:right="1134" w:hanging="567"/>
        <w:jc w:val="both"/>
        <w:rPr>
          <w:rFonts w:cs="Times New Roman"/>
        </w:rPr>
      </w:pPr>
      <w:r>
        <w:rPr>
          <w:rFonts w:cs="Times New Roman"/>
        </w:rPr>
        <w:t>2.1.</w:t>
      </w:r>
      <w:r>
        <w:rPr>
          <w:rFonts w:cs="Times New Roman"/>
        </w:rPr>
        <w:tab/>
      </w:r>
      <w:r w:rsidRPr="00CE69DC">
        <w:rPr>
          <w:rFonts w:cs="Times New Roman"/>
        </w:rPr>
        <w:t xml:space="preserve">Parameters, which are not inherently linked to the light generation </w:t>
      </w:r>
      <w:r>
        <w:rPr>
          <w:rFonts w:cs="Times New Roman"/>
        </w:rPr>
        <w:t>technology,</w:t>
      </w:r>
      <w:r w:rsidRPr="00CE69DC">
        <w:rPr>
          <w:rFonts w:cs="Times New Roman"/>
        </w:rPr>
        <w:t xml:space="preserve"> </w:t>
      </w:r>
      <w:r>
        <w:rPr>
          <w:rFonts w:cs="Times New Roman"/>
        </w:rPr>
        <w:t>shall</w:t>
      </w:r>
      <w:r w:rsidRPr="00CE69DC">
        <w:rPr>
          <w:rFonts w:cs="Times New Roman"/>
        </w:rPr>
        <w:t xml:space="preserve"> be the </w:t>
      </w:r>
      <w:r w:rsidRPr="00953932">
        <w:rPr>
          <w:rFonts w:cs="Times New Roman"/>
        </w:rPr>
        <w:t>same</w:t>
      </w:r>
      <w:r w:rsidRPr="00CE69DC">
        <w:rPr>
          <w:rFonts w:cs="Times New Roman"/>
        </w:rPr>
        <w:t>, for example cap</w:t>
      </w:r>
      <w:r>
        <w:rPr>
          <w:rFonts w:cs="Times New Roman"/>
        </w:rPr>
        <w:t xml:space="preserve"> dimensions</w:t>
      </w:r>
      <w:r w:rsidRPr="00CE69DC">
        <w:rPr>
          <w:rFonts w:cs="Times New Roman"/>
        </w:rPr>
        <w:t xml:space="preserve"> (IEC 60061), electrical connector, test voltage, </w:t>
      </w:r>
      <w:r>
        <w:rPr>
          <w:rFonts w:cs="Times New Roman"/>
        </w:rPr>
        <w:t xml:space="preserve">luminous flux, </w:t>
      </w:r>
      <w:proofErr w:type="gramStart"/>
      <w:r>
        <w:rPr>
          <w:rFonts w:cs="Times New Roman"/>
        </w:rPr>
        <w:t>colour</w:t>
      </w:r>
      <w:proofErr w:type="gramEnd"/>
      <w:r>
        <w:rPr>
          <w:rFonts w:cs="Times New Roman"/>
        </w:rPr>
        <w:t xml:space="preserve"> </w:t>
      </w:r>
      <w:r w:rsidRPr="00CE69DC">
        <w:rPr>
          <w:rFonts w:cs="Times New Roman"/>
        </w:rPr>
        <w:t xml:space="preserve">and </w:t>
      </w:r>
      <w:r w:rsidRPr="00363E3B">
        <w:rPr>
          <w:rFonts w:cs="Times New Roman"/>
        </w:rPr>
        <w:t>light centre length.</w:t>
      </w:r>
      <w:r w:rsidRPr="005273B3">
        <w:rPr>
          <w:rFonts w:cs="Times New Roman"/>
        </w:rPr>
        <w:t xml:space="preserve"> </w:t>
      </w:r>
      <w:r>
        <w:rPr>
          <w:rFonts w:cs="Times New Roman"/>
        </w:rPr>
        <w:t xml:space="preserve"> The </w:t>
      </w:r>
      <w:r w:rsidRPr="00CE69DC">
        <w:rPr>
          <w:rFonts w:cs="Times New Roman"/>
        </w:rPr>
        <w:t>maximum outline dimension</w:t>
      </w:r>
      <w:r>
        <w:rPr>
          <w:rFonts w:cs="Times New Roman"/>
        </w:rPr>
        <w:t xml:space="preserve"> is linked to the incandescent technology and shall remain the same, too.</w:t>
      </w:r>
    </w:p>
    <w:p w:rsidR="00225E4A" w:rsidRDefault="00225E4A" w:rsidP="00225E4A">
      <w:pPr>
        <w:pStyle w:val="PlainText"/>
        <w:spacing w:after="120"/>
        <w:ind w:left="1701" w:right="1134" w:hanging="567"/>
        <w:jc w:val="both"/>
        <w:rPr>
          <w:rFonts w:cs="Times New Roman"/>
        </w:rPr>
      </w:pPr>
      <w:r>
        <w:rPr>
          <w:rFonts w:cs="Times New Roman"/>
        </w:rPr>
        <w:t>2.2.</w:t>
      </w:r>
      <w:r>
        <w:rPr>
          <w:rFonts w:cs="Times New Roman"/>
        </w:rPr>
        <w:tab/>
        <w:t xml:space="preserve">In </w:t>
      </w:r>
      <w:r w:rsidRPr="00CE69DC">
        <w:rPr>
          <w:rFonts w:cs="Times New Roman"/>
        </w:rPr>
        <w:t xml:space="preserve">filament </w:t>
      </w:r>
      <w:r>
        <w:rPr>
          <w:rFonts w:cs="Times New Roman"/>
        </w:rPr>
        <w:t>light sources</w:t>
      </w:r>
      <w:r w:rsidRPr="00CE69DC">
        <w:rPr>
          <w:rFonts w:cs="Times New Roman"/>
        </w:rPr>
        <w:t xml:space="preserve"> densely coiled </w:t>
      </w:r>
      <w:r>
        <w:rPr>
          <w:rFonts w:cs="Times New Roman"/>
        </w:rPr>
        <w:t xml:space="preserve">tungsten </w:t>
      </w:r>
      <w:r w:rsidRPr="00CE69DC">
        <w:rPr>
          <w:rFonts w:cs="Times New Roman"/>
        </w:rPr>
        <w:t xml:space="preserve">wires </w:t>
      </w:r>
      <w:r>
        <w:rPr>
          <w:rFonts w:cs="Times New Roman"/>
        </w:rPr>
        <w:t>form the light emitting area,</w:t>
      </w:r>
      <w:r w:rsidRPr="00CE69DC">
        <w:rPr>
          <w:rFonts w:cs="Times New Roman"/>
        </w:rPr>
        <w:t xml:space="preserve"> wh</w:t>
      </w:r>
      <w:r>
        <w:rPr>
          <w:rFonts w:cs="Times New Roman"/>
        </w:rPr>
        <w:t>ereof the</w:t>
      </w:r>
      <w:r w:rsidRPr="00CE69DC">
        <w:rPr>
          <w:rFonts w:cs="Times New Roman"/>
        </w:rPr>
        <w:t xml:space="preserve"> </w:t>
      </w:r>
      <w:r>
        <w:rPr>
          <w:rFonts w:cs="Times New Roman"/>
        </w:rPr>
        <w:t>shape</w:t>
      </w:r>
      <w:r w:rsidRPr="00CE69DC">
        <w:rPr>
          <w:rFonts w:cs="Times New Roman"/>
        </w:rPr>
        <w:t xml:space="preserve"> </w:t>
      </w:r>
      <w:r>
        <w:rPr>
          <w:rFonts w:cs="Times New Roman"/>
        </w:rPr>
        <w:t>(≈ cylindrical)</w:t>
      </w:r>
      <w:r w:rsidRPr="00CE69DC">
        <w:rPr>
          <w:rFonts w:cs="Times New Roman"/>
        </w:rPr>
        <w:t xml:space="preserve"> </w:t>
      </w:r>
      <w:r>
        <w:rPr>
          <w:rFonts w:cs="Times New Roman"/>
        </w:rPr>
        <w:t>and the radiation pattern show limited variations in practice.</w:t>
      </w:r>
      <w:r w:rsidRPr="00CE69DC">
        <w:rPr>
          <w:rFonts w:cs="Times New Roman"/>
        </w:rPr>
        <w:t xml:space="preserve"> </w:t>
      </w:r>
      <w:r>
        <w:rPr>
          <w:rFonts w:cs="Times New Roman"/>
        </w:rPr>
        <w:t xml:space="preserve">In </w:t>
      </w:r>
      <w:r w:rsidRPr="00CE69DC">
        <w:rPr>
          <w:rFonts w:cs="Times New Roman"/>
        </w:rPr>
        <w:t xml:space="preserve">LED based solutions </w:t>
      </w:r>
      <w:r>
        <w:rPr>
          <w:rFonts w:cs="Times New Roman"/>
        </w:rPr>
        <w:t>the light emitting area can be quite diverse in terms of size and homogeneity; as well the radiation characteristics can significantly vary depending on the individual design.  Therefore,</w:t>
      </w:r>
      <w:r w:rsidRPr="00CE69DC">
        <w:rPr>
          <w:rFonts w:cs="Times New Roman"/>
        </w:rPr>
        <w:t xml:space="preserve"> </w:t>
      </w:r>
      <w:r>
        <w:rPr>
          <w:rFonts w:cs="Times New Roman"/>
        </w:rPr>
        <w:t xml:space="preserve">this type of parameters of </w:t>
      </w:r>
      <w:r w:rsidRPr="00CE69DC">
        <w:rPr>
          <w:rFonts w:cs="Times New Roman"/>
        </w:rPr>
        <w:t xml:space="preserve">LED </w:t>
      </w:r>
      <w:r>
        <w:rPr>
          <w:rFonts w:cs="Times New Roman"/>
        </w:rPr>
        <w:t>substitute</w:t>
      </w:r>
      <w:r w:rsidRPr="00CE69DC">
        <w:rPr>
          <w:rFonts w:cs="Times New Roman"/>
        </w:rPr>
        <w:t xml:space="preserve"> light sources </w:t>
      </w:r>
      <w:r>
        <w:rPr>
          <w:rFonts w:cs="Times New Roman"/>
        </w:rPr>
        <w:t>shall</w:t>
      </w:r>
      <w:r w:rsidRPr="00CE69DC">
        <w:rPr>
          <w:rFonts w:cs="Times New Roman"/>
        </w:rPr>
        <w:t xml:space="preserve"> </w:t>
      </w:r>
      <w:r w:rsidRPr="00953932">
        <w:rPr>
          <w:rFonts w:cs="Times New Roman"/>
        </w:rPr>
        <w:t>similar</w:t>
      </w:r>
      <w:r w:rsidRPr="00CE69DC">
        <w:rPr>
          <w:rFonts w:cs="Times New Roman"/>
        </w:rPr>
        <w:t xml:space="preserve"> to </w:t>
      </w:r>
      <w:r>
        <w:rPr>
          <w:rFonts w:cs="Times New Roman"/>
        </w:rPr>
        <w:t>the behaviour of corresponding filament</w:t>
      </w:r>
      <w:r w:rsidRPr="00CE69DC">
        <w:rPr>
          <w:rFonts w:cs="Times New Roman"/>
        </w:rPr>
        <w:t xml:space="preserve"> </w:t>
      </w:r>
      <w:r>
        <w:rPr>
          <w:rFonts w:cs="Times New Roman"/>
        </w:rPr>
        <w:t>light sources</w:t>
      </w:r>
      <w:r w:rsidRPr="00CE69DC">
        <w:rPr>
          <w:rFonts w:cs="Times New Roman"/>
        </w:rPr>
        <w:t>.</w:t>
      </w:r>
    </w:p>
    <w:p w:rsidR="00225E4A" w:rsidRPr="00A30B82" w:rsidRDefault="00225E4A" w:rsidP="00225E4A">
      <w:pPr>
        <w:pStyle w:val="PlainText"/>
        <w:spacing w:after="120"/>
        <w:ind w:left="1701" w:right="1134" w:hanging="567"/>
        <w:jc w:val="both"/>
        <w:rPr>
          <w:rFonts w:cs="Times New Roman"/>
        </w:rPr>
      </w:pPr>
      <w:r>
        <w:rPr>
          <w:rFonts w:cs="Times New Roman"/>
        </w:rPr>
        <w:t>2.3.</w:t>
      </w:r>
      <w:r>
        <w:rPr>
          <w:rFonts w:cs="Times New Roman"/>
        </w:rPr>
        <w:tab/>
      </w:r>
      <w:r w:rsidRPr="00A30B82">
        <w:rPr>
          <w:rFonts w:cs="Times New Roman"/>
        </w:rPr>
        <w:t xml:space="preserve">In comparison to filament light sources certain parameters of LED light sources are </w:t>
      </w:r>
      <w:r w:rsidRPr="00953932">
        <w:rPr>
          <w:rFonts w:cs="Times New Roman"/>
        </w:rPr>
        <w:t>different</w:t>
      </w:r>
      <w:r w:rsidRPr="00A30B82">
        <w:rPr>
          <w:rFonts w:cs="Times New Roman"/>
        </w:rPr>
        <w:t xml:space="preserve"> due to the distinct principle of light generation. </w:t>
      </w:r>
      <w:r>
        <w:rPr>
          <w:rFonts w:cs="Times New Roman"/>
        </w:rPr>
        <w:t xml:space="preserve"> With</w:t>
      </w:r>
      <w:r w:rsidRPr="00A30B82">
        <w:rPr>
          <w:rFonts w:cs="Times New Roman"/>
        </w:rPr>
        <w:t xml:space="preserve"> </w:t>
      </w:r>
      <w:r>
        <w:rPr>
          <w:rFonts w:cs="Times New Roman"/>
        </w:rPr>
        <w:t>LED technology</w:t>
      </w:r>
      <w:r w:rsidRPr="00A30B82">
        <w:rPr>
          <w:rFonts w:cs="Times New Roman"/>
        </w:rPr>
        <w:t xml:space="preserve"> the same amount of light is usually generated with significantly less energy compared to incandescent technology</w:t>
      </w:r>
      <w:r>
        <w:rPr>
          <w:rFonts w:cs="Times New Roman"/>
        </w:rPr>
        <w:t>,</w:t>
      </w:r>
      <w:r w:rsidRPr="00A30B82">
        <w:rPr>
          <w:rFonts w:cs="Times New Roman"/>
        </w:rPr>
        <w:t xml:space="preserve"> and the spectral composition (infrared versus visible radiation, but also within the visible range) differs between both technologies.</w:t>
      </w:r>
      <w:r>
        <w:rPr>
          <w:rFonts w:cs="Times New Roman"/>
        </w:rPr>
        <w:t xml:space="preserve"> The internal electrical circuit is different resulting in different failure modes.</w:t>
      </w:r>
    </w:p>
    <w:p w:rsidR="00225E4A" w:rsidRDefault="00225E4A" w:rsidP="00225E4A">
      <w:pPr>
        <w:pStyle w:val="PlainText"/>
        <w:spacing w:after="120"/>
        <w:ind w:left="1701" w:right="1134" w:hanging="567"/>
        <w:jc w:val="both"/>
        <w:rPr>
          <w:rFonts w:cs="Times New Roman"/>
        </w:rPr>
      </w:pPr>
      <w:r>
        <w:rPr>
          <w:rFonts w:cs="Times New Roman"/>
        </w:rPr>
        <w:t>2.4.</w:t>
      </w:r>
      <w:r>
        <w:rPr>
          <w:rFonts w:cs="Times New Roman"/>
        </w:rPr>
        <w:tab/>
      </w:r>
      <w:r w:rsidRPr="007639CB">
        <w:rPr>
          <w:rFonts w:cs="Times New Roman"/>
        </w:rPr>
        <w:t xml:space="preserve">Further, </w:t>
      </w:r>
      <w:r>
        <w:rPr>
          <w:rFonts w:cs="Times New Roman"/>
        </w:rPr>
        <w:t>the</w:t>
      </w:r>
      <w:r w:rsidRPr="007639CB">
        <w:rPr>
          <w:rFonts w:cs="Times New Roman"/>
        </w:rPr>
        <w:t xml:space="preserve"> different technology</w:t>
      </w:r>
      <w:r>
        <w:rPr>
          <w:rFonts w:cs="Times New Roman"/>
        </w:rPr>
        <w:t xml:space="preserve"> of light generation</w:t>
      </w:r>
      <w:r w:rsidRPr="007639CB">
        <w:rPr>
          <w:rFonts w:cs="Times New Roman"/>
        </w:rPr>
        <w:t xml:space="preserve"> makes it necessary to consider</w:t>
      </w:r>
      <w:r>
        <w:rPr>
          <w:rFonts w:cs="Times New Roman"/>
        </w:rPr>
        <w:t xml:space="preserve"> an</w:t>
      </w:r>
      <w:r w:rsidRPr="007639CB">
        <w:rPr>
          <w:rFonts w:cs="Times New Roman"/>
        </w:rPr>
        <w:t xml:space="preserve"> </w:t>
      </w:r>
      <w:r w:rsidRPr="00953932">
        <w:rPr>
          <w:rFonts w:cs="Times New Roman"/>
        </w:rPr>
        <w:t>additional</w:t>
      </w:r>
      <w:r>
        <w:rPr>
          <w:rFonts w:cs="Times New Roman"/>
        </w:rPr>
        <w:t xml:space="preserve"> requirement.</w:t>
      </w:r>
      <w:r w:rsidRPr="007639CB">
        <w:rPr>
          <w:rFonts w:cs="Times New Roman"/>
        </w:rPr>
        <w:t xml:space="preserve"> </w:t>
      </w:r>
      <w:r>
        <w:rPr>
          <w:rFonts w:cs="Times New Roman"/>
        </w:rPr>
        <w:t xml:space="preserve"> </w:t>
      </w:r>
      <w:r w:rsidRPr="007639CB">
        <w:rPr>
          <w:rFonts w:cs="Times New Roman"/>
        </w:rPr>
        <w:t>In case of LED</w:t>
      </w:r>
      <w:r>
        <w:rPr>
          <w:rFonts w:cs="Times New Roman"/>
        </w:rPr>
        <w:t xml:space="preserve"> solution</w:t>
      </w:r>
      <w:r w:rsidRPr="007639CB">
        <w:rPr>
          <w:rFonts w:cs="Times New Roman"/>
        </w:rPr>
        <w:t xml:space="preserve">s the photometrical values are usually quantified </w:t>
      </w:r>
      <w:r w:rsidRPr="00270B6B">
        <w:rPr>
          <w:rFonts w:cs="Times New Roman"/>
        </w:rPr>
        <w:t xml:space="preserve">under initial </w:t>
      </w:r>
      <w:r>
        <w:rPr>
          <w:rFonts w:cs="Times New Roman"/>
        </w:rPr>
        <w:t xml:space="preserve">“cold” </w:t>
      </w:r>
      <w:r w:rsidRPr="00270B6B">
        <w:rPr>
          <w:rFonts w:cs="Times New Roman"/>
        </w:rPr>
        <w:t xml:space="preserve">and stabilized </w:t>
      </w:r>
      <w:r>
        <w:rPr>
          <w:rFonts w:cs="Times New Roman"/>
        </w:rPr>
        <w:t xml:space="preserve">“hot” conditions in order to control </w:t>
      </w:r>
      <w:r w:rsidRPr="007639CB">
        <w:rPr>
          <w:rFonts w:cs="Times New Roman"/>
        </w:rPr>
        <w:t xml:space="preserve">the emission behaviour </w:t>
      </w:r>
      <w:r>
        <w:rPr>
          <w:rFonts w:cs="Times New Roman"/>
        </w:rPr>
        <w:t>in</w:t>
      </w:r>
      <w:r w:rsidRPr="007639CB">
        <w:rPr>
          <w:rFonts w:cs="Times New Roman"/>
        </w:rPr>
        <w:t xml:space="preserve"> changing thermal </w:t>
      </w:r>
      <w:r>
        <w:rPr>
          <w:rFonts w:cs="Times New Roman"/>
        </w:rPr>
        <w:t>situations.</w:t>
      </w:r>
    </w:p>
    <w:p w:rsidR="00225E4A" w:rsidRDefault="00225E4A" w:rsidP="00225E4A">
      <w:pPr>
        <w:pStyle w:val="PlainText"/>
        <w:spacing w:after="120"/>
        <w:ind w:left="1134" w:right="1134"/>
        <w:jc w:val="both"/>
        <w:rPr>
          <w:rFonts w:cs="Times New Roman"/>
        </w:rPr>
      </w:pPr>
      <w:r>
        <w:rPr>
          <w:rFonts w:cs="Times New Roman"/>
        </w:rPr>
        <w:lastRenderedPageBreak/>
        <w:t>Based on these facts</w:t>
      </w:r>
      <w:r w:rsidRPr="007639CB">
        <w:rPr>
          <w:rFonts w:cs="Times New Roman"/>
        </w:rPr>
        <w:t xml:space="preserve"> the </w:t>
      </w:r>
      <w:r>
        <w:rPr>
          <w:rFonts w:cs="Times New Roman"/>
        </w:rPr>
        <w:t xml:space="preserve">parameters to which these </w:t>
      </w:r>
      <w:r w:rsidRPr="007639CB">
        <w:rPr>
          <w:rFonts w:cs="Times New Roman"/>
        </w:rPr>
        <w:t xml:space="preserve">equivalence </w:t>
      </w:r>
      <w:r>
        <w:rPr>
          <w:rFonts w:cs="Times New Roman"/>
        </w:rPr>
        <w:t xml:space="preserve">requirements apply are grouped into </w:t>
      </w:r>
      <w:r w:rsidRPr="007639CB">
        <w:rPr>
          <w:rFonts w:cs="Times New Roman"/>
        </w:rPr>
        <w:t>four sets</w:t>
      </w:r>
      <w:r>
        <w:rPr>
          <w:rFonts w:cs="Times New Roman"/>
        </w:rPr>
        <w:t xml:space="preserve"> of criteria (</w:t>
      </w:r>
      <w:r w:rsidRPr="007639CB">
        <w:rPr>
          <w:rFonts w:cs="Times New Roman"/>
        </w:rPr>
        <w:t>“same”, “similar”, “different</w:t>
      </w:r>
      <w:r>
        <w:rPr>
          <w:rFonts w:cs="Times New Roman"/>
        </w:rPr>
        <w:t>” and</w:t>
      </w:r>
      <w:r w:rsidRPr="00270B6B">
        <w:rPr>
          <w:rFonts w:cs="Times New Roman"/>
        </w:rPr>
        <w:t xml:space="preserve"> “additional”</w:t>
      </w:r>
      <w:r>
        <w:rPr>
          <w:rFonts w:cs="Times New Roman"/>
        </w:rPr>
        <w:t>) and described in the following section</w:t>
      </w:r>
      <w:r w:rsidRPr="00270B6B">
        <w:rPr>
          <w:rFonts w:cs="Times New Roman"/>
        </w:rPr>
        <w:t>.</w:t>
      </w:r>
    </w:p>
    <w:p w:rsidR="00225E4A" w:rsidRPr="00A61DF5" w:rsidRDefault="00225E4A" w:rsidP="00225E4A">
      <w:pPr>
        <w:ind w:left="1701" w:right="1134" w:hanging="567"/>
        <w:jc w:val="both"/>
        <w:rPr>
          <w:lang w:val="en-US"/>
        </w:rPr>
      </w:pPr>
    </w:p>
    <w:p w:rsidR="00225E4A" w:rsidRPr="00A3633B" w:rsidRDefault="00225E4A" w:rsidP="00225E4A">
      <w:pPr>
        <w:pStyle w:val="Heading1"/>
        <w:spacing w:after="120"/>
        <w:ind w:left="1701" w:right="1134" w:hanging="567"/>
        <w:rPr>
          <w:b/>
        </w:rPr>
      </w:pPr>
      <w:r>
        <w:rPr>
          <w:b/>
        </w:rPr>
        <w:t>3</w:t>
      </w:r>
      <w:r w:rsidRPr="00832107">
        <w:rPr>
          <w:b/>
        </w:rPr>
        <w:t>.</w:t>
      </w:r>
      <w:r w:rsidRPr="00832107">
        <w:rPr>
          <w:b/>
        </w:rPr>
        <w:tab/>
      </w:r>
      <w:r>
        <w:rPr>
          <w:b/>
        </w:rPr>
        <w:t>REQUIREMENTS FOR EACH RELEVANT PARAMETER</w:t>
      </w:r>
    </w:p>
    <w:p w:rsidR="00225E4A" w:rsidRDefault="00225E4A" w:rsidP="00225E4A">
      <w:pPr>
        <w:pStyle w:val="PlainText"/>
        <w:spacing w:after="120"/>
        <w:ind w:left="1701" w:right="1134" w:hanging="567"/>
        <w:jc w:val="both"/>
        <w:rPr>
          <w:rFonts w:cs="Times New Roman"/>
        </w:rPr>
      </w:pPr>
      <w:r>
        <w:rPr>
          <w:rFonts w:cs="Times New Roman"/>
        </w:rPr>
        <w:t>3.1.</w:t>
      </w:r>
      <w:r>
        <w:rPr>
          <w:rFonts w:cs="Times New Roman"/>
        </w:rPr>
        <w:tab/>
        <w:t>Parameters with the same values</w:t>
      </w:r>
    </w:p>
    <w:p w:rsidR="00225E4A" w:rsidRPr="007173C0" w:rsidRDefault="00225E4A" w:rsidP="00225E4A">
      <w:pPr>
        <w:pStyle w:val="PlainText"/>
        <w:spacing w:after="120"/>
        <w:ind w:left="1701" w:right="1134"/>
        <w:jc w:val="both"/>
        <w:rPr>
          <w:rFonts w:cs="Times New Roman"/>
        </w:rPr>
      </w:pPr>
      <w:r w:rsidRPr="007173C0">
        <w:rPr>
          <w:rFonts w:cs="Times New Roman"/>
        </w:rPr>
        <w:t xml:space="preserve">The following parameters of an LED </w:t>
      </w:r>
      <w:r>
        <w:rPr>
          <w:rFonts w:cs="Times New Roman"/>
        </w:rPr>
        <w:t>substitute</w:t>
      </w:r>
      <w:r w:rsidRPr="007173C0">
        <w:rPr>
          <w:rFonts w:cs="Times New Roman"/>
        </w:rPr>
        <w:t xml:space="preserve"> light source category shall be the </w:t>
      </w:r>
      <w:r w:rsidRPr="00953932">
        <w:rPr>
          <w:rFonts w:cs="Times New Roman"/>
        </w:rPr>
        <w:t>same</w:t>
      </w:r>
      <w:r w:rsidRPr="007173C0">
        <w:rPr>
          <w:rFonts w:cs="Times New Roman"/>
        </w:rPr>
        <w:t xml:space="preserve"> as in the data sheet of the corresponding Regulation No. 37 light source category, including the tolerances:</w:t>
      </w:r>
    </w:p>
    <w:p w:rsidR="00225E4A" w:rsidRPr="007173C0" w:rsidRDefault="00225E4A" w:rsidP="00225E4A">
      <w:pPr>
        <w:pStyle w:val="PlainText"/>
        <w:spacing w:after="120"/>
        <w:ind w:left="1701" w:right="1134" w:hanging="567"/>
        <w:jc w:val="both"/>
        <w:rPr>
          <w:rFonts w:cs="Times New Roman"/>
        </w:rPr>
      </w:pPr>
      <w:r>
        <w:rPr>
          <w:rFonts w:cs="Times New Roman"/>
        </w:rPr>
        <w:t>3.1.1.</w:t>
      </w:r>
      <w:r>
        <w:rPr>
          <w:rFonts w:cs="Times New Roman"/>
        </w:rPr>
        <w:tab/>
      </w:r>
      <w:r w:rsidRPr="00953932">
        <w:rPr>
          <w:rFonts w:cs="Times New Roman"/>
        </w:rPr>
        <w:t>Cap</w:t>
      </w:r>
      <w:r>
        <w:rPr>
          <w:rFonts w:cs="Times New Roman"/>
        </w:rPr>
        <w:t xml:space="preserve">, </w:t>
      </w:r>
      <w:r w:rsidRPr="007173C0">
        <w:rPr>
          <w:rFonts w:cs="Times New Roman"/>
        </w:rPr>
        <w:t xml:space="preserve">in accordance </w:t>
      </w:r>
      <w:r>
        <w:rPr>
          <w:rFonts w:cs="Times New Roman"/>
        </w:rPr>
        <w:t>with</w:t>
      </w:r>
      <w:r w:rsidRPr="007173C0">
        <w:rPr>
          <w:rFonts w:cs="Times New Roman"/>
        </w:rPr>
        <w:t xml:space="preserve"> the given IEC Publication 60061</w:t>
      </w:r>
    </w:p>
    <w:p w:rsidR="00225E4A" w:rsidRPr="00953932" w:rsidRDefault="00225E4A" w:rsidP="00225E4A">
      <w:pPr>
        <w:pStyle w:val="PlainText"/>
        <w:spacing w:after="120"/>
        <w:ind w:left="1701" w:right="1134" w:hanging="567"/>
        <w:jc w:val="both"/>
        <w:rPr>
          <w:rFonts w:cs="Times New Roman"/>
        </w:rPr>
      </w:pPr>
      <w:r>
        <w:rPr>
          <w:rFonts w:cs="Times New Roman"/>
        </w:rPr>
        <w:t>3.1.2.</w:t>
      </w:r>
      <w:r>
        <w:rPr>
          <w:rFonts w:cs="Times New Roman"/>
        </w:rPr>
        <w:tab/>
      </w:r>
      <w:r w:rsidRPr="00953932">
        <w:rPr>
          <w:rFonts w:cs="Times New Roman"/>
        </w:rPr>
        <w:t>Maximum lamp outline dimensions</w:t>
      </w:r>
    </w:p>
    <w:p w:rsidR="00225E4A" w:rsidRPr="00953932" w:rsidRDefault="00225E4A" w:rsidP="00225E4A">
      <w:pPr>
        <w:pStyle w:val="PlainText"/>
        <w:spacing w:after="120"/>
        <w:ind w:left="1701" w:right="1134" w:hanging="567"/>
        <w:jc w:val="both"/>
        <w:rPr>
          <w:rFonts w:cs="Times New Roman"/>
        </w:rPr>
      </w:pPr>
      <w:r>
        <w:rPr>
          <w:rFonts w:cs="Times New Roman"/>
        </w:rPr>
        <w:t>3.1.3.</w:t>
      </w:r>
      <w:r>
        <w:rPr>
          <w:rFonts w:cs="Times New Roman"/>
        </w:rPr>
        <w:tab/>
      </w:r>
      <w:r w:rsidRPr="00953932">
        <w:rPr>
          <w:rFonts w:cs="Times New Roman"/>
        </w:rPr>
        <w:t>Electrical connector</w:t>
      </w:r>
    </w:p>
    <w:p w:rsidR="00225E4A" w:rsidRPr="00953932" w:rsidRDefault="00225E4A" w:rsidP="00225E4A">
      <w:pPr>
        <w:pStyle w:val="PlainText"/>
        <w:spacing w:after="120"/>
        <w:ind w:left="1701" w:right="1134" w:hanging="567"/>
        <w:jc w:val="both"/>
        <w:rPr>
          <w:rFonts w:cs="Times New Roman"/>
        </w:rPr>
      </w:pPr>
      <w:r>
        <w:rPr>
          <w:rFonts w:cs="Times New Roman"/>
        </w:rPr>
        <w:t>3.1.4.</w:t>
      </w:r>
      <w:r>
        <w:rPr>
          <w:rFonts w:cs="Times New Roman"/>
        </w:rPr>
        <w:tab/>
      </w:r>
      <w:r w:rsidRPr="00953932">
        <w:rPr>
          <w:rFonts w:cs="Times New Roman"/>
        </w:rPr>
        <w:t>Test voltage</w:t>
      </w:r>
    </w:p>
    <w:p w:rsidR="00225E4A" w:rsidRPr="00953932" w:rsidRDefault="00225E4A" w:rsidP="00225E4A">
      <w:pPr>
        <w:pStyle w:val="PlainText"/>
        <w:spacing w:after="120"/>
        <w:ind w:left="1701" w:right="1134" w:hanging="567"/>
        <w:jc w:val="both"/>
        <w:rPr>
          <w:rFonts w:cs="Times New Roman"/>
        </w:rPr>
      </w:pPr>
      <w:r>
        <w:rPr>
          <w:rFonts w:cs="Times New Roman"/>
        </w:rPr>
        <w:t>3.1.5.</w:t>
      </w:r>
      <w:r>
        <w:rPr>
          <w:rFonts w:cs="Times New Roman"/>
        </w:rPr>
        <w:tab/>
      </w:r>
      <w:r w:rsidRPr="00953932">
        <w:rPr>
          <w:rFonts w:cs="Times New Roman"/>
        </w:rPr>
        <w:t>Objective luminous flux</w:t>
      </w:r>
    </w:p>
    <w:p w:rsidR="00225E4A" w:rsidRPr="00953932" w:rsidRDefault="00225E4A" w:rsidP="00225E4A">
      <w:pPr>
        <w:pStyle w:val="PlainText"/>
        <w:spacing w:after="120"/>
        <w:ind w:left="1701" w:right="1134" w:hanging="567"/>
        <w:jc w:val="both"/>
        <w:rPr>
          <w:rFonts w:cs="Times New Roman"/>
        </w:rPr>
      </w:pPr>
      <w:r>
        <w:rPr>
          <w:rFonts w:cs="Times New Roman"/>
        </w:rPr>
        <w:t>3.1.6.</w:t>
      </w:r>
      <w:r>
        <w:rPr>
          <w:rFonts w:cs="Times New Roman"/>
        </w:rPr>
        <w:tab/>
      </w:r>
      <w:r w:rsidRPr="00953932">
        <w:rPr>
          <w:rFonts w:cs="Times New Roman"/>
        </w:rPr>
        <w:t>Colour of emitted light</w:t>
      </w:r>
    </w:p>
    <w:p w:rsidR="00225E4A" w:rsidRPr="00953932" w:rsidRDefault="00225E4A" w:rsidP="00225E4A">
      <w:pPr>
        <w:pStyle w:val="PlainText"/>
        <w:spacing w:after="120"/>
        <w:ind w:left="1701" w:right="1134" w:hanging="567"/>
        <w:jc w:val="both"/>
      </w:pPr>
      <w:r>
        <w:t>3.1.7.</w:t>
      </w:r>
      <w:r>
        <w:tab/>
      </w:r>
      <w:r w:rsidRPr="00953932">
        <w:t>Light centre length</w:t>
      </w:r>
    </w:p>
    <w:p w:rsidR="00225E4A" w:rsidRPr="007173C0" w:rsidRDefault="00225E4A" w:rsidP="00225E4A">
      <w:pPr>
        <w:pStyle w:val="PlainText"/>
        <w:spacing w:after="120"/>
        <w:ind w:left="1701" w:right="1134" w:hanging="567"/>
        <w:jc w:val="both"/>
        <w:rPr>
          <w:rFonts w:cs="Times New Roman"/>
          <w:u w:val="single"/>
        </w:rPr>
      </w:pPr>
      <w:r>
        <w:rPr>
          <w:rFonts w:cs="Times New Roman"/>
        </w:rPr>
        <w:t>3.1.8.</w:t>
      </w:r>
      <w:r>
        <w:rPr>
          <w:rFonts w:cs="Times New Roman"/>
        </w:rPr>
        <w:tab/>
      </w:r>
      <w:r w:rsidRPr="00953932">
        <w:rPr>
          <w:rFonts w:cs="Times New Roman"/>
        </w:rPr>
        <w:t>Distortion free zone</w:t>
      </w:r>
      <w:r w:rsidRPr="00CE4415">
        <w:rPr>
          <w:rFonts w:cs="Times New Roman"/>
        </w:rPr>
        <w:t xml:space="preserve"> (if any)</w:t>
      </w:r>
    </w:p>
    <w:p w:rsidR="00225E4A" w:rsidRDefault="00225E4A" w:rsidP="00225E4A">
      <w:pPr>
        <w:pStyle w:val="PlainText"/>
        <w:spacing w:after="120"/>
        <w:ind w:left="1134" w:right="1134"/>
        <w:jc w:val="both"/>
        <w:rPr>
          <w:rFonts w:cs="Times New Roman"/>
        </w:rPr>
      </w:pPr>
      <w:r>
        <w:rPr>
          <w:rFonts w:cs="Times New Roman"/>
        </w:rPr>
        <w:t>3.2.</w:t>
      </w:r>
      <w:r>
        <w:rPr>
          <w:rFonts w:cs="Times New Roman"/>
        </w:rPr>
        <w:tab/>
        <w:t>Parameters with similar values</w:t>
      </w:r>
    </w:p>
    <w:p w:rsidR="00225E4A" w:rsidRDefault="00225E4A" w:rsidP="00225E4A">
      <w:pPr>
        <w:pStyle w:val="PlainText"/>
        <w:spacing w:after="120"/>
        <w:ind w:left="1701" w:right="1134"/>
        <w:jc w:val="both"/>
        <w:rPr>
          <w:rFonts w:cs="Times New Roman"/>
        </w:rPr>
      </w:pPr>
      <w:r w:rsidRPr="007173C0">
        <w:rPr>
          <w:rFonts w:cs="Times New Roman"/>
        </w:rPr>
        <w:t xml:space="preserve">The </w:t>
      </w:r>
      <w:r>
        <w:rPr>
          <w:rFonts w:cs="Times New Roman"/>
        </w:rPr>
        <w:t xml:space="preserve">normalized </w:t>
      </w:r>
      <w:r w:rsidRPr="007173C0">
        <w:rPr>
          <w:rFonts w:cs="Times New Roman"/>
        </w:rPr>
        <w:t xml:space="preserve">luminous intensity distribution (“far field”) as well as the emission behaviour and the homogeneity of the light-emitting-area (“near field”) </w:t>
      </w:r>
      <w:r>
        <w:rPr>
          <w:rFonts w:cs="Times New Roman"/>
        </w:rPr>
        <w:t xml:space="preserve">of the LED substitute light source </w:t>
      </w:r>
      <w:r w:rsidRPr="007173C0">
        <w:rPr>
          <w:rFonts w:cs="Times New Roman"/>
        </w:rPr>
        <w:t xml:space="preserve">shall </w:t>
      </w:r>
      <w:r>
        <w:rPr>
          <w:rFonts w:cs="Times New Roman"/>
        </w:rPr>
        <w:t>be</w:t>
      </w:r>
      <w:r w:rsidRPr="007173C0">
        <w:rPr>
          <w:rFonts w:cs="Times New Roman"/>
        </w:rPr>
        <w:t xml:space="preserve"> </w:t>
      </w:r>
      <w:r w:rsidRPr="00953932">
        <w:rPr>
          <w:rFonts w:cs="Times New Roman"/>
        </w:rPr>
        <w:t>similar</w:t>
      </w:r>
      <w:r w:rsidRPr="007173C0">
        <w:rPr>
          <w:rFonts w:cs="Times New Roman"/>
        </w:rPr>
        <w:t xml:space="preserve"> </w:t>
      </w:r>
      <w:r>
        <w:rPr>
          <w:rFonts w:cs="Times New Roman"/>
        </w:rPr>
        <w:t>to the</w:t>
      </w:r>
      <w:r w:rsidRPr="007173C0">
        <w:rPr>
          <w:rFonts w:cs="Times New Roman"/>
        </w:rPr>
        <w:t xml:space="preserve"> characteristic </w:t>
      </w:r>
      <w:r>
        <w:rPr>
          <w:rFonts w:cs="Times New Roman"/>
        </w:rPr>
        <w:t>of</w:t>
      </w:r>
      <w:r w:rsidRPr="007173C0">
        <w:rPr>
          <w:rFonts w:cs="Times New Roman"/>
        </w:rPr>
        <w:t xml:space="preserve"> the filament light source of the corresponding Regulation No. 37 category. </w:t>
      </w:r>
    </w:p>
    <w:p w:rsidR="00225E4A" w:rsidRPr="006D1EDD" w:rsidRDefault="00225E4A" w:rsidP="00225E4A">
      <w:pPr>
        <w:pStyle w:val="PlainText"/>
        <w:spacing w:after="120"/>
        <w:ind w:left="1134" w:right="1134"/>
      </w:pPr>
      <w:r w:rsidRPr="006A02AA">
        <w:t>3.2.1.</w:t>
      </w:r>
      <w:r w:rsidRPr="006A02AA">
        <w:tab/>
        <w:t xml:space="preserve">Normalized luminous intensity </w:t>
      </w:r>
      <w:r w:rsidRPr="009729A2">
        <w:t xml:space="preserve">distribution </w:t>
      </w:r>
    </w:p>
    <w:p w:rsidR="00225E4A" w:rsidRDefault="00225E4A" w:rsidP="00225E4A">
      <w:pPr>
        <w:pStyle w:val="PlainText"/>
        <w:spacing w:after="120"/>
        <w:ind w:left="1701" w:right="1134"/>
      </w:pPr>
      <w:r>
        <w:t>T</w:t>
      </w:r>
      <w:r w:rsidRPr="005B2AA3">
        <w:t xml:space="preserve">he normalized luminous intensity distribution of </w:t>
      </w:r>
      <w:r>
        <w:t xml:space="preserve">LED substitute </w:t>
      </w:r>
      <w:r w:rsidRPr="005B2AA3">
        <w:t>light source</w:t>
      </w:r>
      <w:r>
        <w:t>s shall be specified in directions which are relevant for the light emission of filament light sources of the corresponding Regulation No. 37 category.</w:t>
      </w:r>
      <w:r>
        <w:br/>
        <w:t xml:space="preserve">Therefore, minimum and maximum intensity values (in cd/1000 lm) shall be given in the category sheet, typically in three different C-planes (C0, C30, C330) and in angular steps of </w:t>
      </w:r>
      <w:r w:rsidRPr="005B2AA3">
        <w:rPr>
          <w:rFonts w:ascii="Symbol" w:hAnsi="Symbol"/>
        </w:rPr>
        <w:t></w:t>
      </w:r>
      <w:r w:rsidRPr="005B2AA3">
        <w:rPr>
          <w:rFonts w:ascii="Symbol" w:hAnsi="Symbol"/>
        </w:rPr>
        <w:t></w:t>
      </w:r>
      <w:r>
        <w:t xml:space="preserve"> = 25°, excluding the following distorted areas of filament light sources of the corresponding Regulation No. 37 category: </w:t>
      </w:r>
    </w:p>
    <w:p w:rsidR="00225E4A" w:rsidRPr="005212EF" w:rsidRDefault="00225E4A" w:rsidP="00225E4A">
      <w:pPr>
        <w:pStyle w:val="PlainText"/>
        <w:numPr>
          <w:ilvl w:val="0"/>
          <w:numId w:val="22"/>
        </w:numPr>
        <w:spacing w:after="120"/>
        <w:ind w:right="1134"/>
      </w:pPr>
      <w:r>
        <w:t>transition region of the cap;</w:t>
      </w:r>
    </w:p>
    <w:p w:rsidR="00225E4A" w:rsidRPr="005212EF" w:rsidRDefault="00225E4A" w:rsidP="00225E4A">
      <w:pPr>
        <w:pStyle w:val="PlainText"/>
        <w:numPr>
          <w:ilvl w:val="0"/>
          <w:numId w:val="22"/>
        </w:numPr>
        <w:spacing w:after="120"/>
        <w:ind w:right="1134"/>
      </w:pPr>
      <w:r w:rsidRPr="005212EF">
        <w:t>proximity of the filament axis;</w:t>
      </w:r>
    </w:p>
    <w:p w:rsidR="00225E4A" w:rsidRPr="005212EF" w:rsidRDefault="00225E4A" w:rsidP="00225E4A">
      <w:pPr>
        <w:pStyle w:val="PlainText"/>
        <w:numPr>
          <w:ilvl w:val="0"/>
          <w:numId w:val="22"/>
        </w:numPr>
        <w:spacing w:after="120"/>
        <w:ind w:right="1134"/>
      </w:pPr>
      <w:r w:rsidRPr="005212EF">
        <w:t>area of strong glass distortions (tips);</w:t>
      </w:r>
    </w:p>
    <w:p w:rsidR="00225E4A" w:rsidRPr="005212EF" w:rsidRDefault="00225E4A" w:rsidP="00225E4A">
      <w:pPr>
        <w:pStyle w:val="PlainText"/>
        <w:numPr>
          <w:ilvl w:val="0"/>
          <w:numId w:val="22"/>
        </w:numPr>
        <w:spacing w:after="120"/>
        <w:ind w:right="1134"/>
      </w:pPr>
      <w:proofErr w:type="gramStart"/>
      <w:r w:rsidRPr="005212EF">
        <w:t>shading</w:t>
      </w:r>
      <w:proofErr w:type="gramEnd"/>
      <w:r w:rsidRPr="005212EF">
        <w:t xml:space="preserve"> area of lead-in wires. </w:t>
      </w:r>
    </w:p>
    <w:p w:rsidR="00225E4A" w:rsidRPr="006D1EDD" w:rsidRDefault="00225E4A" w:rsidP="00225E4A">
      <w:pPr>
        <w:pStyle w:val="PlainText"/>
        <w:spacing w:after="120"/>
        <w:ind w:left="1701" w:right="1134"/>
      </w:pPr>
      <w:r w:rsidRPr="00C41514">
        <w:t>The values shall be derived from measurements of homologated filament light source samples of the corresponding Regulation No. 37 category (see Annex 1).</w:t>
      </w:r>
      <w:r>
        <w:t xml:space="preserve"> </w:t>
      </w:r>
      <w:r w:rsidRPr="00C41514">
        <w:t xml:space="preserve"> The selection of samples shall include various possible designs of different manufacturers.</w:t>
      </w:r>
    </w:p>
    <w:p w:rsidR="00225E4A" w:rsidRPr="00C36EB9" w:rsidRDefault="00225E4A" w:rsidP="00225E4A">
      <w:pPr>
        <w:pStyle w:val="PlainText"/>
        <w:spacing w:after="120"/>
        <w:ind w:left="1134" w:right="1134"/>
        <w:rPr>
          <w:rFonts w:cs="Times New Roman"/>
        </w:rPr>
      </w:pPr>
      <w:r w:rsidRPr="00C36EB9">
        <w:t>3.2.2.</w:t>
      </w:r>
      <w:r w:rsidRPr="00C36EB9">
        <w:tab/>
        <w:t>Size and position of the light-emitting-area</w:t>
      </w:r>
    </w:p>
    <w:p w:rsidR="00225E4A" w:rsidRDefault="00225E4A" w:rsidP="00225E4A">
      <w:pPr>
        <w:pStyle w:val="PlainText"/>
        <w:spacing w:after="120"/>
        <w:ind w:left="1701" w:right="1134"/>
        <w:rPr>
          <w:rFonts w:cs="Times New Roman"/>
        </w:rPr>
      </w:pPr>
      <w:r w:rsidRPr="00C36EB9">
        <w:rPr>
          <w:rFonts w:cs="Times New Roman"/>
        </w:rPr>
        <w:t>A similar box definition including the relevant viewing direction(s) of the corresponding data sheet in Regulation No. 37, if any, shall</w:t>
      </w:r>
      <w:r w:rsidRPr="00101473">
        <w:rPr>
          <w:rFonts w:cs="Times New Roman"/>
        </w:rPr>
        <w:t xml:space="preserve"> apply for the size and </w:t>
      </w:r>
      <w:r w:rsidRPr="00C36EB9">
        <w:rPr>
          <w:rFonts w:cs="Times New Roman"/>
        </w:rPr>
        <w:t>position of the (apparent) light-emitting-area of the LED substitute light source.  Depending on the geometrical circumstances [under which the box is defined in the corresponding data sheet in Regulation No. 37] additional viewing directions(s) may need to be introduced.</w:t>
      </w:r>
    </w:p>
    <w:p w:rsidR="00225E4A" w:rsidRPr="00A23A6E" w:rsidRDefault="00225E4A" w:rsidP="00225E4A">
      <w:pPr>
        <w:pStyle w:val="PlainText"/>
        <w:spacing w:after="120"/>
        <w:ind w:left="1701" w:right="1134"/>
      </w:pPr>
      <w:r>
        <w:rPr>
          <w:rFonts w:cs="Times New Roman"/>
        </w:rPr>
        <w:lastRenderedPageBreak/>
        <w:t>In addition, a</w:t>
      </w:r>
      <w:r w:rsidRPr="00B3544A">
        <w:rPr>
          <w:rFonts w:cs="Times New Roman"/>
        </w:rPr>
        <w:t xml:space="preserve"> minimum </w:t>
      </w:r>
      <w:r>
        <w:rPr>
          <w:rFonts w:cs="Times New Roman"/>
        </w:rPr>
        <w:t xml:space="preserve">percentage value of the </w:t>
      </w:r>
      <w:r w:rsidRPr="00B3544A">
        <w:rPr>
          <w:lang w:val="en-US"/>
        </w:rPr>
        <w:t xml:space="preserve">luminous flux emitted from this box into the given </w:t>
      </w:r>
      <w:r w:rsidRPr="00C41514">
        <w:rPr>
          <w:lang w:val="en-US"/>
        </w:rPr>
        <w:t xml:space="preserve">viewing direction(s) shall be specified in the data sheet (see parameter DFR in Annex 2).  This value shall be derived from measurements </w:t>
      </w:r>
      <w:r w:rsidRPr="00C41514">
        <w:t xml:space="preserve">of </w:t>
      </w:r>
      <w:r w:rsidRPr="00C41514">
        <w:rPr>
          <w:lang w:val="en-US"/>
        </w:rPr>
        <w:t xml:space="preserve">homologated filament light source </w:t>
      </w:r>
      <w:r w:rsidRPr="00C41514">
        <w:t xml:space="preserve">samples of the corresponding Regulation No. 37 category (see Annex 2). </w:t>
      </w:r>
      <w:r>
        <w:t xml:space="preserve"> </w:t>
      </w:r>
      <w:r w:rsidRPr="00C41514">
        <w:t>The selection of samples shall include various possible designs of different manufacturers.</w:t>
      </w:r>
      <w:r>
        <w:t xml:space="preserve"> </w:t>
      </w:r>
    </w:p>
    <w:p w:rsidR="00225E4A" w:rsidRPr="00953932" w:rsidRDefault="00225E4A" w:rsidP="00225E4A">
      <w:pPr>
        <w:pStyle w:val="PlainText"/>
        <w:spacing w:after="120"/>
        <w:ind w:left="1701" w:right="1134" w:hanging="567"/>
        <w:rPr>
          <w:rFonts w:cs="Times New Roman"/>
        </w:rPr>
      </w:pPr>
      <w:r w:rsidRPr="001174EC">
        <w:t>3.2.3.</w:t>
      </w:r>
      <w:r w:rsidRPr="001174EC">
        <w:tab/>
        <w:t>Homogeneity of the light-emitting-area</w:t>
      </w:r>
    </w:p>
    <w:p w:rsidR="00225E4A" w:rsidRPr="00B3544A" w:rsidRDefault="00225E4A" w:rsidP="00225E4A">
      <w:pPr>
        <w:pStyle w:val="PlainText"/>
        <w:spacing w:after="120"/>
        <w:ind w:left="1701" w:right="1134"/>
        <w:rPr>
          <w:rFonts w:cs="Times New Roman"/>
        </w:rPr>
      </w:pPr>
      <w:r w:rsidRPr="00C36EB9">
        <w:rPr>
          <w:rFonts w:cs="Times New Roman"/>
        </w:rPr>
        <w:t>The box defined under 3.2.2.</w:t>
      </w:r>
      <w:r w:rsidRPr="00C36EB9">
        <w:rPr>
          <w:lang w:val="en-US"/>
        </w:rPr>
        <w:t xml:space="preserve"> </w:t>
      </w:r>
      <w:proofErr w:type="gramStart"/>
      <w:r w:rsidRPr="00C36EB9">
        <w:rPr>
          <w:rFonts w:cs="Times New Roman"/>
        </w:rPr>
        <w:t>shall</w:t>
      </w:r>
      <w:proofErr w:type="gramEnd"/>
      <w:r w:rsidRPr="00C36EB9">
        <w:rPr>
          <w:rFonts w:cs="Times New Roman"/>
        </w:rPr>
        <w:t xml:space="preserve"> be spli</w:t>
      </w:r>
      <w:r>
        <w:rPr>
          <w:rFonts w:cs="Times New Roman"/>
        </w:rPr>
        <w:t>t in three sections (of similar size).  A minimum luminous flux emitted from each section into the given viewing direction(s) shall be specified to achieve homogeneity comparable to the filament case, where filaments of typical size and position tolerance per category exist (see Annex 3).</w:t>
      </w:r>
    </w:p>
    <w:p w:rsidR="00225E4A" w:rsidRDefault="00225E4A" w:rsidP="00225E4A">
      <w:pPr>
        <w:pStyle w:val="PlainText"/>
        <w:spacing w:after="120"/>
        <w:ind w:left="1701" w:right="1134" w:hanging="567"/>
        <w:jc w:val="both"/>
        <w:rPr>
          <w:rFonts w:cs="Times New Roman"/>
        </w:rPr>
      </w:pPr>
      <w:r>
        <w:rPr>
          <w:rFonts w:cs="Times New Roman"/>
        </w:rPr>
        <w:t>3.3.</w:t>
      </w:r>
      <w:r>
        <w:rPr>
          <w:rFonts w:cs="Times New Roman"/>
        </w:rPr>
        <w:tab/>
        <w:t>Parameters with different values</w:t>
      </w:r>
    </w:p>
    <w:p w:rsidR="00225E4A" w:rsidRDefault="00225E4A" w:rsidP="00225E4A">
      <w:pPr>
        <w:pStyle w:val="PlainText"/>
        <w:spacing w:after="120"/>
        <w:ind w:left="1701" w:right="1134"/>
        <w:jc w:val="both"/>
        <w:rPr>
          <w:rFonts w:cs="Times New Roman"/>
        </w:rPr>
      </w:pPr>
      <w:r w:rsidRPr="007173C0">
        <w:rPr>
          <w:rFonts w:cs="Times New Roman"/>
        </w:rPr>
        <w:t xml:space="preserve">The following </w:t>
      </w:r>
      <w:r>
        <w:rPr>
          <w:rFonts w:cs="Times New Roman"/>
        </w:rPr>
        <w:t>properties</w:t>
      </w:r>
      <w:r w:rsidRPr="007173C0">
        <w:rPr>
          <w:rFonts w:cs="Times New Roman"/>
        </w:rPr>
        <w:t xml:space="preserve"> are inherently </w:t>
      </w:r>
      <w:r w:rsidRPr="00953932">
        <w:rPr>
          <w:rFonts w:cs="Times New Roman"/>
        </w:rPr>
        <w:t>different</w:t>
      </w:r>
      <w:r w:rsidRPr="007173C0">
        <w:rPr>
          <w:rFonts w:cs="Times New Roman"/>
        </w:rPr>
        <w:t xml:space="preserve"> between filament </w:t>
      </w:r>
      <w:r>
        <w:rPr>
          <w:rFonts w:cs="Times New Roman"/>
        </w:rPr>
        <w:t>and LED substitute light sources.  T</w:t>
      </w:r>
      <w:r w:rsidRPr="007173C0">
        <w:rPr>
          <w:rFonts w:cs="Times New Roman"/>
        </w:rPr>
        <w:t xml:space="preserve">he equivalence criteria </w:t>
      </w:r>
      <w:r>
        <w:rPr>
          <w:rFonts w:cs="Times New Roman"/>
        </w:rPr>
        <w:t>have to</w:t>
      </w:r>
      <w:r w:rsidRPr="007173C0">
        <w:rPr>
          <w:rFonts w:cs="Times New Roman"/>
        </w:rPr>
        <w:t xml:space="preserve"> be described appropriately:</w:t>
      </w:r>
    </w:p>
    <w:p w:rsidR="00225E4A" w:rsidRDefault="00225E4A" w:rsidP="00225E4A">
      <w:pPr>
        <w:pStyle w:val="PlainText"/>
        <w:spacing w:after="120"/>
        <w:ind w:left="1701" w:right="1134" w:hanging="567"/>
        <w:rPr>
          <w:rFonts w:cs="Times New Roman"/>
        </w:rPr>
      </w:pPr>
      <w:r>
        <w:rPr>
          <w:rFonts w:cs="Times New Roman"/>
        </w:rPr>
        <w:t>3.3.1.</w:t>
      </w:r>
      <w:r>
        <w:rPr>
          <w:rFonts w:cs="Times New Roman"/>
        </w:rPr>
        <w:tab/>
        <w:t>Maximum electrical power consumption</w:t>
      </w:r>
    </w:p>
    <w:p w:rsidR="00225E4A" w:rsidRDefault="00225E4A" w:rsidP="00225E4A">
      <w:pPr>
        <w:pStyle w:val="PlainText"/>
        <w:spacing w:after="120"/>
        <w:ind w:left="1701" w:right="1134"/>
        <w:rPr>
          <w:rFonts w:cs="Times New Roman"/>
        </w:rPr>
      </w:pPr>
      <w:r w:rsidRPr="007173C0">
        <w:rPr>
          <w:rFonts w:cs="Times New Roman"/>
        </w:rPr>
        <w:t xml:space="preserve">The </w:t>
      </w:r>
      <w:r w:rsidRPr="001174EC">
        <w:rPr>
          <w:rFonts w:cs="Times New Roman"/>
        </w:rPr>
        <w:t>maximum electrical power consumption</w:t>
      </w:r>
      <w:r w:rsidRPr="007173C0">
        <w:rPr>
          <w:rFonts w:cs="Times New Roman"/>
        </w:rPr>
        <w:t xml:space="preserve"> of an LED </w:t>
      </w:r>
      <w:r>
        <w:rPr>
          <w:rFonts w:cs="Times New Roman"/>
        </w:rPr>
        <w:t>substitute</w:t>
      </w:r>
      <w:r w:rsidRPr="007173C0">
        <w:rPr>
          <w:rFonts w:cs="Times New Roman"/>
        </w:rPr>
        <w:t xml:space="preserve"> light source shall be limited to a value </w:t>
      </w:r>
      <w:r>
        <w:rPr>
          <w:rFonts w:cs="Times New Roman"/>
        </w:rPr>
        <w:t xml:space="preserve">of about 30% </w:t>
      </w:r>
      <w:r w:rsidRPr="007173C0">
        <w:rPr>
          <w:rFonts w:cs="Times New Roman"/>
        </w:rPr>
        <w:t xml:space="preserve">of the maximum power specified in the corresponding </w:t>
      </w:r>
      <w:r>
        <w:rPr>
          <w:rFonts w:cs="Times New Roman"/>
        </w:rPr>
        <w:t xml:space="preserve">data </w:t>
      </w:r>
      <w:r w:rsidRPr="007173C0">
        <w:rPr>
          <w:rFonts w:cs="Times New Roman"/>
        </w:rPr>
        <w:t xml:space="preserve">sheet of Regulation No. 37 in order to </w:t>
      </w:r>
      <w:r>
        <w:rPr>
          <w:rFonts w:cs="Times New Roman"/>
        </w:rPr>
        <w:t>limit the heat load in the cap at</w:t>
      </w:r>
      <w:r w:rsidRPr="007173C0">
        <w:rPr>
          <w:rFonts w:cs="Times New Roman"/>
        </w:rPr>
        <w:t xml:space="preserve"> a level</w:t>
      </w:r>
      <w:r>
        <w:rPr>
          <w:rFonts w:cs="Times New Roman"/>
        </w:rPr>
        <w:t xml:space="preserve"> comparable to the corresponding filament light source.</w:t>
      </w:r>
    </w:p>
    <w:p w:rsidR="00225E4A" w:rsidRPr="007173C0" w:rsidRDefault="00225E4A" w:rsidP="00225E4A">
      <w:pPr>
        <w:pStyle w:val="PlainText"/>
        <w:spacing w:after="120"/>
        <w:ind w:left="1701" w:right="1134"/>
        <w:rPr>
          <w:rFonts w:cs="Times New Roman"/>
        </w:rPr>
      </w:pPr>
      <w:r>
        <w:rPr>
          <w:rFonts w:cs="Times New Roman"/>
        </w:rPr>
        <w:t>This</w:t>
      </w:r>
      <w:r w:rsidRPr="007173C0">
        <w:rPr>
          <w:rFonts w:cs="Times New Roman"/>
        </w:rPr>
        <w:t xml:space="preserve"> value </w:t>
      </w:r>
      <w:r>
        <w:rPr>
          <w:rFonts w:cs="Times New Roman"/>
        </w:rPr>
        <w:t xml:space="preserve">may be specified more precisely, for example via comparative </w:t>
      </w:r>
      <w:r w:rsidRPr="007173C0">
        <w:rPr>
          <w:rFonts w:cs="Times New Roman"/>
        </w:rPr>
        <w:t>te</w:t>
      </w:r>
      <w:r>
        <w:rPr>
          <w:rFonts w:cs="Times New Roman"/>
        </w:rPr>
        <w:t xml:space="preserve">mperature </w:t>
      </w:r>
      <w:r w:rsidRPr="007173C0">
        <w:rPr>
          <w:rFonts w:cs="Times New Roman"/>
        </w:rPr>
        <w:t>measurements</w:t>
      </w:r>
      <w:r>
        <w:rPr>
          <w:rFonts w:cs="Times New Roman"/>
        </w:rPr>
        <w:t>.  When placed in a typical holder and operated at the properly specified maximum power the cap temperature of an LED substitute light source shall stabilise at similar (or lower) value as for the corresponding filament light source placed in the same holder and operated at objective power.</w:t>
      </w:r>
    </w:p>
    <w:p w:rsidR="00225E4A" w:rsidRPr="004769B0" w:rsidRDefault="00225E4A" w:rsidP="00225E4A">
      <w:pPr>
        <w:pStyle w:val="PlainText"/>
        <w:spacing w:after="120"/>
        <w:ind w:left="1701" w:right="1134" w:hanging="567"/>
        <w:rPr>
          <w:rFonts w:cs="Times New Roman"/>
        </w:rPr>
      </w:pPr>
      <w:r>
        <w:rPr>
          <w:rFonts w:cs="Times New Roman"/>
        </w:rPr>
        <w:t>3.3.2.</w:t>
      </w:r>
      <w:r w:rsidRPr="004769B0">
        <w:rPr>
          <w:rFonts w:cs="Times New Roman"/>
        </w:rPr>
        <w:tab/>
        <w:t>The minimum voltage range</w:t>
      </w:r>
    </w:p>
    <w:p w:rsidR="00225E4A" w:rsidRPr="007173C0" w:rsidRDefault="00225E4A" w:rsidP="00225E4A">
      <w:pPr>
        <w:pStyle w:val="PlainText"/>
        <w:spacing w:after="120"/>
        <w:ind w:left="1701" w:right="1134"/>
        <w:rPr>
          <w:rFonts w:cs="Times New Roman"/>
        </w:rPr>
      </w:pPr>
      <w:r w:rsidRPr="004769B0">
        <w:rPr>
          <w:rFonts w:cs="Times New Roman"/>
        </w:rPr>
        <w:t xml:space="preserve">The minimum voltage range given in Annex 4 of Regulation No. 128 shall be used as a default for electrical and photometrical tests of LED substitute light sources. </w:t>
      </w:r>
      <w:r w:rsidRPr="004769B0">
        <w:t xml:space="preserve">An additional minimum flux requirement at significant voltage drop shall be given in the data sheet to guarantee a minimum light output comparable to filament light sources (e.g. at 9V at least </w:t>
      </w:r>
      <w:r>
        <w:t>20% of the objective luminous flux at test voltage).</w:t>
      </w:r>
    </w:p>
    <w:p w:rsidR="00225E4A" w:rsidRDefault="00225E4A" w:rsidP="00225E4A">
      <w:pPr>
        <w:pStyle w:val="PlainText"/>
        <w:spacing w:after="120"/>
        <w:ind w:left="1701" w:right="1134" w:hanging="567"/>
        <w:rPr>
          <w:rFonts w:cs="Times New Roman"/>
        </w:rPr>
      </w:pPr>
      <w:r>
        <w:rPr>
          <w:rFonts w:cs="Times New Roman"/>
        </w:rPr>
        <w:t>3.3.3.</w:t>
      </w:r>
      <w:r>
        <w:rPr>
          <w:rFonts w:cs="Times New Roman"/>
        </w:rPr>
        <w:tab/>
        <w:t>The spectral content</w:t>
      </w:r>
    </w:p>
    <w:p w:rsidR="00225E4A" w:rsidRDefault="00225E4A" w:rsidP="00225E4A">
      <w:pPr>
        <w:pStyle w:val="PlainText"/>
        <w:spacing w:after="120"/>
        <w:ind w:left="1701" w:right="1134"/>
        <w:jc w:val="both"/>
        <w:rPr>
          <w:rFonts w:cs="Times New Roman"/>
        </w:rPr>
      </w:pPr>
      <w:r w:rsidRPr="00C41514">
        <w:rPr>
          <w:rFonts w:cs="Times New Roman"/>
        </w:rPr>
        <w:t xml:space="preserve">LED </w:t>
      </w:r>
      <w:r>
        <w:rPr>
          <w:rFonts w:cs="Times New Roman"/>
        </w:rPr>
        <w:t>substitute</w:t>
      </w:r>
      <w:r w:rsidRPr="00C41514">
        <w:rPr>
          <w:rFonts w:cs="Times New Roman"/>
        </w:rPr>
        <w:t xml:space="preserve"> light sources emitting white light and possibly being used behind red or amber cover lenses shall have a colour temperature of </w:t>
      </w:r>
      <w:r w:rsidRPr="006B2BFA">
        <w:rPr>
          <w:rFonts w:cs="Times New Roman"/>
        </w:rPr>
        <w:t>maximum 3,000 K</w:t>
      </w:r>
      <w:r>
        <w:rPr>
          <w:rFonts w:cs="Times New Roman"/>
        </w:rPr>
        <w:t>.</w:t>
      </w:r>
      <w:r w:rsidRPr="006B2BFA">
        <w:rPr>
          <w:rFonts w:cs="Times New Roman"/>
        </w:rPr>
        <w:t xml:space="preserve"> </w:t>
      </w:r>
    </w:p>
    <w:p w:rsidR="00225E4A" w:rsidRDefault="00225E4A" w:rsidP="00225E4A">
      <w:pPr>
        <w:pStyle w:val="PlainText"/>
        <w:spacing w:after="120"/>
        <w:ind w:left="1701" w:right="1134" w:hanging="567"/>
        <w:jc w:val="both"/>
        <w:rPr>
          <w:rFonts w:cs="Times New Roman"/>
        </w:rPr>
      </w:pPr>
      <w:r>
        <w:rPr>
          <w:rFonts w:cs="Times New Roman"/>
        </w:rPr>
        <w:t>3.4.</w:t>
      </w:r>
      <w:r>
        <w:rPr>
          <w:rFonts w:cs="Times New Roman"/>
        </w:rPr>
        <w:tab/>
        <w:t>Additional parameters</w:t>
      </w:r>
    </w:p>
    <w:p w:rsidR="00225E4A" w:rsidRPr="0093601F" w:rsidRDefault="00225E4A" w:rsidP="00225E4A">
      <w:pPr>
        <w:pStyle w:val="PlainText"/>
        <w:spacing w:after="120"/>
        <w:ind w:left="1701" w:right="1134"/>
        <w:jc w:val="both"/>
        <w:rPr>
          <w:rFonts w:cs="Times New Roman"/>
        </w:rPr>
      </w:pPr>
      <w:r>
        <w:rPr>
          <w:rFonts w:cs="Times New Roman"/>
        </w:rPr>
        <w:t>F</w:t>
      </w:r>
      <w:r w:rsidRPr="0093601F">
        <w:rPr>
          <w:rFonts w:cs="Times New Roman"/>
        </w:rPr>
        <w:t xml:space="preserve">or </w:t>
      </w:r>
      <w:r>
        <w:rPr>
          <w:rFonts w:cs="Times New Roman"/>
        </w:rPr>
        <w:t>all</w:t>
      </w:r>
      <w:r w:rsidRPr="0093601F">
        <w:rPr>
          <w:rFonts w:cs="Times New Roman"/>
        </w:rPr>
        <w:t xml:space="preserve"> </w:t>
      </w:r>
      <w:r w:rsidRPr="006D1EDD">
        <w:rPr>
          <w:rFonts w:cs="Times New Roman"/>
        </w:rPr>
        <w:t>LED light sources one additional</w:t>
      </w:r>
      <w:r w:rsidRPr="0093601F">
        <w:rPr>
          <w:rFonts w:cs="Times New Roman"/>
        </w:rPr>
        <w:t xml:space="preserve"> requirement shall </w:t>
      </w:r>
      <w:r>
        <w:rPr>
          <w:rFonts w:cs="Times New Roman"/>
        </w:rPr>
        <w:t>apply</w:t>
      </w:r>
      <w:r w:rsidRPr="0093601F">
        <w:rPr>
          <w:rFonts w:cs="Times New Roman"/>
        </w:rPr>
        <w:t xml:space="preserve"> to LED </w:t>
      </w:r>
      <w:r>
        <w:rPr>
          <w:rFonts w:cs="Times New Roman"/>
        </w:rPr>
        <w:t>substitute</w:t>
      </w:r>
      <w:r w:rsidRPr="0093601F">
        <w:rPr>
          <w:rFonts w:cs="Times New Roman"/>
        </w:rPr>
        <w:t xml:space="preserve"> light sources:</w:t>
      </w:r>
    </w:p>
    <w:p w:rsidR="00225E4A" w:rsidRDefault="00225E4A" w:rsidP="00225E4A">
      <w:pPr>
        <w:pStyle w:val="PlainText"/>
        <w:spacing w:after="120"/>
        <w:ind w:left="1701" w:right="1134" w:hanging="567"/>
        <w:jc w:val="both"/>
        <w:rPr>
          <w:rFonts w:cs="Times New Roman"/>
        </w:rPr>
      </w:pPr>
      <w:r>
        <w:rPr>
          <w:rFonts w:cs="Times New Roman"/>
        </w:rPr>
        <w:t>3.4.1.</w:t>
      </w:r>
      <w:r>
        <w:rPr>
          <w:rFonts w:cs="Times New Roman"/>
        </w:rPr>
        <w:tab/>
        <w:t>Thermal behaviour</w:t>
      </w:r>
    </w:p>
    <w:p w:rsidR="00225E4A" w:rsidRDefault="00225E4A" w:rsidP="00225E4A">
      <w:pPr>
        <w:pStyle w:val="PlainText"/>
        <w:spacing w:after="120"/>
        <w:ind w:left="1701" w:right="1134"/>
        <w:jc w:val="both"/>
        <w:rPr>
          <w:rFonts w:cs="Times New Roman"/>
        </w:rPr>
      </w:pPr>
      <w:r w:rsidRPr="0093601F">
        <w:rPr>
          <w:rFonts w:cs="Times New Roman"/>
        </w:rPr>
        <w:t xml:space="preserve">The </w:t>
      </w:r>
      <w:r w:rsidRPr="00D14771">
        <w:rPr>
          <w:rFonts w:cs="Times New Roman"/>
        </w:rPr>
        <w:t>thermal behaviour</w:t>
      </w:r>
      <w:r w:rsidRPr="0093601F">
        <w:rPr>
          <w:rFonts w:cs="Times New Roman"/>
        </w:rPr>
        <w:t xml:space="preserve"> of the emitted luminous flux after one minute of operation and after 30 minutes of operation shall be in accordance with Regulation No. 128, annex 4.</w:t>
      </w:r>
      <w:r>
        <w:rPr>
          <w:rFonts w:cs="Times New Roman"/>
        </w:rPr>
        <w:t xml:space="preserve">  Because LED substitute light sources can be located in the immediate environment of filament lamps, an elevated ambient temperature is added in the datasheet. </w:t>
      </w:r>
    </w:p>
    <w:p w:rsidR="00225E4A" w:rsidRPr="0093601F" w:rsidRDefault="00225E4A" w:rsidP="00225E4A">
      <w:pPr>
        <w:pStyle w:val="PlainText"/>
        <w:spacing w:after="120"/>
        <w:ind w:left="1701" w:right="1134" w:hanging="567"/>
        <w:jc w:val="both"/>
        <w:rPr>
          <w:rFonts w:cs="Times New Roman"/>
        </w:rPr>
      </w:pPr>
    </w:p>
    <w:p w:rsidR="00225E4A" w:rsidRDefault="00225E4A" w:rsidP="00225E4A">
      <w:pPr>
        <w:pStyle w:val="Heading1"/>
        <w:spacing w:after="120"/>
        <w:ind w:left="1701" w:right="1134" w:hanging="567"/>
        <w:rPr>
          <w:b/>
        </w:rPr>
      </w:pPr>
      <w:r>
        <w:rPr>
          <w:b/>
        </w:rPr>
        <w:t>4</w:t>
      </w:r>
      <w:r w:rsidRPr="0093601F">
        <w:rPr>
          <w:b/>
        </w:rPr>
        <w:t>.</w:t>
      </w:r>
      <w:r w:rsidRPr="0093601F">
        <w:rPr>
          <w:b/>
        </w:rPr>
        <w:tab/>
        <w:t xml:space="preserve">REQUIREMENTS REGARDING FAILURE </w:t>
      </w:r>
    </w:p>
    <w:p w:rsidR="00225E4A" w:rsidRDefault="00225E4A" w:rsidP="00225E4A">
      <w:pPr>
        <w:pStyle w:val="PlainText"/>
        <w:spacing w:after="120"/>
        <w:ind w:left="1134" w:right="1134"/>
        <w:jc w:val="both"/>
        <w:rPr>
          <w:rFonts w:cs="Times New Roman"/>
        </w:rPr>
      </w:pPr>
      <w:r>
        <w:rPr>
          <w:rFonts w:cs="Times New Roman"/>
        </w:rPr>
        <w:lastRenderedPageBreak/>
        <w:t xml:space="preserve">Due to </w:t>
      </w:r>
      <w:r w:rsidRPr="000D3B70">
        <w:rPr>
          <w:rFonts w:cs="Times New Roman"/>
        </w:rPr>
        <w:t xml:space="preserve">significantly </w:t>
      </w:r>
      <w:r>
        <w:rPr>
          <w:rFonts w:cs="Times New Roman"/>
        </w:rPr>
        <w:t>reduced</w:t>
      </w:r>
      <w:r w:rsidRPr="000D3B70">
        <w:rPr>
          <w:rFonts w:cs="Times New Roman"/>
        </w:rPr>
        <w:t xml:space="preserve"> power consumption </w:t>
      </w:r>
      <w:r>
        <w:rPr>
          <w:rFonts w:cs="Times New Roman"/>
        </w:rPr>
        <w:t xml:space="preserve">of LED technology, </w:t>
      </w:r>
      <w:r w:rsidRPr="000D3B70">
        <w:rPr>
          <w:rFonts w:cs="Times New Roman"/>
        </w:rPr>
        <w:t xml:space="preserve">LED </w:t>
      </w:r>
      <w:r>
        <w:rPr>
          <w:rFonts w:cs="Times New Roman"/>
        </w:rPr>
        <w:t>substitute</w:t>
      </w:r>
      <w:r w:rsidRPr="000D3B70">
        <w:rPr>
          <w:rFonts w:cs="Times New Roman"/>
        </w:rPr>
        <w:t xml:space="preserve"> light sources might </w:t>
      </w:r>
      <w:r>
        <w:rPr>
          <w:rFonts w:cs="Times New Roman"/>
        </w:rPr>
        <w:t xml:space="preserve">trigger some failure detection systems even </w:t>
      </w:r>
      <w:r w:rsidRPr="000D3B70">
        <w:rPr>
          <w:rFonts w:cs="Times New Roman"/>
        </w:rPr>
        <w:t xml:space="preserve">though </w:t>
      </w:r>
      <w:r>
        <w:rPr>
          <w:rFonts w:cs="Times New Roman"/>
        </w:rPr>
        <w:t xml:space="preserve">the </w:t>
      </w:r>
      <w:r w:rsidRPr="000D3B70">
        <w:rPr>
          <w:rFonts w:cs="Times New Roman"/>
        </w:rPr>
        <w:t>light source is working normally.</w:t>
      </w:r>
      <w:r>
        <w:rPr>
          <w:rFonts w:cs="Times New Roman"/>
        </w:rPr>
        <w:t xml:space="preserve">  Besides some </w:t>
      </w:r>
      <w:r w:rsidRPr="00C41FDF">
        <w:rPr>
          <w:rFonts w:cs="Times New Roman"/>
        </w:rPr>
        <w:t xml:space="preserve">mandatory </w:t>
      </w:r>
      <w:r>
        <w:rPr>
          <w:rFonts w:cs="Times New Roman"/>
        </w:rPr>
        <w:t>failure tell-tales, vehicles may also optionally be equipped wit</w:t>
      </w:r>
      <w:r w:rsidRPr="00C36EB9">
        <w:rPr>
          <w:rFonts w:cs="Times New Roman"/>
        </w:rPr>
        <w:t>h failure detection systems for other lighting or light signalling functions and on-board diagnostic systems, e.g. short voltage pulses to check the function of filament light sources in the off-state.</w:t>
      </w:r>
    </w:p>
    <w:p w:rsidR="00225E4A" w:rsidRDefault="00225E4A" w:rsidP="00225E4A">
      <w:pPr>
        <w:pStyle w:val="PlainText"/>
        <w:spacing w:after="120"/>
        <w:ind w:left="1134" w:right="1134"/>
        <w:jc w:val="both"/>
        <w:rPr>
          <w:rFonts w:cs="Times New Roman"/>
        </w:rPr>
      </w:pPr>
      <w:r>
        <w:rPr>
          <w:rFonts w:cs="Times New Roman"/>
        </w:rPr>
        <w:t xml:space="preserve">Failure detection systems and on-board diagnostic systems </w:t>
      </w:r>
      <w:r w:rsidRPr="000D3B70">
        <w:rPr>
          <w:rFonts w:cs="Times New Roman"/>
        </w:rPr>
        <w:t xml:space="preserve">are not </w:t>
      </w:r>
      <w:r>
        <w:rPr>
          <w:rFonts w:cs="Times New Roman"/>
        </w:rPr>
        <w:t xml:space="preserve">or hardly </w:t>
      </w:r>
      <w:r w:rsidRPr="000D3B70">
        <w:rPr>
          <w:rFonts w:cs="Times New Roman"/>
        </w:rPr>
        <w:t xml:space="preserve">specified </w:t>
      </w:r>
      <w:r>
        <w:rPr>
          <w:rFonts w:cs="Times New Roman"/>
        </w:rPr>
        <w:t xml:space="preserve">by regulations or by standards from officially recognised international standardisation organisations.  In particular the </w:t>
      </w:r>
      <w:r w:rsidRPr="000D3B70">
        <w:rPr>
          <w:rFonts w:cs="Times New Roman"/>
        </w:rPr>
        <w:t xml:space="preserve">electrical </w:t>
      </w:r>
      <w:r>
        <w:rPr>
          <w:rFonts w:cs="Times New Roman"/>
        </w:rPr>
        <w:t xml:space="preserve">detection </w:t>
      </w:r>
      <w:r w:rsidRPr="000D3B70">
        <w:rPr>
          <w:rFonts w:cs="Times New Roman"/>
        </w:rPr>
        <w:t xml:space="preserve">threshold is </w:t>
      </w:r>
      <w:r>
        <w:rPr>
          <w:rFonts w:cs="Times New Roman"/>
        </w:rPr>
        <w:t>not publicly known or standardized.</w:t>
      </w:r>
    </w:p>
    <w:p w:rsidR="00225E4A" w:rsidRPr="004769B0" w:rsidRDefault="00225E4A" w:rsidP="00225E4A">
      <w:pPr>
        <w:pStyle w:val="PlainText"/>
        <w:spacing w:after="120"/>
        <w:ind w:left="1134" w:right="1134"/>
        <w:jc w:val="both"/>
        <w:rPr>
          <w:rFonts w:cs="Times New Roman"/>
        </w:rPr>
      </w:pPr>
      <w:r w:rsidRPr="0034385A">
        <w:rPr>
          <w:rFonts w:cs="Times New Roman"/>
        </w:rPr>
        <w:t>Whereas</w:t>
      </w:r>
      <w:r>
        <w:rPr>
          <w:rFonts w:cs="Times New Roman"/>
        </w:rPr>
        <w:t xml:space="preserve"> the equivalent of the internal electrical circuit of a filament lamp is just a temperature dependent resistor with coil side-effects, the LED substitute light source electrical circuit is represented by diodes and resistors and may be capacitors and microchips with intelligence. Typical failures are not limited to simple open- or closed-circuit of the light source, although in </w:t>
      </w:r>
      <w:r w:rsidRPr="004769B0">
        <w:rPr>
          <w:rFonts w:cs="Times New Roman"/>
        </w:rPr>
        <w:t>rare cases also the filament can be partially short-circuited between windings of the coil.</w:t>
      </w:r>
    </w:p>
    <w:p w:rsidR="00225E4A" w:rsidRPr="004769B0" w:rsidRDefault="00225E4A" w:rsidP="00225E4A">
      <w:pPr>
        <w:pStyle w:val="PlainText"/>
        <w:spacing w:after="120"/>
        <w:ind w:left="1701" w:right="1134" w:hanging="567"/>
        <w:jc w:val="both"/>
        <w:rPr>
          <w:rFonts w:cs="Times New Roman"/>
        </w:rPr>
      </w:pPr>
      <w:r w:rsidRPr="004769B0">
        <w:rPr>
          <w:rFonts w:cs="Times New Roman"/>
        </w:rPr>
        <w:t>4.1.</w:t>
      </w:r>
      <w:r w:rsidRPr="004769B0">
        <w:rPr>
          <w:rFonts w:cs="Times New Roman"/>
        </w:rPr>
        <w:tab/>
        <w:t>Failure detection</w:t>
      </w:r>
    </w:p>
    <w:p w:rsidR="00225E4A" w:rsidRPr="00E01407" w:rsidRDefault="00225E4A" w:rsidP="00225E4A">
      <w:pPr>
        <w:pStyle w:val="PlainText"/>
        <w:spacing w:after="120"/>
        <w:ind w:left="1134" w:right="1134"/>
        <w:jc w:val="both"/>
        <w:rPr>
          <w:rFonts w:cs="Times New Roman"/>
          <w:lang w:val="en-US"/>
        </w:rPr>
      </w:pPr>
      <w:r w:rsidRPr="004769B0">
        <w:rPr>
          <w:rFonts w:cs="Times New Roman"/>
        </w:rPr>
        <w:t>In order to support the interface to such systems, a lower and upper limit for the electrical current shall be specified per category over a voltage range covering normal application conditions (e.g. 9V-16V DC for a 12V system) and LED substitute light sources shall not flash when a short voltage pulses (e.g. 1 millisecond) is applied.</w:t>
      </w:r>
    </w:p>
    <w:p w:rsidR="00225E4A" w:rsidRPr="004769B0" w:rsidRDefault="00225E4A" w:rsidP="00225E4A">
      <w:pPr>
        <w:pStyle w:val="PlainText"/>
        <w:spacing w:after="120"/>
        <w:ind w:left="1701" w:right="1134" w:hanging="567"/>
        <w:jc w:val="both"/>
        <w:rPr>
          <w:rFonts w:cs="Times New Roman"/>
        </w:rPr>
      </w:pPr>
      <w:r w:rsidRPr="004769B0">
        <w:rPr>
          <w:rFonts w:cs="Times New Roman"/>
        </w:rPr>
        <w:t>4.2.</w:t>
      </w:r>
      <w:r w:rsidRPr="004769B0">
        <w:rPr>
          <w:rFonts w:cs="Times New Roman"/>
        </w:rPr>
        <w:tab/>
        <w:t>Failure behaviour</w:t>
      </w:r>
    </w:p>
    <w:p w:rsidR="00225E4A" w:rsidRPr="002F76B9" w:rsidRDefault="00225E4A" w:rsidP="00225E4A">
      <w:pPr>
        <w:pStyle w:val="PlainText"/>
        <w:spacing w:after="120"/>
        <w:ind w:left="1134" w:right="1134"/>
        <w:jc w:val="both"/>
        <w:rPr>
          <w:rFonts w:cs="Times New Roman"/>
        </w:rPr>
      </w:pPr>
      <w:r w:rsidRPr="004769B0">
        <w:rPr>
          <w:rFonts w:cs="Times New Roman"/>
        </w:rPr>
        <w:t xml:space="preserve">A criterion per category </w:t>
      </w:r>
      <w:r w:rsidRPr="00C36EB9">
        <w:rPr>
          <w:rFonts w:cs="Times New Roman"/>
        </w:rPr>
        <w:t xml:space="preserve">shall reflect the situation that a LED substitute light source may consist of more than one light emitting element and a clear detection of malfunction is possible.  Example: “Either the LED substitute light source complies with luminous flux and intensity requirements, or it stops emitting light and the electrical current drops below a specified limit”. </w:t>
      </w:r>
    </w:p>
    <w:p w:rsidR="00225E4A" w:rsidRPr="002F76B9" w:rsidRDefault="00225E4A" w:rsidP="00225E4A">
      <w:pPr>
        <w:pStyle w:val="PlainText"/>
        <w:spacing w:after="120"/>
        <w:ind w:left="1134" w:right="1134"/>
        <w:jc w:val="both"/>
        <w:rPr>
          <w:rFonts w:cs="Times New Roman"/>
        </w:rPr>
      </w:pPr>
    </w:p>
    <w:p w:rsidR="00225E4A" w:rsidRPr="002F76B9" w:rsidRDefault="00225E4A" w:rsidP="00225E4A">
      <w:pPr>
        <w:pStyle w:val="Heading1"/>
        <w:spacing w:after="120"/>
        <w:ind w:left="1701" w:right="1134" w:hanging="567"/>
        <w:rPr>
          <w:b/>
        </w:rPr>
      </w:pPr>
      <w:r w:rsidRPr="002F76B9">
        <w:rPr>
          <w:b/>
        </w:rPr>
        <w:t>5.</w:t>
      </w:r>
      <w:r w:rsidRPr="002F76B9">
        <w:rPr>
          <w:b/>
        </w:rPr>
        <w:tab/>
        <w:t>DOCUMENTATION</w:t>
      </w:r>
    </w:p>
    <w:p w:rsidR="00225E4A" w:rsidRDefault="00225E4A" w:rsidP="00225E4A">
      <w:pPr>
        <w:pStyle w:val="PlainText"/>
        <w:spacing w:after="120"/>
        <w:ind w:left="1134" w:right="1134"/>
        <w:jc w:val="both"/>
        <w:rPr>
          <w:rFonts w:cs="Times New Roman"/>
        </w:rPr>
      </w:pPr>
      <w:r w:rsidRPr="002F76B9">
        <w:rPr>
          <w:rFonts w:cs="Times New Roman"/>
        </w:rPr>
        <w:t xml:space="preserve">The proposal for LED </w:t>
      </w:r>
      <w:r>
        <w:rPr>
          <w:rFonts w:cs="Times New Roman"/>
        </w:rPr>
        <w:t>substitute</w:t>
      </w:r>
      <w:r w:rsidRPr="002F76B9">
        <w:rPr>
          <w:rFonts w:cs="Times New Roman"/>
        </w:rPr>
        <w:t xml:space="preserve"> category sheet(s) shall be accompanied by information showing the equivalence with the corresponding filament light source category. Measurements of anonymised samples of filament lamps to derive equivalent performance shall be included. See also annex 4.</w:t>
      </w:r>
    </w:p>
    <w:p w:rsidR="00225E4A" w:rsidRPr="002F76B9" w:rsidRDefault="00225E4A" w:rsidP="00225E4A">
      <w:pPr>
        <w:pStyle w:val="PlainText"/>
        <w:spacing w:after="120"/>
        <w:ind w:left="1134" w:right="1134"/>
        <w:jc w:val="both"/>
        <w:rPr>
          <w:rFonts w:cs="Times New Roman"/>
        </w:rPr>
      </w:pPr>
      <w:r>
        <w:rPr>
          <w:rFonts w:cs="Times New Roman"/>
          <w:color w:val="FF0000"/>
        </w:rPr>
        <w:br w:type="page"/>
      </w:r>
    </w:p>
    <w:p w:rsidR="00225E4A" w:rsidRDefault="00225E4A" w:rsidP="00225E4A">
      <w:pPr>
        <w:pStyle w:val="Heading1"/>
        <w:spacing w:after="120"/>
        <w:ind w:right="1134"/>
        <w:rPr>
          <w:b/>
        </w:rPr>
      </w:pPr>
      <w:r>
        <w:rPr>
          <w:b/>
        </w:rPr>
        <w:lastRenderedPageBreak/>
        <w:t>ANNEXES</w:t>
      </w:r>
    </w:p>
    <w:p w:rsidR="00225E4A" w:rsidRPr="005B2AA3" w:rsidRDefault="00225E4A" w:rsidP="00225E4A">
      <w:pPr>
        <w:pStyle w:val="SingleTxtG"/>
        <w:ind w:left="1701" w:hanging="567"/>
      </w:pPr>
    </w:p>
    <w:p w:rsidR="00225E4A" w:rsidRDefault="00225E4A" w:rsidP="00225E4A">
      <w:pPr>
        <w:pStyle w:val="SingleTxtG"/>
        <w:ind w:left="1985" w:hanging="851"/>
        <w:jc w:val="left"/>
        <w:rPr>
          <w:b/>
        </w:rPr>
      </w:pPr>
      <w:r w:rsidRPr="00EE22D9">
        <w:rPr>
          <w:b/>
        </w:rPr>
        <w:t>Annex 1</w:t>
      </w:r>
    </w:p>
    <w:p w:rsidR="00225E4A" w:rsidRDefault="00225E4A" w:rsidP="00225E4A">
      <w:pPr>
        <w:pStyle w:val="SingleTxtG"/>
        <w:ind w:left="1985" w:hanging="851"/>
        <w:jc w:val="left"/>
        <w:rPr>
          <w:b/>
        </w:rPr>
      </w:pPr>
      <w:r>
        <w:rPr>
          <w:b/>
        </w:rPr>
        <w:t>Clarification of the</w:t>
      </w:r>
      <w:r w:rsidRPr="00EE22D9">
        <w:rPr>
          <w:b/>
        </w:rPr>
        <w:t xml:space="preserve"> requirements to the </w:t>
      </w:r>
      <w:r>
        <w:rPr>
          <w:b/>
        </w:rPr>
        <w:t>normalized luminous intensity distribution</w:t>
      </w:r>
    </w:p>
    <w:p w:rsidR="00225E4A" w:rsidRDefault="00225E4A" w:rsidP="00225E4A">
      <w:pPr>
        <w:pStyle w:val="PlainText"/>
        <w:spacing w:after="120"/>
        <w:ind w:left="1134" w:right="1134"/>
        <w:jc w:val="both"/>
        <w:rPr>
          <w:rFonts w:cs="Times New Roman"/>
        </w:rPr>
      </w:pPr>
    </w:p>
    <w:p w:rsidR="00225E4A" w:rsidRPr="00384F4F" w:rsidRDefault="00225E4A" w:rsidP="00225E4A">
      <w:pPr>
        <w:pStyle w:val="PlainText"/>
        <w:spacing w:after="120"/>
        <w:ind w:left="1134" w:right="1134"/>
        <w:jc w:val="both"/>
        <w:rPr>
          <w:rFonts w:cs="Times New Roman"/>
        </w:rPr>
      </w:pPr>
      <w:r w:rsidRPr="00384F4F">
        <w:rPr>
          <w:rFonts w:cs="Times New Roman"/>
        </w:rPr>
        <w:t xml:space="preserve">The normalized luminous intensity distribution of </w:t>
      </w:r>
      <w:r>
        <w:rPr>
          <w:rFonts w:cs="Times New Roman"/>
        </w:rPr>
        <w:t xml:space="preserve">homologated </w:t>
      </w:r>
      <w:r w:rsidRPr="00384F4F">
        <w:rPr>
          <w:rFonts w:cs="Times New Roman"/>
        </w:rPr>
        <w:t>filament light source</w:t>
      </w:r>
      <w:r>
        <w:rPr>
          <w:rFonts w:cs="Times New Roman"/>
        </w:rPr>
        <w:t xml:space="preserve"> sample</w:t>
      </w:r>
      <w:r w:rsidRPr="00384F4F">
        <w:rPr>
          <w:rFonts w:cs="Times New Roman"/>
        </w:rPr>
        <w:t xml:space="preserve">s typically exhibits </w:t>
      </w:r>
      <w:r>
        <w:rPr>
          <w:rFonts w:cs="Times New Roman"/>
        </w:rPr>
        <w:t>lamp</w:t>
      </w:r>
      <w:r w:rsidRPr="00384F4F">
        <w:rPr>
          <w:rFonts w:cs="Times New Roman"/>
        </w:rPr>
        <w:t>-to-</w:t>
      </w:r>
      <w:r>
        <w:rPr>
          <w:rFonts w:cs="Times New Roman"/>
        </w:rPr>
        <w:t>lamp</w:t>
      </w:r>
      <w:r w:rsidRPr="00384F4F">
        <w:rPr>
          <w:rFonts w:cs="Times New Roman"/>
        </w:rPr>
        <w:t xml:space="preserve"> variations due to the specific design, i.e. due to non-regulated parameters (glass thickness variations, shape of glass bulb, coiling structure of filament, etc.) and/or tolerances </w:t>
      </w:r>
      <w:r>
        <w:rPr>
          <w:rFonts w:cs="Times New Roman"/>
        </w:rPr>
        <w:t>(filament position, lead-in wire position</w:t>
      </w:r>
      <w:r w:rsidRPr="00384F4F">
        <w:rPr>
          <w:rFonts w:cs="Times New Roman"/>
        </w:rPr>
        <w:t xml:space="preserve">). </w:t>
      </w:r>
      <w:r>
        <w:rPr>
          <w:rFonts w:cs="Times New Roman"/>
        </w:rPr>
        <w:t xml:space="preserve"> </w:t>
      </w:r>
      <w:r w:rsidRPr="00384F4F">
        <w:rPr>
          <w:rFonts w:cs="Times New Roman"/>
        </w:rPr>
        <w:t>Further, “distorted” areas (design of lead-in wires and their relative position to the filament, proximity of filament axis, transition region of the cap, glass tips) lead to extreme variations in specific angular regions.</w:t>
      </w:r>
    </w:p>
    <w:p w:rsidR="00225E4A" w:rsidRPr="00384F4F" w:rsidRDefault="00225E4A" w:rsidP="00225E4A">
      <w:pPr>
        <w:pStyle w:val="PlainText"/>
        <w:spacing w:after="120"/>
        <w:ind w:left="1134" w:right="1134"/>
        <w:jc w:val="both"/>
        <w:rPr>
          <w:rFonts w:cs="Times New Roman"/>
        </w:rPr>
      </w:pPr>
      <w:r>
        <w:rPr>
          <w:rFonts w:cs="Times New Roman"/>
        </w:rPr>
        <w:t>However</w:t>
      </w:r>
      <w:r w:rsidRPr="00384F4F">
        <w:rPr>
          <w:rFonts w:cs="Times New Roman"/>
        </w:rPr>
        <w:t xml:space="preserve">, straight filaments generate quite similar emission patterns in the directions of major light emission, i.e. </w:t>
      </w:r>
      <w:r>
        <w:rPr>
          <w:rFonts w:cs="Times New Roman"/>
        </w:rPr>
        <w:t xml:space="preserve">more or less </w:t>
      </w:r>
      <w:r w:rsidRPr="00384F4F">
        <w:rPr>
          <w:rFonts w:cs="Times New Roman"/>
        </w:rPr>
        <w:t>perpendicular to the filament axis (e.g. +/- 30°).</w:t>
      </w:r>
    </w:p>
    <w:p w:rsidR="00225E4A" w:rsidRPr="00384F4F" w:rsidRDefault="00225E4A" w:rsidP="00225E4A">
      <w:pPr>
        <w:pStyle w:val="PlainText"/>
        <w:spacing w:after="120"/>
        <w:ind w:left="1134" w:right="1134"/>
        <w:jc w:val="both"/>
        <w:rPr>
          <w:rFonts w:cs="Times New Roman"/>
        </w:rPr>
      </w:pPr>
      <w:r w:rsidRPr="00384F4F">
        <w:rPr>
          <w:rFonts w:cs="Times New Roman"/>
        </w:rPr>
        <w:t xml:space="preserve">Therefore, the </w:t>
      </w:r>
      <w:r>
        <w:rPr>
          <w:rFonts w:cs="Times New Roman"/>
        </w:rPr>
        <w:t>specification</w:t>
      </w:r>
      <w:r w:rsidRPr="00384F4F">
        <w:rPr>
          <w:rFonts w:cs="Times New Roman"/>
        </w:rPr>
        <w:t xml:space="preserve"> of equivalent radiation characteristics of LED </w:t>
      </w:r>
      <w:r>
        <w:rPr>
          <w:rFonts w:cs="Times New Roman"/>
        </w:rPr>
        <w:t>substitute</w:t>
      </w:r>
      <w:r w:rsidRPr="00384F4F">
        <w:rPr>
          <w:rFonts w:cs="Times New Roman"/>
        </w:rPr>
        <w:t xml:space="preserve"> light sources is limited to the </w:t>
      </w:r>
      <w:r>
        <w:rPr>
          <w:rFonts w:cs="Times New Roman"/>
        </w:rPr>
        <w:t>directions</w:t>
      </w:r>
      <w:r w:rsidRPr="00384F4F">
        <w:rPr>
          <w:rFonts w:cs="Times New Roman"/>
        </w:rPr>
        <w:t xml:space="preserve"> of relevant light emission of the corresponding filament light source </w:t>
      </w:r>
      <w:r>
        <w:rPr>
          <w:rFonts w:cs="Times New Roman"/>
        </w:rPr>
        <w:t>excluding</w:t>
      </w:r>
      <w:r w:rsidRPr="00384F4F">
        <w:rPr>
          <w:rFonts w:cs="Times New Roman"/>
        </w:rPr>
        <w:t xml:space="preserve"> “distorted” areas.</w:t>
      </w:r>
    </w:p>
    <w:p w:rsidR="00225E4A" w:rsidRDefault="00225E4A" w:rsidP="00225E4A">
      <w:pPr>
        <w:pStyle w:val="PlainText"/>
        <w:spacing w:after="120"/>
        <w:ind w:left="1134" w:right="1134"/>
        <w:jc w:val="both"/>
        <w:rPr>
          <w:rFonts w:cs="Times New Roman"/>
        </w:rPr>
      </w:pPr>
      <w:r w:rsidRPr="00384F4F">
        <w:rPr>
          <w:rFonts w:cs="Times New Roman"/>
        </w:rPr>
        <w:t xml:space="preserve">Depending on the specific filament light source category, the excluded areas are different. Figure 1 shows representative </w:t>
      </w:r>
      <w:proofErr w:type="gramStart"/>
      <w:r w:rsidRPr="00384F4F">
        <w:rPr>
          <w:rFonts w:cs="Times New Roman"/>
        </w:rPr>
        <w:t>examples</w:t>
      </w:r>
      <w:proofErr w:type="gramEnd"/>
      <w:r w:rsidRPr="00384F4F">
        <w:rPr>
          <w:rFonts w:cs="Times New Roman"/>
        </w:rPr>
        <w:t xml:space="preserve"> of transversal and axial filament </w:t>
      </w:r>
      <w:r>
        <w:rPr>
          <w:rFonts w:cs="Times New Roman"/>
        </w:rPr>
        <w:t>positions</w:t>
      </w:r>
      <w:r w:rsidRPr="00384F4F">
        <w:rPr>
          <w:rFonts w:cs="Times New Roman"/>
        </w:rPr>
        <w:t xml:space="preserve"> and limitations of the </w:t>
      </w:r>
      <w:r>
        <w:rPr>
          <w:rFonts w:cs="Times New Roman"/>
        </w:rPr>
        <w:t>directions</w:t>
      </w:r>
      <w:r w:rsidRPr="00384F4F">
        <w:rPr>
          <w:rFonts w:cs="Times New Roman"/>
        </w:rPr>
        <w:t xml:space="preserve"> where light emission </w:t>
      </w:r>
      <w:r>
        <w:rPr>
          <w:rFonts w:cs="Times New Roman"/>
        </w:rPr>
        <w:t>of the LED substitute</w:t>
      </w:r>
      <w:r w:rsidRPr="00384F4F">
        <w:rPr>
          <w:rFonts w:cs="Times New Roman"/>
        </w:rPr>
        <w:t xml:space="preserve"> </w:t>
      </w:r>
      <w:r>
        <w:rPr>
          <w:rFonts w:cs="Times New Roman"/>
        </w:rPr>
        <w:t xml:space="preserve">light source </w:t>
      </w:r>
      <w:r w:rsidRPr="00384F4F">
        <w:rPr>
          <w:rFonts w:cs="Times New Roman"/>
        </w:rPr>
        <w:t xml:space="preserve">shall be </w:t>
      </w:r>
      <w:r>
        <w:rPr>
          <w:rFonts w:cs="Times New Roman"/>
        </w:rPr>
        <w:t>specified</w:t>
      </w:r>
      <w:r w:rsidRPr="00384F4F">
        <w:rPr>
          <w:rFonts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2410"/>
        <w:gridCol w:w="3324"/>
      </w:tblGrid>
      <w:tr w:rsidR="00225E4A" w:rsidRPr="00E01407" w:rsidTr="002C4F74">
        <w:trPr>
          <w:jc w:val="center"/>
        </w:trPr>
        <w:tc>
          <w:tcPr>
            <w:tcW w:w="1706" w:type="dxa"/>
            <w:shd w:val="clear" w:color="auto" w:fill="auto"/>
          </w:tcPr>
          <w:p w:rsidR="00225E4A" w:rsidRPr="00A65C3E" w:rsidRDefault="00225E4A" w:rsidP="002C4F74">
            <w:pPr>
              <w:pStyle w:val="PlainText"/>
              <w:keepNext/>
              <w:spacing w:after="120"/>
              <w:ind w:right="1134"/>
              <w:jc w:val="both"/>
              <w:rPr>
                <w:rFonts w:cs="Times New Roman"/>
              </w:rPr>
            </w:pPr>
          </w:p>
        </w:tc>
        <w:tc>
          <w:tcPr>
            <w:tcW w:w="2410" w:type="dxa"/>
            <w:shd w:val="clear" w:color="auto" w:fill="auto"/>
          </w:tcPr>
          <w:p w:rsidR="00225E4A" w:rsidRPr="00A65C3E" w:rsidRDefault="00225E4A" w:rsidP="002C4F74">
            <w:pPr>
              <w:pStyle w:val="PlainText"/>
              <w:keepNext/>
              <w:spacing w:after="120"/>
              <w:ind w:right="142" w:firstLine="142"/>
              <w:jc w:val="both"/>
              <w:rPr>
                <w:rFonts w:cs="Times New Roman"/>
              </w:rPr>
            </w:pPr>
            <w:r w:rsidRPr="00A65C3E">
              <w:rPr>
                <w:i/>
              </w:rPr>
              <w:t>Orientation of C-planes</w:t>
            </w:r>
          </w:p>
        </w:tc>
        <w:tc>
          <w:tcPr>
            <w:tcW w:w="3324" w:type="dxa"/>
            <w:shd w:val="clear" w:color="auto" w:fill="auto"/>
          </w:tcPr>
          <w:p w:rsidR="00225E4A" w:rsidRPr="00A65C3E" w:rsidRDefault="00225E4A" w:rsidP="002C4F74">
            <w:pPr>
              <w:pStyle w:val="PlainText"/>
              <w:keepNext/>
              <w:tabs>
                <w:tab w:val="left" w:pos="2835"/>
              </w:tabs>
              <w:spacing w:after="120"/>
              <w:ind w:right="141" w:firstLine="141"/>
              <w:jc w:val="both"/>
              <w:rPr>
                <w:rFonts w:cs="Times New Roman"/>
              </w:rPr>
            </w:pPr>
            <w:r w:rsidRPr="00A65C3E">
              <w:rPr>
                <w:i/>
              </w:rPr>
              <w:t xml:space="preserve">Angular limitation of </w:t>
            </w:r>
            <w:r w:rsidRPr="00A65C3E">
              <w:rPr>
                <w:rFonts w:ascii="Symbol" w:hAnsi="Symbol"/>
                <w:i/>
              </w:rPr>
              <w:t></w:t>
            </w:r>
            <w:r w:rsidRPr="00A65C3E">
              <w:rPr>
                <w:rFonts w:ascii="Symbol" w:hAnsi="Symbol"/>
                <w:i/>
              </w:rPr>
              <w:t></w:t>
            </w:r>
            <w:r w:rsidRPr="00A65C3E">
              <w:rPr>
                <w:i/>
              </w:rPr>
              <w:t>in C</w:t>
            </w:r>
            <w:r w:rsidRPr="00CD337E">
              <w:rPr>
                <w:i/>
                <w:vertAlign w:val="subscript"/>
              </w:rPr>
              <w:t>0</w:t>
            </w:r>
            <w:r w:rsidRPr="00A65C3E">
              <w:rPr>
                <w:i/>
              </w:rPr>
              <w:t>-plane</w:t>
            </w:r>
          </w:p>
        </w:tc>
      </w:tr>
      <w:tr w:rsidR="00225E4A" w:rsidTr="002C4F74">
        <w:trPr>
          <w:jc w:val="center"/>
        </w:trPr>
        <w:tc>
          <w:tcPr>
            <w:tcW w:w="1706" w:type="dxa"/>
            <w:shd w:val="clear" w:color="auto" w:fill="auto"/>
            <w:vAlign w:val="center"/>
          </w:tcPr>
          <w:p w:rsidR="00225E4A" w:rsidRPr="00A65C3E" w:rsidRDefault="00225E4A" w:rsidP="002C4F74">
            <w:pPr>
              <w:pStyle w:val="SingleTxtG"/>
              <w:keepNext/>
              <w:ind w:left="107" w:right="113"/>
              <w:rPr>
                <w:i/>
              </w:rPr>
            </w:pPr>
            <w:r w:rsidRPr="00A65C3E">
              <w:rPr>
                <w:i/>
              </w:rPr>
              <w:t>Example P21W</w:t>
            </w:r>
          </w:p>
        </w:tc>
        <w:tc>
          <w:tcPr>
            <w:tcW w:w="2410" w:type="dxa"/>
            <w:shd w:val="clear" w:color="auto" w:fill="auto"/>
            <w:vAlign w:val="center"/>
          </w:tcPr>
          <w:p w:rsidR="00225E4A" w:rsidRPr="00395AC1" w:rsidRDefault="00225E4A" w:rsidP="002C4F74">
            <w:pPr>
              <w:pStyle w:val="PlainText"/>
              <w:keepNext/>
              <w:tabs>
                <w:tab w:val="left" w:pos="2835"/>
              </w:tabs>
              <w:spacing w:after="120"/>
              <w:ind w:right="8"/>
              <w:jc w:val="center"/>
              <w:rPr>
                <w:rFonts w:cs="Times New Roman"/>
                <w:i/>
              </w:rPr>
            </w:pPr>
            <w:r w:rsidRPr="00395AC1">
              <w:rPr>
                <w:rFonts w:cs="Times New Roman"/>
                <w:i/>
              </w:rPr>
              <w:t>top view</w:t>
            </w:r>
          </w:p>
          <w:p w:rsidR="00225E4A" w:rsidRPr="00A65C3E" w:rsidRDefault="00225E4A" w:rsidP="002C4F74">
            <w:pPr>
              <w:pStyle w:val="PlainText"/>
              <w:keepNext/>
              <w:tabs>
                <w:tab w:val="left" w:pos="2835"/>
              </w:tabs>
              <w:spacing w:after="120"/>
              <w:ind w:right="8"/>
              <w:jc w:val="center"/>
              <w:rPr>
                <w:rFonts w:cs="Times New Roman"/>
              </w:rPr>
            </w:pPr>
            <w:r>
              <w:rPr>
                <w:rFonts w:cs="Times New Roman"/>
                <w:noProof/>
                <w:lang w:val="en-US"/>
              </w:rPr>
              <w:drawing>
                <wp:inline distT="0" distB="0" distL="0" distR="0">
                  <wp:extent cx="1078865" cy="138366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65" cy="1383665"/>
                          </a:xfrm>
                          <a:prstGeom prst="rect">
                            <a:avLst/>
                          </a:prstGeom>
                          <a:noFill/>
                        </pic:spPr>
                      </pic:pic>
                    </a:graphicData>
                  </a:graphic>
                </wp:inline>
              </w:drawing>
            </w:r>
          </w:p>
        </w:tc>
        <w:tc>
          <w:tcPr>
            <w:tcW w:w="3324" w:type="dxa"/>
            <w:shd w:val="clear" w:color="auto" w:fill="auto"/>
            <w:vAlign w:val="center"/>
          </w:tcPr>
          <w:p w:rsidR="00225E4A" w:rsidRPr="00A65C3E" w:rsidRDefault="00225E4A" w:rsidP="002C4F74">
            <w:pPr>
              <w:pStyle w:val="PlainText"/>
              <w:keepNext/>
              <w:spacing w:after="120"/>
              <w:ind w:right="41"/>
              <w:jc w:val="center"/>
              <w:rPr>
                <w:rFonts w:cs="Times New Roman"/>
              </w:rPr>
            </w:pPr>
            <w:r>
              <w:rPr>
                <w:rFonts w:cs="Times New Roman"/>
                <w:noProof/>
                <w:lang w:val="en-US"/>
              </w:rPr>
              <w:drawing>
                <wp:inline distT="0" distB="0" distL="0" distR="0">
                  <wp:extent cx="1889760" cy="1938655"/>
                  <wp:effectExtent l="0" t="0" r="0" b="444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938655"/>
                          </a:xfrm>
                          <a:prstGeom prst="rect">
                            <a:avLst/>
                          </a:prstGeom>
                          <a:noFill/>
                        </pic:spPr>
                      </pic:pic>
                    </a:graphicData>
                  </a:graphic>
                </wp:inline>
              </w:drawing>
            </w:r>
          </w:p>
        </w:tc>
      </w:tr>
      <w:tr w:rsidR="00225E4A" w:rsidTr="002C4F74">
        <w:trPr>
          <w:jc w:val="center"/>
        </w:trPr>
        <w:tc>
          <w:tcPr>
            <w:tcW w:w="1706" w:type="dxa"/>
            <w:shd w:val="clear" w:color="auto" w:fill="auto"/>
            <w:vAlign w:val="center"/>
          </w:tcPr>
          <w:p w:rsidR="00225E4A" w:rsidRPr="00A65C3E" w:rsidRDefault="00225E4A" w:rsidP="002C4F74">
            <w:pPr>
              <w:pStyle w:val="SingleTxtG"/>
              <w:keepNext/>
              <w:ind w:left="107" w:right="113"/>
              <w:rPr>
                <w:i/>
              </w:rPr>
            </w:pPr>
            <w:r w:rsidRPr="00A65C3E">
              <w:rPr>
                <w:i/>
              </w:rPr>
              <w:t>Example PW24W</w:t>
            </w:r>
          </w:p>
        </w:tc>
        <w:tc>
          <w:tcPr>
            <w:tcW w:w="2410" w:type="dxa"/>
            <w:shd w:val="clear" w:color="auto" w:fill="auto"/>
          </w:tcPr>
          <w:p w:rsidR="00225E4A" w:rsidRPr="00A65C3E" w:rsidRDefault="00225E4A" w:rsidP="002C4F74">
            <w:pPr>
              <w:pStyle w:val="PlainText"/>
              <w:keepNext/>
              <w:spacing w:after="120"/>
              <w:jc w:val="center"/>
              <w:rPr>
                <w:rFonts w:cs="Times New Roman"/>
              </w:rPr>
            </w:pPr>
            <w:r>
              <w:rPr>
                <w:rFonts w:cs="Times New Roman"/>
                <w:noProof/>
                <w:lang w:val="en-US"/>
              </w:rPr>
              <w:drawing>
                <wp:inline distT="0" distB="0" distL="0" distR="0">
                  <wp:extent cx="1432560" cy="1896110"/>
                  <wp:effectExtent l="0" t="0" r="0" b="889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60" cy="1896110"/>
                          </a:xfrm>
                          <a:prstGeom prst="rect">
                            <a:avLst/>
                          </a:prstGeom>
                          <a:noFill/>
                        </pic:spPr>
                      </pic:pic>
                    </a:graphicData>
                  </a:graphic>
                </wp:inline>
              </w:drawing>
            </w:r>
          </w:p>
        </w:tc>
        <w:tc>
          <w:tcPr>
            <w:tcW w:w="3324" w:type="dxa"/>
            <w:shd w:val="clear" w:color="auto" w:fill="auto"/>
          </w:tcPr>
          <w:p w:rsidR="00225E4A" w:rsidRPr="00395AC1" w:rsidRDefault="00225E4A" w:rsidP="002C4F74">
            <w:pPr>
              <w:pStyle w:val="PlainText"/>
              <w:keepNext/>
              <w:spacing w:after="120"/>
              <w:jc w:val="center"/>
              <w:rPr>
                <w:rFonts w:cs="Times New Roman"/>
                <w:i/>
              </w:rPr>
            </w:pPr>
            <w:r w:rsidRPr="00395AC1">
              <w:rPr>
                <w:rFonts w:cs="Times New Roman"/>
                <w:i/>
              </w:rPr>
              <w:t>top view</w:t>
            </w:r>
          </w:p>
          <w:p w:rsidR="00225E4A" w:rsidRPr="00A65C3E" w:rsidRDefault="00225E4A" w:rsidP="002C4F74">
            <w:pPr>
              <w:pStyle w:val="PlainText"/>
              <w:keepNext/>
              <w:spacing w:after="120"/>
              <w:rPr>
                <w:rFonts w:cs="Times New Roman"/>
              </w:rPr>
            </w:pPr>
            <w:r>
              <w:rPr>
                <w:rFonts w:cs="Times New Roman"/>
                <w:noProof/>
                <w:lang w:val="en-US"/>
              </w:rPr>
              <w:drawing>
                <wp:inline distT="0" distB="0" distL="0" distR="0">
                  <wp:extent cx="1920240" cy="1329055"/>
                  <wp:effectExtent l="0" t="0" r="3810" b="444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240" cy="1329055"/>
                          </a:xfrm>
                          <a:prstGeom prst="rect">
                            <a:avLst/>
                          </a:prstGeom>
                          <a:noFill/>
                        </pic:spPr>
                      </pic:pic>
                    </a:graphicData>
                  </a:graphic>
                </wp:inline>
              </w:drawing>
            </w:r>
          </w:p>
        </w:tc>
      </w:tr>
      <w:tr w:rsidR="00225E4A" w:rsidTr="002C4F74">
        <w:trPr>
          <w:jc w:val="center"/>
        </w:trPr>
        <w:tc>
          <w:tcPr>
            <w:tcW w:w="1706" w:type="dxa"/>
            <w:shd w:val="clear" w:color="auto" w:fill="auto"/>
            <w:vAlign w:val="center"/>
          </w:tcPr>
          <w:p w:rsidR="00225E4A" w:rsidRPr="00A65C3E" w:rsidRDefault="00225E4A" w:rsidP="002C4F74">
            <w:pPr>
              <w:pStyle w:val="SingleTxtG"/>
              <w:keepNext/>
              <w:ind w:left="107" w:right="113"/>
              <w:rPr>
                <w:i/>
              </w:rPr>
            </w:pPr>
            <w:r w:rsidRPr="00A65C3E">
              <w:rPr>
                <w:i/>
              </w:rPr>
              <w:t>Example H21W</w:t>
            </w:r>
          </w:p>
        </w:tc>
        <w:tc>
          <w:tcPr>
            <w:tcW w:w="2410" w:type="dxa"/>
            <w:shd w:val="clear" w:color="auto" w:fill="auto"/>
          </w:tcPr>
          <w:p w:rsidR="00225E4A" w:rsidRPr="00395AC1" w:rsidRDefault="00225E4A" w:rsidP="002C4F74">
            <w:pPr>
              <w:pStyle w:val="PlainText"/>
              <w:keepNext/>
              <w:spacing w:after="120"/>
              <w:jc w:val="center"/>
              <w:rPr>
                <w:rFonts w:cs="Times New Roman"/>
                <w:i/>
              </w:rPr>
            </w:pPr>
            <w:r w:rsidRPr="00395AC1">
              <w:rPr>
                <w:rFonts w:cs="Times New Roman"/>
                <w:i/>
              </w:rPr>
              <w:t>top view</w:t>
            </w:r>
          </w:p>
          <w:p w:rsidR="00225E4A" w:rsidRPr="00A65C3E" w:rsidRDefault="00225E4A" w:rsidP="002C4F74">
            <w:pPr>
              <w:pStyle w:val="PlainText"/>
              <w:keepNext/>
              <w:spacing w:after="120"/>
              <w:rPr>
                <w:rFonts w:cs="Times New Roman"/>
              </w:rPr>
            </w:pPr>
          </w:p>
          <w:p w:rsidR="00225E4A" w:rsidRPr="00A65C3E" w:rsidRDefault="00225E4A" w:rsidP="002C4F74">
            <w:pPr>
              <w:pStyle w:val="PlainText"/>
              <w:keepNext/>
              <w:spacing w:after="120"/>
              <w:jc w:val="center"/>
              <w:rPr>
                <w:rFonts w:cs="Times New Roman"/>
              </w:rPr>
            </w:pPr>
            <w:r>
              <w:rPr>
                <w:rFonts w:cs="Times New Roman"/>
                <w:noProof/>
                <w:lang w:val="en-US"/>
              </w:rPr>
              <w:drawing>
                <wp:inline distT="0" distB="0" distL="0" distR="0">
                  <wp:extent cx="1309370" cy="1104900"/>
                  <wp:effectExtent l="0" t="0" r="508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9370" cy="1104900"/>
                          </a:xfrm>
                          <a:prstGeom prst="rect">
                            <a:avLst/>
                          </a:prstGeom>
                          <a:noFill/>
                        </pic:spPr>
                      </pic:pic>
                    </a:graphicData>
                  </a:graphic>
                </wp:inline>
              </w:drawing>
            </w:r>
          </w:p>
        </w:tc>
        <w:tc>
          <w:tcPr>
            <w:tcW w:w="3324" w:type="dxa"/>
            <w:shd w:val="clear" w:color="auto" w:fill="auto"/>
          </w:tcPr>
          <w:p w:rsidR="00225E4A" w:rsidRPr="00A65C3E" w:rsidRDefault="00225E4A" w:rsidP="002C4F74">
            <w:pPr>
              <w:pStyle w:val="PlainText"/>
              <w:keepNext/>
              <w:spacing w:after="120"/>
              <w:jc w:val="center"/>
              <w:rPr>
                <w:rFonts w:cs="Times New Roman"/>
              </w:rPr>
            </w:pPr>
            <w:r>
              <w:rPr>
                <w:rFonts w:cs="Times New Roman"/>
                <w:noProof/>
                <w:lang w:val="en-US"/>
              </w:rPr>
              <w:drawing>
                <wp:inline distT="0" distB="0" distL="0" distR="0">
                  <wp:extent cx="1585595" cy="244348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5595" cy="2443480"/>
                          </a:xfrm>
                          <a:prstGeom prst="rect">
                            <a:avLst/>
                          </a:prstGeom>
                          <a:noFill/>
                        </pic:spPr>
                      </pic:pic>
                    </a:graphicData>
                  </a:graphic>
                </wp:inline>
              </w:drawing>
            </w:r>
          </w:p>
        </w:tc>
      </w:tr>
    </w:tbl>
    <w:p w:rsidR="00225E4A" w:rsidRDefault="00225E4A" w:rsidP="00225E4A">
      <w:pPr>
        <w:pStyle w:val="PlainText"/>
        <w:spacing w:after="120"/>
        <w:ind w:right="1134"/>
        <w:jc w:val="both"/>
        <w:rPr>
          <w:rFonts w:cs="Times New Roman"/>
        </w:rPr>
      </w:pPr>
    </w:p>
    <w:p w:rsidR="00225E4A" w:rsidRPr="008405EA" w:rsidRDefault="00225E4A" w:rsidP="00225E4A">
      <w:pPr>
        <w:pStyle w:val="SingleTxtG"/>
        <w:ind w:left="1701" w:hanging="567"/>
        <w:jc w:val="left"/>
        <w:rPr>
          <w:b/>
        </w:rPr>
      </w:pPr>
      <w:r w:rsidRPr="008405EA">
        <w:rPr>
          <w:b/>
        </w:rPr>
        <w:t xml:space="preserve">Figure 1: </w:t>
      </w:r>
      <w:r>
        <w:rPr>
          <w:b/>
        </w:rPr>
        <w:t xml:space="preserve">representative </w:t>
      </w:r>
      <w:r w:rsidRPr="008405EA">
        <w:rPr>
          <w:b/>
        </w:rPr>
        <w:t xml:space="preserve">examples of </w:t>
      </w:r>
      <w:r w:rsidRPr="00395AC1">
        <w:rPr>
          <w:b/>
        </w:rPr>
        <w:t xml:space="preserve">filament positions and limitations of the directions where light emission of the LED </w:t>
      </w:r>
      <w:r>
        <w:rPr>
          <w:b/>
        </w:rPr>
        <w:t>substitute</w:t>
      </w:r>
      <w:r w:rsidRPr="00395AC1">
        <w:rPr>
          <w:b/>
        </w:rPr>
        <w:t xml:space="preserve"> light source shall be specified</w:t>
      </w:r>
    </w:p>
    <w:p w:rsidR="00225E4A" w:rsidRDefault="00225E4A" w:rsidP="00225E4A">
      <w:pPr>
        <w:pStyle w:val="SingleTxtG"/>
        <w:ind w:left="1701" w:hanging="567"/>
        <w:jc w:val="left"/>
        <w:rPr>
          <w:b/>
        </w:rPr>
      </w:pPr>
      <w:r>
        <w:rPr>
          <w:b/>
        </w:rPr>
        <w:br w:type="page"/>
      </w:r>
      <w:r w:rsidRPr="00EE22D9">
        <w:rPr>
          <w:b/>
        </w:rPr>
        <w:lastRenderedPageBreak/>
        <w:t>Annex 2</w:t>
      </w:r>
    </w:p>
    <w:p w:rsidR="00225E4A" w:rsidRDefault="00225E4A" w:rsidP="00225E4A">
      <w:pPr>
        <w:pStyle w:val="SingleTxtG"/>
        <w:jc w:val="left"/>
        <w:rPr>
          <w:b/>
        </w:rPr>
      </w:pPr>
      <w:r>
        <w:rPr>
          <w:b/>
        </w:rPr>
        <w:t>Clarification of the definition of a minimum light emission of the defined box</w:t>
      </w:r>
    </w:p>
    <w:p w:rsidR="00225E4A" w:rsidRDefault="00225E4A" w:rsidP="00225E4A">
      <w:pPr>
        <w:pStyle w:val="PlainText"/>
        <w:spacing w:after="120"/>
        <w:ind w:left="1134" w:right="1134"/>
        <w:jc w:val="both"/>
        <w:rPr>
          <w:rFonts w:cs="Times New Roman"/>
        </w:rPr>
      </w:pPr>
    </w:p>
    <w:p w:rsidR="00225E4A" w:rsidRPr="00384F4F" w:rsidRDefault="00225E4A" w:rsidP="00225E4A">
      <w:pPr>
        <w:pStyle w:val="PlainText"/>
        <w:spacing w:after="120"/>
        <w:ind w:left="1134" w:right="1134"/>
        <w:jc w:val="both"/>
        <w:rPr>
          <w:rFonts w:cs="Times New Roman"/>
        </w:rPr>
      </w:pPr>
      <w:r w:rsidRPr="00384F4F">
        <w:rPr>
          <w:rFonts w:cs="Times New Roman"/>
        </w:rPr>
        <w:t xml:space="preserve">The luminous flux emitted from a filament light source is not </w:t>
      </w:r>
      <w:r>
        <w:rPr>
          <w:rFonts w:cs="Times New Roman"/>
        </w:rPr>
        <w:t>solely</w:t>
      </w:r>
      <w:r w:rsidRPr="00384F4F">
        <w:rPr>
          <w:rFonts w:cs="Times New Roman"/>
        </w:rPr>
        <w:t xml:space="preserve"> emitted from the filament. Scattered and reflected light from coatings, lead-in wires, etc. contribute to the emission characteristics. </w:t>
      </w:r>
    </w:p>
    <w:p w:rsidR="00225E4A" w:rsidRPr="00384F4F" w:rsidRDefault="00225E4A" w:rsidP="00225E4A">
      <w:pPr>
        <w:pStyle w:val="PlainText"/>
        <w:spacing w:after="120"/>
        <w:ind w:left="1134" w:right="1134"/>
        <w:jc w:val="both"/>
        <w:rPr>
          <w:rFonts w:cs="Times New Roman"/>
        </w:rPr>
      </w:pPr>
      <w:r w:rsidRPr="00384F4F">
        <w:rPr>
          <w:rFonts w:cs="Times New Roman"/>
        </w:rPr>
        <w:t xml:space="preserve">Therefore, the definition of an equivalent minimum percentage is defined for LED </w:t>
      </w:r>
      <w:r>
        <w:rPr>
          <w:rFonts w:cs="Times New Roman"/>
        </w:rPr>
        <w:t>substitute</w:t>
      </w:r>
      <w:r w:rsidRPr="00384F4F">
        <w:rPr>
          <w:rFonts w:cs="Times New Roman"/>
        </w:rPr>
        <w:t xml:space="preserve"> light sources on the basis of </w:t>
      </w:r>
      <w:r w:rsidRPr="00C41514">
        <w:t>measurements of homologated filament light source samples</w:t>
      </w:r>
      <w:r w:rsidRPr="00384F4F">
        <w:rPr>
          <w:rFonts w:cs="Times New Roman"/>
        </w:rPr>
        <w:t xml:space="preserve"> of the corresponding category.</w:t>
      </w:r>
    </w:p>
    <w:p w:rsidR="00225E4A" w:rsidRPr="00384F4F" w:rsidRDefault="00225E4A" w:rsidP="00225E4A">
      <w:pPr>
        <w:pStyle w:val="PlainText"/>
        <w:spacing w:after="120"/>
        <w:ind w:left="1134" w:right="1134"/>
        <w:jc w:val="both"/>
        <w:rPr>
          <w:rFonts w:cs="Times New Roman"/>
        </w:rPr>
      </w:pPr>
      <w:r w:rsidRPr="00384F4F">
        <w:rPr>
          <w:rFonts w:cs="Times New Roman"/>
        </w:rPr>
        <w:t xml:space="preserve">In figure 2 two examples of </w:t>
      </w:r>
      <w:r>
        <w:rPr>
          <w:rFonts w:cs="Times New Roman"/>
        </w:rPr>
        <w:t xml:space="preserve">an </w:t>
      </w:r>
      <w:r w:rsidRPr="00384F4F">
        <w:rPr>
          <w:rFonts w:cs="Times New Roman"/>
        </w:rPr>
        <w:t xml:space="preserve">amber filament light source (PY21W) are </w:t>
      </w:r>
      <w:r>
        <w:rPr>
          <w:rFonts w:cs="Times New Roman"/>
        </w:rPr>
        <w:t>shown</w:t>
      </w:r>
      <w:r w:rsidRPr="00384F4F">
        <w:rPr>
          <w:rFonts w:cs="Times New Roman"/>
        </w:rPr>
        <w:t>. One sample made of amber glass has a high percentage of direct light emission (~ 90%; i.e. only minor reflections due to the lead-in structure and the ghost image</w:t>
      </w:r>
      <w:r>
        <w:rPr>
          <w:rFonts w:cs="Times New Roman"/>
        </w:rPr>
        <w:t>s</w:t>
      </w:r>
      <w:r w:rsidRPr="00384F4F">
        <w:rPr>
          <w:rFonts w:cs="Times New Roman"/>
        </w:rPr>
        <w:t xml:space="preserve">) whereas the second sample using </w:t>
      </w:r>
      <w:r>
        <w:rPr>
          <w:rFonts w:cs="Times New Roman"/>
        </w:rPr>
        <w:t xml:space="preserve">an </w:t>
      </w:r>
      <w:r w:rsidRPr="00384F4F">
        <w:rPr>
          <w:rFonts w:cs="Times New Roman"/>
        </w:rPr>
        <w:t xml:space="preserve">amber coating has a </w:t>
      </w:r>
      <w:r>
        <w:rPr>
          <w:rFonts w:cs="Times New Roman"/>
        </w:rPr>
        <w:t>lower</w:t>
      </w:r>
      <w:r w:rsidRPr="00384F4F">
        <w:rPr>
          <w:rFonts w:cs="Times New Roman"/>
        </w:rPr>
        <w:t xml:space="preserve"> percentage of direct light emission (~70%; due to additional haze from the coat</w:t>
      </w:r>
      <w:r>
        <w:rPr>
          <w:rFonts w:cs="Times New Roman"/>
        </w:rPr>
        <w:t>ing</w:t>
      </w:r>
      <w:r w:rsidRPr="00384F4F">
        <w:rPr>
          <w:rFonts w:cs="Times New Roman"/>
        </w:rPr>
        <w:t xml:space="preserve"> material</w:t>
      </w:r>
      <w:r w:rsidRPr="00C41514">
        <w:rPr>
          <w:rFonts w:cs="Times New Roman"/>
        </w:rPr>
        <w:t xml:space="preserve">). </w:t>
      </w:r>
      <w:r>
        <w:rPr>
          <w:rFonts w:cs="Times New Roman"/>
        </w:rPr>
        <w:t xml:space="preserve"> </w:t>
      </w:r>
      <w:r w:rsidRPr="00C41514">
        <w:rPr>
          <w:rFonts w:cs="Times New Roman"/>
        </w:rPr>
        <w:t xml:space="preserve">Hence, for the given </w:t>
      </w:r>
      <w:r>
        <w:rPr>
          <w:rFonts w:cs="Times New Roman"/>
        </w:rPr>
        <w:t>examples</w:t>
      </w:r>
      <w:r w:rsidRPr="00C41514">
        <w:rPr>
          <w:rFonts w:cs="Times New Roman"/>
        </w:rPr>
        <w:t xml:space="preserve"> of PY21W</w:t>
      </w:r>
      <w:r>
        <w:rPr>
          <w:rFonts w:cs="Times New Roman"/>
        </w:rPr>
        <w:t xml:space="preserve"> </w:t>
      </w:r>
      <w:r w:rsidRPr="00384F4F">
        <w:rPr>
          <w:rFonts w:cs="Times New Roman"/>
        </w:rPr>
        <w:t>filament light source</w:t>
      </w:r>
      <w:r>
        <w:rPr>
          <w:rFonts w:cs="Times New Roman"/>
        </w:rPr>
        <w:t>s</w:t>
      </w:r>
      <w:r w:rsidRPr="00C41514">
        <w:rPr>
          <w:rFonts w:cs="Times New Roman"/>
        </w:rPr>
        <w:t xml:space="preserve"> in figure 2 the minimum percentage value of the </w:t>
      </w:r>
      <w:r w:rsidRPr="00C41514">
        <w:rPr>
          <w:lang w:val="en-US"/>
        </w:rPr>
        <w:t xml:space="preserve">luminous flux emitted from the box into the given viewing direction(s), the so-called Direct-Flux-Ratio </w:t>
      </w:r>
      <w:proofErr w:type="gramStart"/>
      <w:r w:rsidRPr="00C41514">
        <w:rPr>
          <w:lang w:val="en-US"/>
        </w:rPr>
        <w:t>DFR,</w:t>
      </w:r>
      <w:proofErr w:type="gramEnd"/>
      <w:r w:rsidRPr="00C41514">
        <w:rPr>
          <w:lang w:val="en-US"/>
        </w:rPr>
        <w:t xml:space="preserve"> shall be 80%.</w:t>
      </w:r>
    </w:p>
    <w:p w:rsidR="00225E4A" w:rsidRPr="00A61DF5" w:rsidRDefault="006637AB" w:rsidP="00225E4A">
      <w:pPr>
        <w:ind w:left="1701" w:right="1134" w:hanging="567"/>
        <w:rPr>
          <w:lang w:val="en-US"/>
        </w:rPr>
      </w:pPr>
      <w:r>
        <w:rPr>
          <w:noProof/>
          <w:lang w:eastAsia="en-GB"/>
        </w:rPr>
        <w:pict>
          <v:shapetype id="_x0000_t202" coordsize="21600,21600" o:spt="202" path="m,l,21600r21600,l21600,xe">
            <v:stroke joinstyle="miter"/>
            <v:path gradientshapeok="t" o:connecttype="rect"/>
          </v:shapetype>
          <v:shape id="_x0000_s1045" type="#_x0000_t202" style="position:absolute;left:0;text-align:left;margin-left:241.35pt;margin-top:11.15pt;width:181.45pt;height:207.95pt;z-index:251662336" stroked="f">
            <v:textbox>
              <w:txbxContent>
                <w:p w:rsidR="00225E4A" w:rsidRDefault="00225E4A" w:rsidP="00225E4A">
                  <w:pPr>
                    <w:jc w:val="center"/>
                  </w:pPr>
                  <w:r>
                    <w:rPr>
                      <w:noProof/>
                      <w:lang w:val="en-US"/>
                    </w:rPr>
                    <w:drawing>
                      <wp:inline distT="0" distB="0" distL="0" distR="0">
                        <wp:extent cx="2184526" cy="2538375"/>
                        <wp:effectExtent l="19050" t="0" r="6224"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26465" t="2194" r="10875"/>
                                <a:stretch>
                                  <a:fillRect/>
                                </a:stretch>
                              </pic:blipFill>
                              <pic:spPr bwMode="auto">
                                <a:xfrm>
                                  <a:off x="0" y="0"/>
                                  <a:ext cx="2187901" cy="2542297"/>
                                </a:xfrm>
                                <a:prstGeom prst="rect">
                                  <a:avLst/>
                                </a:prstGeom>
                                <a:noFill/>
                                <a:ln>
                                  <a:noFill/>
                                </a:ln>
                                <a:effectLst/>
                              </pic:spPr>
                            </pic:pic>
                          </a:graphicData>
                        </a:graphic>
                      </wp:inline>
                    </w:drawing>
                  </w:r>
                </w:p>
              </w:txbxContent>
            </v:textbox>
          </v:shape>
        </w:pict>
      </w:r>
      <w:r>
        <w:rPr>
          <w:noProof/>
          <w:lang w:eastAsia="en-GB"/>
        </w:rPr>
        <w:pict>
          <v:shape id="_x0000_s1044" type="#_x0000_t202" style="position:absolute;left:0;text-align:left;margin-left:8.65pt;margin-top:11.15pt;width:192.4pt;height:207.95pt;z-index:251661312" stroked="f">
            <v:textbox>
              <w:txbxContent>
                <w:p w:rsidR="00225E4A" w:rsidRDefault="00225E4A">
                  <w:r>
                    <w:rPr>
                      <w:noProof/>
                      <w:lang w:val="en-US"/>
                    </w:rPr>
                    <w:drawing>
                      <wp:inline distT="0" distB="0" distL="0" distR="0">
                        <wp:extent cx="2251075" cy="2648650"/>
                        <wp:effectExtent l="1905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25220" r="11308"/>
                                <a:stretch>
                                  <a:fillRect/>
                                </a:stretch>
                              </pic:blipFill>
                              <pic:spPr bwMode="auto">
                                <a:xfrm>
                                  <a:off x="0" y="0"/>
                                  <a:ext cx="2251075" cy="2648650"/>
                                </a:xfrm>
                                <a:prstGeom prst="rect">
                                  <a:avLst/>
                                </a:prstGeom>
                                <a:noFill/>
                                <a:ln>
                                  <a:noFill/>
                                </a:ln>
                                <a:effectLst/>
                              </pic:spPr>
                            </pic:pic>
                          </a:graphicData>
                        </a:graphic>
                      </wp:inline>
                    </w:drawing>
                  </w:r>
                </w:p>
              </w:txbxContent>
            </v:textbox>
          </v:shape>
        </w:pict>
      </w:r>
    </w:p>
    <w:p w:rsidR="00225E4A" w:rsidRDefault="00225E4A" w:rsidP="00225E4A">
      <w:pPr>
        <w:pStyle w:val="SingleTxtG"/>
        <w:ind w:left="1701" w:right="992" w:hanging="1701"/>
        <w:rPr>
          <w:lang w:val="en-US"/>
        </w:rPr>
      </w:pPr>
      <w:r>
        <w:rPr>
          <w:lang w:val="en-US"/>
        </w:rPr>
        <w:t xml:space="preserve"> </w:t>
      </w:r>
    </w:p>
    <w:p w:rsidR="00225E4A" w:rsidRDefault="00225E4A" w:rsidP="00225E4A">
      <w:pPr>
        <w:pStyle w:val="SingleTxtG"/>
        <w:ind w:left="1701" w:right="992" w:hanging="1134"/>
      </w:pPr>
    </w:p>
    <w:p w:rsidR="00225E4A" w:rsidRDefault="00225E4A" w:rsidP="00225E4A">
      <w:pPr>
        <w:pStyle w:val="SingleTxtG"/>
        <w:ind w:left="1701" w:right="992" w:hanging="1134"/>
      </w:pPr>
    </w:p>
    <w:p w:rsidR="00225E4A" w:rsidRDefault="00225E4A" w:rsidP="00225E4A">
      <w:pPr>
        <w:pStyle w:val="SingleTxtG"/>
        <w:ind w:left="1701" w:right="992" w:hanging="1134"/>
      </w:pPr>
    </w:p>
    <w:p w:rsidR="00225E4A" w:rsidRDefault="00225E4A" w:rsidP="00225E4A">
      <w:pPr>
        <w:pStyle w:val="SingleTxtG"/>
        <w:ind w:left="1701" w:right="992" w:hanging="1134"/>
      </w:pPr>
    </w:p>
    <w:p w:rsidR="00225E4A" w:rsidRDefault="00225E4A" w:rsidP="00225E4A">
      <w:pPr>
        <w:pStyle w:val="SingleTxtG"/>
        <w:ind w:left="1701" w:right="992" w:hanging="1134"/>
      </w:pPr>
    </w:p>
    <w:p w:rsidR="00225E4A" w:rsidRDefault="00225E4A" w:rsidP="00225E4A">
      <w:pPr>
        <w:pStyle w:val="SingleTxtG"/>
        <w:ind w:left="1701" w:right="992" w:hanging="1134"/>
      </w:pPr>
    </w:p>
    <w:p w:rsidR="00225E4A" w:rsidRDefault="00225E4A" w:rsidP="00225E4A">
      <w:pPr>
        <w:pStyle w:val="SingleTxtG"/>
        <w:ind w:left="1701" w:right="992" w:hanging="1134"/>
      </w:pPr>
    </w:p>
    <w:p w:rsidR="00225E4A" w:rsidRDefault="00225E4A" w:rsidP="00225E4A">
      <w:pPr>
        <w:pStyle w:val="SingleTxtG"/>
        <w:ind w:left="1701" w:right="992" w:hanging="1134"/>
      </w:pPr>
    </w:p>
    <w:p w:rsidR="00225E4A" w:rsidRDefault="00225E4A" w:rsidP="00225E4A">
      <w:pPr>
        <w:pStyle w:val="SingleTxtG"/>
        <w:ind w:left="1701" w:right="992" w:hanging="1134"/>
      </w:pPr>
    </w:p>
    <w:p w:rsidR="00225E4A" w:rsidRDefault="00225E4A" w:rsidP="00225E4A">
      <w:pPr>
        <w:pStyle w:val="SingleTxtG"/>
        <w:ind w:left="1701" w:right="992" w:hanging="1134"/>
      </w:pPr>
    </w:p>
    <w:p w:rsidR="00225E4A" w:rsidRDefault="00225E4A" w:rsidP="00225E4A">
      <w:pPr>
        <w:pStyle w:val="SingleTxtG"/>
        <w:ind w:left="1701" w:right="992" w:hanging="1134"/>
      </w:pPr>
    </w:p>
    <w:p w:rsidR="00225E4A" w:rsidRDefault="00225E4A" w:rsidP="00225E4A">
      <w:pPr>
        <w:pStyle w:val="SingleTxtG"/>
        <w:ind w:left="1701" w:right="992" w:hanging="1134"/>
      </w:pPr>
    </w:p>
    <w:p w:rsidR="00225E4A" w:rsidRDefault="00225E4A" w:rsidP="00225E4A">
      <w:pPr>
        <w:pStyle w:val="SingleTxtG"/>
        <w:ind w:left="1701" w:right="992" w:hanging="1134"/>
      </w:pPr>
    </w:p>
    <w:p w:rsidR="00225E4A" w:rsidRDefault="00225E4A" w:rsidP="00225E4A">
      <w:pPr>
        <w:pStyle w:val="SingleTxtG"/>
        <w:ind w:left="1701" w:hanging="567"/>
        <w:jc w:val="left"/>
        <w:rPr>
          <w:b/>
        </w:rPr>
      </w:pPr>
      <w:r>
        <w:rPr>
          <w:b/>
        </w:rPr>
        <w:t>Figure 2: PY21W-samples with amber glass (left) and with amber coating (right)</w:t>
      </w:r>
    </w:p>
    <w:p w:rsidR="00225E4A" w:rsidRDefault="00225E4A" w:rsidP="00225E4A">
      <w:pPr>
        <w:pStyle w:val="SingleTxtG"/>
        <w:ind w:left="1701" w:hanging="567"/>
        <w:jc w:val="left"/>
        <w:rPr>
          <w:b/>
        </w:rPr>
      </w:pPr>
      <w:r>
        <w:rPr>
          <w:b/>
        </w:rPr>
        <w:br w:type="page"/>
      </w:r>
      <w:r w:rsidRPr="00B3544A">
        <w:rPr>
          <w:b/>
        </w:rPr>
        <w:lastRenderedPageBreak/>
        <w:t>Annex 3</w:t>
      </w:r>
    </w:p>
    <w:p w:rsidR="00225E4A" w:rsidRDefault="00225E4A" w:rsidP="00225E4A">
      <w:pPr>
        <w:pStyle w:val="SingleTxtG"/>
        <w:ind w:left="1701" w:hanging="567"/>
        <w:jc w:val="left"/>
        <w:rPr>
          <w:b/>
        </w:rPr>
      </w:pPr>
      <w:r>
        <w:rPr>
          <w:b/>
        </w:rPr>
        <w:t>Clarification of the requirements to the homogeneity of the light-emitting-area</w:t>
      </w:r>
    </w:p>
    <w:p w:rsidR="00225E4A" w:rsidRDefault="00225E4A" w:rsidP="00225E4A">
      <w:pPr>
        <w:pStyle w:val="PlainText"/>
        <w:spacing w:after="120"/>
        <w:ind w:left="1701" w:right="1134" w:hanging="567"/>
        <w:jc w:val="both"/>
        <w:rPr>
          <w:rFonts w:cs="Times New Roman"/>
        </w:rPr>
      </w:pPr>
    </w:p>
    <w:p w:rsidR="00225E4A" w:rsidRPr="00384F4F" w:rsidRDefault="00225E4A" w:rsidP="00225E4A">
      <w:pPr>
        <w:pStyle w:val="PlainText"/>
        <w:spacing w:after="120"/>
        <w:ind w:left="1134" w:right="1134"/>
        <w:jc w:val="both"/>
        <w:rPr>
          <w:rFonts w:cs="Times New Roman"/>
        </w:rPr>
      </w:pPr>
      <w:r w:rsidRPr="00384F4F">
        <w:rPr>
          <w:rFonts w:cs="Times New Roman"/>
        </w:rPr>
        <w:t>The explanations in this annex are based on the example of P</w:t>
      </w:r>
      <w:r>
        <w:rPr>
          <w:rFonts w:cs="Times New Roman"/>
        </w:rPr>
        <w:t>Y</w:t>
      </w:r>
      <w:r w:rsidRPr="00384F4F">
        <w:rPr>
          <w:rFonts w:cs="Times New Roman"/>
        </w:rPr>
        <w:t>21W.</w:t>
      </w:r>
    </w:p>
    <w:p w:rsidR="00225E4A" w:rsidRPr="00F201E9" w:rsidRDefault="00225E4A" w:rsidP="00225E4A">
      <w:pPr>
        <w:pStyle w:val="PlainText"/>
        <w:spacing w:after="120"/>
        <w:ind w:left="1134" w:right="1134"/>
        <w:jc w:val="both"/>
        <w:rPr>
          <w:rFonts w:cs="Times New Roman"/>
        </w:rPr>
      </w:pPr>
      <w:r w:rsidRPr="00384F4F">
        <w:rPr>
          <w:rFonts w:cs="Times New Roman"/>
        </w:rPr>
        <w:t xml:space="preserve">Figure 3 shows </w:t>
      </w:r>
      <w:r>
        <w:rPr>
          <w:rFonts w:cs="Times New Roman"/>
        </w:rPr>
        <w:t>that</w:t>
      </w:r>
      <w:r w:rsidRPr="00384F4F">
        <w:rPr>
          <w:rFonts w:cs="Times New Roman"/>
        </w:rPr>
        <w:t xml:space="preserve"> in Regulation No. 37 the box </w:t>
      </w:r>
      <w:r>
        <w:rPr>
          <w:rFonts w:cs="Times New Roman"/>
        </w:rPr>
        <w:t xml:space="preserve">from the front elevation </w:t>
      </w:r>
      <w:r w:rsidRPr="00384F4F">
        <w:rPr>
          <w:rFonts w:cs="Times New Roman"/>
        </w:rPr>
        <w:t xml:space="preserve">is defined </w:t>
      </w:r>
      <w:r>
        <w:rPr>
          <w:rFonts w:cs="Times New Roman"/>
        </w:rPr>
        <w:t>in</w:t>
      </w:r>
      <w:r w:rsidRPr="00384F4F">
        <w:rPr>
          <w:rFonts w:cs="Times New Roman"/>
        </w:rPr>
        <w:t xml:space="preserve"> three sections.</w:t>
      </w:r>
      <w:r>
        <w:rPr>
          <w:rFonts w:cs="Times New Roman"/>
        </w:rPr>
        <w:t xml:space="preserve">  </w:t>
      </w:r>
      <w:r w:rsidRPr="00F201E9">
        <w:rPr>
          <w:rFonts w:cs="Times New Roman"/>
        </w:rPr>
        <w:t>The projection of the filament shall lie entirely within the rectangle and the centre of the filament shall stay within the inner section of the box.</w:t>
      </w:r>
    </w:p>
    <w:p w:rsidR="00225E4A" w:rsidRDefault="00225E4A" w:rsidP="00225E4A">
      <w:pPr>
        <w:pStyle w:val="SingleTxtG"/>
        <w:ind w:right="-32"/>
        <w:jc w:val="left"/>
      </w:pPr>
      <w:r>
        <w:rPr>
          <w:noProof/>
          <w:lang w:val="en-US"/>
        </w:rPr>
        <w:drawing>
          <wp:inline distT="0" distB="0" distL="0" distR="0">
            <wp:extent cx="3013710" cy="2033905"/>
            <wp:effectExtent l="0" t="0" r="0" b="4445"/>
            <wp:docPr id="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3710" cy="2033905"/>
                    </a:xfrm>
                    <a:prstGeom prst="rect">
                      <a:avLst/>
                    </a:prstGeom>
                    <a:noFill/>
                    <a:ln>
                      <a:noFill/>
                    </a:ln>
                  </pic:spPr>
                </pic:pic>
              </a:graphicData>
            </a:graphic>
          </wp:inline>
        </w:drawing>
      </w:r>
      <w:r>
        <w:t xml:space="preserve"> </w:t>
      </w:r>
    </w:p>
    <w:p w:rsidR="00225E4A" w:rsidRDefault="00225E4A" w:rsidP="00225E4A">
      <w:pPr>
        <w:pStyle w:val="SingleTxtG"/>
        <w:ind w:left="1701" w:hanging="567"/>
        <w:jc w:val="left"/>
        <w:rPr>
          <w:noProof/>
          <w:lang w:val="en-US"/>
        </w:rPr>
      </w:pPr>
    </w:p>
    <w:p w:rsidR="00225E4A" w:rsidRPr="006D1EDD" w:rsidRDefault="00225E4A" w:rsidP="00225E4A">
      <w:pPr>
        <w:pStyle w:val="SingleTxtG"/>
        <w:ind w:left="1985" w:hanging="851"/>
        <w:jc w:val="left"/>
        <w:rPr>
          <w:b/>
        </w:rPr>
      </w:pPr>
      <w:r w:rsidRPr="008F7D02">
        <w:rPr>
          <w:b/>
        </w:rPr>
        <w:t>Figure 3</w:t>
      </w:r>
      <w:r>
        <w:rPr>
          <w:b/>
        </w:rPr>
        <w:t xml:space="preserve">: </w:t>
      </w:r>
      <w:r w:rsidRPr="006D1EDD">
        <w:rPr>
          <w:b/>
        </w:rPr>
        <w:t xml:space="preserve">Front elevation </w:t>
      </w:r>
      <w:r>
        <w:rPr>
          <w:b/>
        </w:rPr>
        <w:t>of the box specification of filament light source category PY21W in Regulation No. 37</w:t>
      </w:r>
    </w:p>
    <w:p w:rsidR="00225E4A" w:rsidRPr="00C41514" w:rsidRDefault="00225E4A" w:rsidP="00225E4A">
      <w:pPr>
        <w:pStyle w:val="PlainText"/>
        <w:spacing w:after="120"/>
        <w:ind w:left="1134" w:right="1134"/>
        <w:jc w:val="both"/>
        <w:rPr>
          <w:rFonts w:cs="Times New Roman"/>
        </w:rPr>
      </w:pPr>
      <w:r w:rsidRPr="00C41514">
        <w:rPr>
          <w:rFonts w:cs="Times New Roman"/>
        </w:rPr>
        <w:t xml:space="preserve">The percentages of the minimum luminous flux emitted from each section into the given viewing direction(s) shall be specified based on considerations done with samples of filament light sources of the corresponding category, i.e. including tolerances of typical filament dimensions and filament position and taking into account that part of the light is emitted from outside the box (ref. value of DFR). </w:t>
      </w:r>
    </w:p>
    <w:p w:rsidR="00225E4A" w:rsidRPr="00C41514" w:rsidRDefault="00225E4A" w:rsidP="00225E4A">
      <w:pPr>
        <w:pStyle w:val="PlainText"/>
        <w:spacing w:after="120"/>
        <w:ind w:left="1134" w:right="1134"/>
        <w:jc w:val="both"/>
        <w:rPr>
          <w:rFonts w:cs="Times New Roman"/>
        </w:rPr>
      </w:pPr>
      <w:r w:rsidRPr="00C41514">
        <w:rPr>
          <w:rFonts w:cs="Times New Roman"/>
        </w:rPr>
        <w:t xml:space="preserve">Figure 4 describes the outcome for the example of a PY21W LED </w:t>
      </w:r>
      <w:r>
        <w:rPr>
          <w:rFonts w:cs="Times New Roman"/>
        </w:rPr>
        <w:t>substitute</w:t>
      </w:r>
      <w:r w:rsidRPr="00C41514">
        <w:rPr>
          <w:rFonts w:cs="Times New Roman"/>
        </w:rPr>
        <w:t xml:space="preserve"> light source.</w:t>
      </w:r>
      <w:r>
        <w:rPr>
          <w:rFonts w:cs="Times New Roman"/>
        </w:rPr>
        <w:t xml:space="preserve"> </w:t>
      </w:r>
      <w:r w:rsidRPr="00C41514">
        <w:rPr>
          <w:rFonts w:cs="Times New Roman"/>
        </w:rPr>
        <w:t xml:space="preserve"> The lower limit for each section is derived from extreme values of the filament length (f = 5.5 and 7.0 mm), of the filament position (shift of centre k = -1.0 and +1.0 mm) according to the PY21W filament lamp category and the share of direct light emission from the box (“DRF” = 80%, see Annex 2):</w:t>
      </w:r>
    </w:p>
    <w:p w:rsidR="00225E4A" w:rsidRPr="00C41514" w:rsidRDefault="00225E4A" w:rsidP="00225E4A">
      <w:pPr>
        <w:pStyle w:val="SingleTxtG"/>
        <w:numPr>
          <w:ilvl w:val="0"/>
          <w:numId w:val="21"/>
        </w:numPr>
        <w:ind w:right="1701"/>
        <w:jc w:val="left"/>
      </w:pPr>
      <w:r w:rsidRPr="00C41514">
        <w:t>Section B: 2*k/f *DFR= 2.0/7.0*0.8 = 22.9%</w:t>
      </w:r>
      <w:proofErr w:type="gramStart"/>
      <w:r w:rsidRPr="00C41514">
        <w:t>,</w:t>
      </w:r>
      <w:proofErr w:type="gramEnd"/>
      <w:r w:rsidRPr="00C41514">
        <w:br/>
        <w:t>rounding up at multiples of 5% to 25% min.</w:t>
      </w:r>
    </w:p>
    <w:p w:rsidR="00225E4A" w:rsidRPr="00C41514" w:rsidRDefault="00225E4A" w:rsidP="00225E4A">
      <w:pPr>
        <w:pStyle w:val="SingleTxtG"/>
        <w:numPr>
          <w:ilvl w:val="0"/>
          <w:numId w:val="21"/>
        </w:numPr>
        <w:ind w:right="1701"/>
        <w:jc w:val="left"/>
      </w:pPr>
      <w:r w:rsidRPr="00C41514">
        <w:t>Sections A and C: (0.5*f-2*k)/f*DFR = (2.75-2.0)/5.5*0.8 = 10.9%</w:t>
      </w:r>
      <w:proofErr w:type="gramStart"/>
      <w:r w:rsidRPr="00C41514">
        <w:t>,</w:t>
      </w:r>
      <w:proofErr w:type="gramEnd"/>
      <w:r w:rsidRPr="00C41514">
        <w:br/>
        <w:t>rounding up at multiples of 5% to 15% min.</w:t>
      </w:r>
    </w:p>
    <w:p w:rsidR="00225E4A" w:rsidRDefault="006637AB" w:rsidP="00225E4A">
      <w:pPr>
        <w:pStyle w:val="SingleTxtG"/>
        <w:ind w:right="1701"/>
        <w:jc w:val="left"/>
      </w:pPr>
      <w:r>
        <w:rPr>
          <w:noProof/>
          <w:lang w:val="it-IT" w:eastAsia="it-IT"/>
        </w:rPr>
        <w:pict>
          <v:shape id="Textfeld 22" o:spid="_x0000_s1043" type="#_x0000_t202" style="position:absolute;left:0;text-align:left;margin-left:244.5pt;margin-top:11.35pt;width:231.5pt;height:6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ioggIAABE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8&#10;x0iRDjh64INvuGQItqA+vXEVuN0bcPTDrR6A55irM3eafnFI6WVL1JbfWKv7lhMG8WXhZHJ2dMRx&#10;AWTTv9cM7iE7ryPQ0NguFA/KgQAdeHo8cQOxIAqbeVmk6RRMFGzzeT6DebiCVMfTxjr/lusOhUmN&#10;LXAf0cn+zvnR9egSLnNaCrYWUsaF3W6W0qI9AZ2s43dAf+EmVXBWOhwbEccdCBLuCLYQbuT9e5nl&#10;RXqbl5P1bH45KdbFdFJepvNJmpW35SwtymK1fgoBZkXVCsa4uhOKHzWYFX/H8aEbRvVEFaK+xuU0&#10;n44U/THJNH6/S7ITHlpSig7qfHIiVSD2jWKQNqk8EXKcJy/Dj4RADY7/WJUog8D8qAE/bAZACdrY&#10;aPYIgrAa+AJq4R2BSavtN4x66Mkau687YjlG8p0CUZVZUYQmjotiepnDwp5bNucWoihA1dhjNE6X&#10;fmz8nbFi28JNo4yVvgEhNiJq5Dmqg3yh72IyhzciNPb5Ono9v2SLHwAAAP//AwBQSwMEFAAGAAgA&#10;AAAhAA9cUXTfAAAACgEAAA8AAABkcnMvZG93bnJldi54bWxMj8tugzAQRfeV+g/WROqmakxQAoFi&#10;orZSq27z+ACDJ4CCxwg7gfx9p6t2OTNHd84tdrPtxQ1H3zlSsFpGIJBqZzpqFJyOny9bED5oMrp3&#10;hAru6GFXPj4UOjduoj3eDqERHEI+1wraEIZcSl+3aLVfugGJb2c3Wh14HBtpRj1xuO1lHEWJtLoj&#10;/tDqAT9arC+Hq1Vw/p6eN9lUfYVTul8n77pLK3dX6mkxv72CCDiHPxh+9VkdSnaq3JWMF72C9Tbj&#10;LkFBHKcgGMg2MS8qJpNVCrIs5P8K5Q8AAAD//wMAUEsBAi0AFAAGAAgAAAAhALaDOJL+AAAA4QEA&#10;ABMAAAAAAAAAAAAAAAAAAAAAAFtDb250ZW50X1R5cGVzXS54bWxQSwECLQAUAAYACAAAACEAOP0h&#10;/9YAAACUAQAACwAAAAAAAAAAAAAAAAAvAQAAX3JlbHMvLnJlbHNQSwECLQAUAAYACAAAACEAiV8Y&#10;qIICAAARBQAADgAAAAAAAAAAAAAAAAAuAgAAZHJzL2Uyb0RvYy54bWxQSwECLQAUAAYACAAAACEA&#10;D1xRdN8AAAAKAQAADwAAAAAAAAAAAAAAAADcBAAAZHJzL2Rvd25yZXYueG1sUEsFBgAAAAAEAAQA&#10;8wAAAOgFAAAAAA==&#10;" stroked="f">
            <v:textbox>
              <w:txbxContent>
                <w:p w:rsidR="00225E4A" w:rsidRPr="00764B73" w:rsidRDefault="00225E4A" w:rsidP="00225E4A">
                  <w:pPr>
                    <w:pStyle w:val="SingleTxtG"/>
                    <w:spacing w:line="240" w:lineRule="auto"/>
                    <w:ind w:left="0" w:right="23"/>
                    <w:jc w:val="left"/>
                    <w:rPr>
                      <w:i/>
                      <w:snapToGrid w:val="0"/>
                    </w:rPr>
                  </w:pPr>
                  <w:r w:rsidRPr="00764B73">
                    <w:rPr>
                      <w:i/>
                      <w:snapToGrid w:val="0"/>
                    </w:rPr>
                    <w:t>The proportion of the total luminous flux emitted into the viewing direction from the area(s):</w:t>
                  </w:r>
                </w:p>
                <w:p w:rsidR="00225E4A" w:rsidRPr="00764B73" w:rsidRDefault="00225E4A" w:rsidP="00225E4A">
                  <w:pPr>
                    <w:pStyle w:val="SingleTxtG"/>
                    <w:numPr>
                      <w:ilvl w:val="0"/>
                      <w:numId w:val="20"/>
                    </w:numPr>
                    <w:spacing w:after="0" w:line="240" w:lineRule="auto"/>
                    <w:ind w:left="284" w:right="23" w:hanging="142"/>
                    <w:jc w:val="left"/>
                    <w:rPr>
                      <w:i/>
                      <w:snapToGrid w:val="0"/>
                    </w:rPr>
                  </w:pPr>
                  <w:r w:rsidRPr="00764B73">
                    <w:rPr>
                      <w:i/>
                      <w:snapToGrid w:val="0"/>
                    </w:rPr>
                    <w:t>A, B and C together shall be 80 per cent or more</w:t>
                  </w:r>
                  <w:r>
                    <w:rPr>
                      <w:i/>
                      <w:snapToGrid w:val="0"/>
                    </w:rPr>
                    <w:t>;</w:t>
                  </w:r>
                </w:p>
                <w:p w:rsidR="00225E4A" w:rsidRPr="00764B73" w:rsidRDefault="00225E4A" w:rsidP="00225E4A">
                  <w:pPr>
                    <w:pStyle w:val="SingleTxtG"/>
                    <w:numPr>
                      <w:ilvl w:val="0"/>
                      <w:numId w:val="20"/>
                    </w:numPr>
                    <w:spacing w:after="0" w:line="240" w:lineRule="auto"/>
                    <w:ind w:left="284" w:right="23" w:hanging="142"/>
                    <w:jc w:val="left"/>
                    <w:rPr>
                      <w:i/>
                      <w:snapToGrid w:val="0"/>
                    </w:rPr>
                  </w:pPr>
                  <w:r w:rsidRPr="00764B73">
                    <w:rPr>
                      <w:i/>
                      <w:snapToGrid w:val="0"/>
                    </w:rPr>
                    <w:t>B shall be 25 per cent or more</w:t>
                  </w:r>
                  <w:r>
                    <w:rPr>
                      <w:i/>
                      <w:snapToGrid w:val="0"/>
                    </w:rPr>
                    <w:t>;</w:t>
                  </w:r>
                </w:p>
                <w:p w:rsidR="00225E4A" w:rsidRPr="00764B73" w:rsidRDefault="00225E4A" w:rsidP="00225E4A">
                  <w:pPr>
                    <w:pStyle w:val="SingleTxtG"/>
                    <w:numPr>
                      <w:ilvl w:val="0"/>
                      <w:numId w:val="20"/>
                    </w:numPr>
                    <w:spacing w:after="0" w:line="240" w:lineRule="auto"/>
                    <w:ind w:left="284" w:right="23" w:hanging="142"/>
                    <w:jc w:val="left"/>
                    <w:rPr>
                      <w:i/>
                      <w:snapToGrid w:val="0"/>
                    </w:rPr>
                  </w:pPr>
                  <w:proofErr w:type="gramStart"/>
                  <w:r w:rsidRPr="00764B73">
                    <w:rPr>
                      <w:i/>
                      <w:snapToGrid w:val="0"/>
                    </w:rPr>
                    <w:t>A and</w:t>
                  </w:r>
                  <w:proofErr w:type="gramEnd"/>
                  <w:r w:rsidRPr="00764B73">
                    <w:rPr>
                      <w:i/>
                      <w:snapToGrid w:val="0"/>
                    </w:rPr>
                    <w:t xml:space="preserve"> C shall each be 15 per cent or more.</w:t>
                  </w:r>
                </w:p>
              </w:txbxContent>
            </v:textbox>
            <w10:wrap type="square"/>
          </v:shape>
        </w:pict>
      </w:r>
      <w:r w:rsidR="00225E4A">
        <w:rPr>
          <w:noProof/>
          <w:lang w:val="en-US"/>
        </w:rPr>
        <w:drawing>
          <wp:inline distT="0" distB="0" distL="0" distR="0">
            <wp:extent cx="2267585" cy="68770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7585" cy="687705"/>
                    </a:xfrm>
                    <a:prstGeom prst="rect">
                      <a:avLst/>
                    </a:prstGeom>
                    <a:noFill/>
                    <a:ln>
                      <a:noFill/>
                    </a:ln>
                  </pic:spPr>
                </pic:pic>
              </a:graphicData>
            </a:graphic>
          </wp:inline>
        </w:drawing>
      </w:r>
      <w:r w:rsidR="00225E4A">
        <w:rPr>
          <w:noProof/>
          <w:lang w:val="en-US"/>
        </w:rPr>
        <w:t xml:space="preserve"> </w:t>
      </w:r>
    </w:p>
    <w:p w:rsidR="00225E4A" w:rsidRDefault="00225E4A" w:rsidP="00225E4A">
      <w:pPr>
        <w:pStyle w:val="SingleTxtG"/>
        <w:ind w:left="1985" w:hanging="851"/>
        <w:jc w:val="left"/>
        <w:rPr>
          <w:b/>
        </w:rPr>
      </w:pPr>
    </w:p>
    <w:p w:rsidR="00225E4A" w:rsidRDefault="00225E4A" w:rsidP="00225E4A">
      <w:pPr>
        <w:pStyle w:val="SingleTxtG"/>
        <w:ind w:left="1985" w:hanging="851"/>
        <w:jc w:val="left"/>
        <w:rPr>
          <w:b/>
        </w:rPr>
      </w:pPr>
      <w:r w:rsidRPr="008F7D02">
        <w:rPr>
          <w:b/>
        </w:rPr>
        <w:t>F</w:t>
      </w:r>
      <w:r>
        <w:rPr>
          <w:b/>
        </w:rPr>
        <w:t xml:space="preserve">igure 4: </w:t>
      </w:r>
      <w:r w:rsidRPr="00E22D99">
        <w:rPr>
          <w:b/>
        </w:rPr>
        <w:t xml:space="preserve">Front elevation </w:t>
      </w:r>
      <w:r>
        <w:rPr>
          <w:b/>
        </w:rPr>
        <w:t>of the box specification of LED substitute light source category P21W</w:t>
      </w:r>
    </w:p>
    <w:p w:rsidR="00225E4A" w:rsidRPr="006D1EDD" w:rsidRDefault="00225E4A" w:rsidP="00225E4A">
      <w:pPr>
        <w:pStyle w:val="SingleTxtG"/>
        <w:ind w:left="1985" w:hanging="851"/>
        <w:jc w:val="left"/>
        <w:rPr>
          <w:b/>
        </w:rPr>
      </w:pPr>
      <w:r>
        <w:rPr>
          <w:i/>
        </w:rPr>
        <w:br w:type="page"/>
      </w:r>
      <w:r w:rsidRPr="006D1EDD">
        <w:rPr>
          <w:b/>
        </w:rPr>
        <w:lastRenderedPageBreak/>
        <w:t>Annex 4</w:t>
      </w:r>
    </w:p>
    <w:p w:rsidR="00225E4A" w:rsidRDefault="00225E4A" w:rsidP="00225E4A">
      <w:pPr>
        <w:pStyle w:val="SingleTxtG"/>
        <w:ind w:left="1701" w:hanging="567"/>
        <w:jc w:val="left"/>
        <w:rPr>
          <w:b/>
        </w:rPr>
      </w:pPr>
      <w:r w:rsidRPr="006D1EDD">
        <w:rPr>
          <w:b/>
        </w:rPr>
        <w:t>Checklist for equivalence of parameters</w:t>
      </w:r>
    </w:p>
    <w:p w:rsidR="00225E4A" w:rsidRDefault="00225E4A" w:rsidP="00225E4A">
      <w:pPr>
        <w:pStyle w:val="SingleTxtG"/>
        <w:ind w:left="0"/>
        <w:jc w:val="left"/>
      </w:pPr>
    </w:p>
    <w:p w:rsidR="00225E4A" w:rsidRDefault="00225E4A" w:rsidP="00225E4A">
      <w:pPr>
        <w:pStyle w:val="SingleTxtG"/>
        <w:tabs>
          <w:tab w:val="right" w:pos="8505"/>
        </w:tabs>
      </w:pPr>
      <w:r>
        <w:t>Parameters as in paragraphs described above</w:t>
      </w:r>
      <w:r>
        <w:tab/>
        <w:t>Check</w:t>
      </w:r>
    </w:p>
    <w:p w:rsidR="00225E4A" w:rsidRDefault="00225E4A" w:rsidP="00225E4A">
      <w:pPr>
        <w:pStyle w:val="SingleTxtG"/>
        <w:tabs>
          <w:tab w:val="left" w:pos="1701"/>
          <w:tab w:val="left" w:pos="2268"/>
          <w:tab w:val="right" w:pos="8505"/>
        </w:tabs>
      </w:pPr>
      <w:r>
        <w:t>3.1.</w:t>
      </w:r>
      <w:r>
        <w:tab/>
        <w:t>Parameters with the same values</w:t>
      </w:r>
      <w:r>
        <w:tab/>
      </w:r>
    </w:p>
    <w:p w:rsidR="00225E4A" w:rsidRDefault="00225E4A" w:rsidP="00225E4A">
      <w:pPr>
        <w:pStyle w:val="SingleTxtG"/>
        <w:tabs>
          <w:tab w:val="left" w:pos="1701"/>
          <w:tab w:val="left" w:pos="2268"/>
          <w:tab w:val="right" w:pos="8505"/>
        </w:tabs>
      </w:pPr>
      <w:r>
        <w:tab/>
        <w:t>3.1.1.</w:t>
      </w:r>
      <w:r>
        <w:tab/>
        <w:t>Cap (as in in accordance with the given IEC Publication 60061)</w:t>
      </w:r>
      <w:r>
        <w:tab/>
        <w:t>O</w:t>
      </w:r>
    </w:p>
    <w:p w:rsidR="00225E4A" w:rsidRDefault="00225E4A" w:rsidP="00225E4A">
      <w:pPr>
        <w:pStyle w:val="SingleTxtG"/>
        <w:tabs>
          <w:tab w:val="left" w:pos="1701"/>
          <w:tab w:val="left" w:pos="2268"/>
          <w:tab w:val="right" w:pos="8505"/>
        </w:tabs>
      </w:pPr>
      <w:r>
        <w:tab/>
        <w:t>3.1.2.</w:t>
      </w:r>
      <w:r>
        <w:tab/>
        <w:t>Maximum lamp outline dimensions</w:t>
      </w:r>
      <w:r>
        <w:tab/>
        <w:t>O</w:t>
      </w:r>
    </w:p>
    <w:p w:rsidR="00225E4A" w:rsidRDefault="00225E4A" w:rsidP="00225E4A">
      <w:pPr>
        <w:pStyle w:val="SingleTxtG"/>
        <w:tabs>
          <w:tab w:val="left" w:pos="1701"/>
          <w:tab w:val="left" w:pos="2268"/>
          <w:tab w:val="right" w:pos="8505"/>
        </w:tabs>
      </w:pPr>
      <w:r>
        <w:tab/>
        <w:t>3.1.3.</w:t>
      </w:r>
      <w:r>
        <w:tab/>
        <w:t>Electrical connector</w:t>
      </w:r>
      <w:r>
        <w:tab/>
        <w:t>O</w:t>
      </w:r>
    </w:p>
    <w:p w:rsidR="00225E4A" w:rsidRDefault="00225E4A" w:rsidP="00225E4A">
      <w:pPr>
        <w:pStyle w:val="SingleTxtG"/>
        <w:tabs>
          <w:tab w:val="left" w:pos="1701"/>
          <w:tab w:val="left" w:pos="2268"/>
          <w:tab w:val="right" w:pos="8505"/>
        </w:tabs>
      </w:pPr>
      <w:r>
        <w:tab/>
        <w:t>3.1.4.</w:t>
      </w:r>
      <w:r>
        <w:tab/>
        <w:t>Test voltage</w:t>
      </w:r>
      <w:r>
        <w:tab/>
        <w:t>O</w:t>
      </w:r>
    </w:p>
    <w:p w:rsidR="00225E4A" w:rsidRDefault="00225E4A" w:rsidP="00225E4A">
      <w:pPr>
        <w:pStyle w:val="SingleTxtG"/>
        <w:tabs>
          <w:tab w:val="left" w:pos="1701"/>
          <w:tab w:val="left" w:pos="2268"/>
          <w:tab w:val="right" w:pos="8505"/>
        </w:tabs>
      </w:pPr>
      <w:r>
        <w:tab/>
        <w:t>3.1.5.</w:t>
      </w:r>
      <w:r>
        <w:tab/>
        <w:t>Objective luminous flux</w:t>
      </w:r>
      <w:r>
        <w:tab/>
        <w:t>O</w:t>
      </w:r>
    </w:p>
    <w:p w:rsidR="00225E4A" w:rsidRDefault="00225E4A" w:rsidP="00225E4A">
      <w:pPr>
        <w:pStyle w:val="SingleTxtG"/>
        <w:tabs>
          <w:tab w:val="left" w:pos="1701"/>
          <w:tab w:val="left" w:pos="2268"/>
          <w:tab w:val="right" w:pos="8505"/>
        </w:tabs>
      </w:pPr>
      <w:r>
        <w:tab/>
        <w:t>3.1.6.</w:t>
      </w:r>
      <w:r>
        <w:tab/>
        <w:t>Colour of emitted light</w:t>
      </w:r>
      <w:r>
        <w:tab/>
        <w:t>O</w:t>
      </w:r>
    </w:p>
    <w:p w:rsidR="00225E4A" w:rsidRDefault="00225E4A" w:rsidP="00225E4A">
      <w:pPr>
        <w:pStyle w:val="SingleTxtG"/>
        <w:tabs>
          <w:tab w:val="left" w:pos="1701"/>
          <w:tab w:val="left" w:pos="2268"/>
          <w:tab w:val="right" w:pos="8505"/>
        </w:tabs>
      </w:pPr>
      <w:r>
        <w:tab/>
        <w:t>3.1.7.</w:t>
      </w:r>
      <w:r>
        <w:tab/>
        <w:t>Light centre length</w:t>
      </w:r>
      <w:r>
        <w:tab/>
        <w:t>O</w:t>
      </w:r>
    </w:p>
    <w:p w:rsidR="00225E4A" w:rsidRDefault="00225E4A" w:rsidP="00225E4A">
      <w:pPr>
        <w:pStyle w:val="SingleTxtG"/>
        <w:tabs>
          <w:tab w:val="left" w:pos="1701"/>
          <w:tab w:val="left" w:pos="2268"/>
          <w:tab w:val="right" w:pos="8505"/>
        </w:tabs>
      </w:pPr>
      <w:r>
        <w:tab/>
        <w:t>3.1.8.</w:t>
      </w:r>
      <w:r>
        <w:tab/>
        <w:t>Distortion free zone (if any)</w:t>
      </w:r>
      <w:r>
        <w:tab/>
        <w:t>O</w:t>
      </w:r>
    </w:p>
    <w:p w:rsidR="00225E4A" w:rsidRDefault="00225E4A" w:rsidP="00225E4A">
      <w:pPr>
        <w:pStyle w:val="SingleTxtG"/>
        <w:tabs>
          <w:tab w:val="left" w:pos="1701"/>
          <w:tab w:val="left" w:pos="2268"/>
          <w:tab w:val="right" w:pos="8505"/>
        </w:tabs>
      </w:pPr>
      <w:r>
        <w:t>3.2.</w:t>
      </w:r>
      <w:r>
        <w:tab/>
        <w:t>Parameters with similar values</w:t>
      </w:r>
      <w:r>
        <w:tab/>
      </w:r>
    </w:p>
    <w:p w:rsidR="00225E4A" w:rsidRDefault="00225E4A" w:rsidP="00225E4A">
      <w:pPr>
        <w:pStyle w:val="SingleTxtG"/>
        <w:tabs>
          <w:tab w:val="left" w:pos="1701"/>
          <w:tab w:val="left" w:pos="2268"/>
          <w:tab w:val="right" w:pos="8505"/>
        </w:tabs>
      </w:pPr>
      <w:r>
        <w:tab/>
        <w:t>3.2.1.</w:t>
      </w:r>
      <w:r>
        <w:tab/>
        <w:t>Normalized luminous intensity distribution</w:t>
      </w:r>
      <w:r>
        <w:tab/>
        <w:t>O</w:t>
      </w:r>
    </w:p>
    <w:p w:rsidR="00225E4A" w:rsidRDefault="00225E4A" w:rsidP="00225E4A">
      <w:pPr>
        <w:pStyle w:val="SingleTxtG"/>
        <w:tabs>
          <w:tab w:val="left" w:pos="1701"/>
          <w:tab w:val="left" w:pos="2268"/>
          <w:tab w:val="right" w:pos="8505"/>
        </w:tabs>
      </w:pPr>
      <w:r>
        <w:tab/>
        <w:t>3.2.2.</w:t>
      </w:r>
      <w:r>
        <w:tab/>
        <w:t>Size and position of the light-emitting-area</w:t>
      </w:r>
      <w:r>
        <w:tab/>
        <w:t>O</w:t>
      </w:r>
    </w:p>
    <w:p w:rsidR="00225E4A" w:rsidRDefault="00225E4A" w:rsidP="00225E4A">
      <w:pPr>
        <w:pStyle w:val="SingleTxtG"/>
        <w:tabs>
          <w:tab w:val="left" w:pos="1701"/>
          <w:tab w:val="left" w:pos="2268"/>
          <w:tab w:val="right" w:pos="8505"/>
        </w:tabs>
      </w:pPr>
      <w:r>
        <w:tab/>
        <w:t>3.2.3.</w:t>
      </w:r>
      <w:r>
        <w:tab/>
        <w:t>Homogeneity of the light-emitting-area</w:t>
      </w:r>
      <w:r>
        <w:tab/>
        <w:t>O</w:t>
      </w:r>
    </w:p>
    <w:p w:rsidR="00225E4A" w:rsidRDefault="00225E4A" w:rsidP="00225E4A">
      <w:pPr>
        <w:pStyle w:val="SingleTxtG"/>
        <w:tabs>
          <w:tab w:val="left" w:pos="1701"/>
          <w:tab w:val="left" w:pos="2268"/>
          <w:tab w:val="right" w:pos="8505"/>
        </w:tabs>
      </w:pPr>
      <w:r>
        <w:t>3.3.</w:t>
      </w:r>
      <w:r>
        <w:tab/>
        <w:t>Parameters with different values</w:t>
      </w:r>
      <w:r>
        <w:tab/>
      </w:r>
    </w:p>
    <w:p w:rsidR="00225E4A" w:rsidRDefault="00225E4A" w:rsidP="00225E4A">
      <w:pPr>
        <w:pStyle w:val="SingleTxtG"/>
        <w:tabs>
          <w:tab w:val="left" w:pos="1701"/>
          <w:tab w:val="left" w:pos="2268"/>
          <w:tab w:val="right" w:pos="8505"/>
        </w:tabs>
      </w:pPr>
      <w:r>
        <w:tab/>
        <w:t>3.3.1.</w:t>
      </w:r>
      <w:r>
        <w:tab/>
        <w:t>Maximum electrical power consumption</w:t>
      </w:r>
      <w:r>
        <w:tab/>
        <w:t>O</w:t>
      </w:r>
    </w:p>
    <w:p w:rsidR="00225E4A" w:rsidRDefault="00225E4A" w:rsidP="00225E4A">
      <w:pPr>
        <w:pStyle w:val="SingleTxtG"/>
        <w:tabs>
          <w:tab w:val="left" w:pos="1701"/>
          <w:tab w:val="left" w:pos="2268"/>
          <w:tab w:val="right" w:pos="8505"/>
        </w:tabs>
      </w:pPr>
      <w:r>
        <w:tab/>
        <w:t>3.3.2.</w:t>
      </w:r>
      <w:r>
        <w:tab/>
        <w:t>The minimum voltage range</w:t>
      </w:r>
      <w:r>
        <w:tab/>
        <w:t>O</w:t>
      </w:r>
    </w:p>
    <w:p w:rsidR="00225E4A" w:rsidRDefault="00225E4A" w:rsidP="00225E4A">
      <w:pPr>
        <w:pStyle w:val="SingleTxtG"/>
        <w:tabs>
          <w:tab w:val="left" w:pos="1701"/>
          <w:tab w:val="left" w:pos="2268"/>
          <w:tab w:val="right" w:pos="8505"/>
        </w:tabs>
      </w:pPr>
      <w:r>
        <w:tab/>
        <w:t>3.3.3.</w:t>
      </w:r>
      <w:r>
        <w:tab/>
        <w:t>The spectral content</w:t>
      </w:r>
      <w:r>
        <w:tab/>
        <w:t>O</w:t>
      </w:r>
    </w:p>
    <w:p w:rsidR="00225E4A" w:rsidRDefault="00225E4A" w:rsidP="00225E4A">
      <w:pPr>
        <w:pStyle w:val="SingleTxtG"/>
        <w:tabs>
          <w:tab w:val="left" w:pos="1701"/>
          <w:tab w:val="left" w:pos="2268"/>
          <w:tab w:val="right" w:pos="8505"/>
        </w:tabs>
      </w:pPr>
      <w:r>
        <w:t>3.4.</w:t>
      </w:r>
      <w:r>
        <w:tab/>
        <w:t>Additional parameters</w:t>
      </w:r>
      <w:r>
        <w:tab/>
      </w:r>
    </w:p>
    <w:p w:rsidR="00225E4A" w:rsidRDefault="00225E4A" w:rsidP="00225E4A">
      <w:pPr>
        <w:pStyle w:val="SingleTxtG"/>
        <w:tabs>
          <w:tab w:val="left" w:pos="1701"/>
          <w:tab w:val="left" w:pos="2268"/>
          <w:tab w:val="right" w:pos="8505"/>
        </w:tabs>
      </w:pPr>
      <w:r>
        <w:tab/>
        <w:t>3.4.1.</w:t>
      </w:r>
      <w:r>
        <w:tab/>
        <w:t>Thermal behaviour</w:t>
      </w:r>
      <w:r>
        <w:tab/>
        <w:t>O</w:t>
      </w:r>
    </w:p>
    <w:p w:rsidR="00225E4A" w:rsidRDefault="00225E4A" w:rsidP="00225E4A">
      <w:pPr>
        <w:pStyle w:val="SingleTxtG"/>
        <w:tabs>
          <w:tab w:val="left" w:pos="1701"/>
          <w:tab w:val="left" w:pos="2268"/>
          <w:tab w:val="right" w:pos="8505"/>
        </w:tabs>
        <w:jc w:val="left"/>
      </w:pPr>
      <w:r>
        <w:t>4.</w:t>
      </w:r>
      <w:r>
        <w:tab/>
        <w:t>Requirements regarding failure</w:t>
      </w:r>
      <w:r>
        <w:tab/>
        <w:t>O</w:t>
      </w:r>
    </w:p>
    <w:p w:rsidR="00225E4A" w:rsidRDefault="00225E4A" w:rsidP="00225E4A">
      <w:pPr>
        <w:pStyle w:val="SingleTxtG"/>
        <w:tabs>
          <w:tab w:val="left" w:pos="1701"/>
          <w:tab w:val="left" w:pos="2268"/>
          <w:tab w:val="right" w:pos="8505"/>
        </w:tabs>
        <w:jc w:val="left"/>
      </w:pPr>
      <w:r>
        <w:tab/>
        <w:t>4.1.</w:t>
      </w:r>
      <w:r>
        <w:tab/>
        <w:t>Failure detection</w:t>
      </w:r>
      <w:r>
        <w:tab/>
        <w:t>O</w:t>
      </w:r>
    </w:p>
    <w:p w:rsidR="00225E4A" w:rsidRPr="006D1EDD" w:rsidRDefault="00225E4A" w:rsidP="00225E4A">
      <w:pPr>
        <w:pStyle w:val="SingleTxtG"/>
        <w:tabs>
          <w:tab w:val="left" w:pos="1701"/>
          <w:tab w:val="left" w:pos="2268"/>
          <w:tab w:val="right" w:pos="8505"/>
        </w:tabs>
        <w:jc w:val="left"/>
      </w:pPr>
      <w:r>
        <w:tab/>
        <w:t>4.2.</w:t>
      </w:r>
      <w:r>
        <w:tab/>
        <w:t>Failure behaviour</w:t>
      </w:r>
      <w:r>
        <w:tab/>
        <w:t>O</w:t>
      </w:r>
    </w:p>
    <w:p w:rsidR="00225E4A" w:rsidRDefault="00225E4A" w:rsidP="00225E4A">
      <w:pPr>
        <w:rPr>
          <w:rFonts w:ascii="Arial" w:hAnsi="Arial"/>
        </w:rPr>
      </w:pPr>
    </w:p>
    <w:p w:rsidR="0017295E" w:rsidRPr="00BB4BA2" w:rsidRDefault="0017295E" w:rsidP="009250B9">
      <w:pPr>
        <w:contextualSpacing/>
        <w:jc w:val="center"/>
        <w:rPr>
          <w:rFonts w:ascii="Times New Roman" w:hAnsi="Times New Roman" w:cs="Times New Roman"/>
          <w:sz w:val="20"/>
          <w:szCs w:val="20"/>
        </w:rPr>
      </w:pPr>
    </w:p>
    <w:sectPr w:rsidR="0017295E" w:rsidRPr="00BB4BA2" w:rsidSect="00225E4A">
      <w:headerReference w:type="even" r:id="rId18"/>
      <w:headerReference w:type="default" r:id="rId19"/>
      <w:footerReference w:type="even" r:id="rId20"/>
      <w:footerReference w:type="default" r:id="rId21"/>
      <w:headerReference w:type="first" r:id="rId22"/>
      <w:footerReference w:type="first" r:id="rId23"/>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2D" w:rsidRDefault="00B4762D" w:rsidP="00495922">
      <w:pPr>
        <w:spacing w:after="0" w:line="240" w:lineRule="auto"/>
      </w:pPr>
      <w:r>
        <w:separator/>
      </w:r>
    </w:p>
  </w:endnote>
  <w:endnote w:type="continuationSeparator" w:id="0">
    <w:p w:rsidR="00B4762D" w:rsidRDefault="00B4762D" w:rsidP="0049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AB" w:rsidRDefault="00663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AB" w:rsidRDefault="00663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AB" w:rsidRDefault="0066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2D" w:rsidRDefault="00B4762D" w:rsidP="00495922">
      <w:pPr>
        <w:spacing w:after="0" w:line="240" w:lineRule="auto"/>
      </w:pPr>
      <w:r>
        <w:separator/>
      </w:r>
    </w:p>
  </w:footnote>
  <w:footnote w:type="continuationSeparator" w:id="0">
    <w:p w:rsidR="00B4762D" w:rsidRDefault="00B4762D" w:rsidP="00495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AB" w:rsidRDefault="00663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AB" w:rsidRDefault="00663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3112F6" w:rsidRPr="00240B3B" w:rsidTr="00D37B57">
      <w:tc>
        <w:tcPr>
          <w:tcW w:w="4536" w:type="dxa"/>
          <w:vAlign w:val="center"/>
        </w:tcPr>
        <w:p w:rsidR="003112F6" w:rsidRPr="00240B3B" w:rsidRDefault="003112F6" w:rsidP="00D37B57">
          <w:pPr>
            <w:spacing w:after="0"/>
            <w:ind w:right="67"/>
            <w:jc w:val="both"/>
            <w:rPr>
              <w:rFonts w:ascii="Times New Roman" w:hAnsi="Times New Roman" w:cs="Times New Roman"/>
              <w:sz w:val="20"/>
              <w:szCs w:val="20"/>
              <w:lang w:val="en-TT" w:eastAsia="ar-SA"/>
            </w:rPr>
          </w:pPr>
          <w:r w:rsidRPr="00240B3B">
            <w:rPr>
              <w:rFonts w:ascii="Times New Roman" w:hAnsi="Times New Roman" w:cs="Times New Roman"/>
              <w:sz w:val="20"/>
              <w:szCs w:val="20"/>
            </w:rPr>
            <w:t xml:space="preserve">Transmitted by the </w:t>
          </w:r>
          <w:r w:rsidRPr="00240B3B">
            <w:rPr>
              <w:rFonts w:ascii="Times New Roman" w:hAnsi="Times New Roman" w:cs="Times New Roman"/>
              <w:sz w:val="20"/>
              <w:szCs w:val="20"/>
              <w:lang w:eastAsia="ja-JP"/>
            </w:rPr>
            <w:t>expert</w:t>
          </w:r>
          <w:r>
            <w:rPr>
              <w:rFonts w:ascii="Times New Roman" w:hAnsi="Times New Roman" w:cs="Times New Roman"/>
              <w:sz w:val="20"/>
              <w:szCs w:val="20"/>
              <w:lang w:eastAsia="ja-JP"/>
            </w:rPr>
            <w:t>s</w:t>
          </w:r>
          <w:r w:rsidRPr="00240B3B">
            <w:rPr>
              <w:rFonts w:ascii="Times New Roman" w:hAnsi="Times New Roman" w:cs="Times New Roman"/>
              <w:sz w:val="20"/>
              <w:szCs w:val="20"/>
              <w:lang w:eastAsia="ja-JP"/>
            </w:rPr>
            <w:t xml:space="preserve"> from</w:t>
          </w:r>
          <w:r>
            <w:rPr>
              <w:rFonts w:ascii="Times New Roman" w:hAnsi="Times New Roman" w:cs="Times New Roman"/>
              <w:sz w:val="20"/>
              <w:szCs w:val="20"/>
            </w:rPr>
            <w:t xml:space="preserve"> T</w:t>
          </w:r>
          <w:r w:rsidRPr="00240B3B">
            <w:rPr>
              <w:rFonts w:ascii="Times New Roman" w:hAnsi="Times New Roman" w:cs="Times New Roman"/>
              <w:sz w:val="20"/>
              <w:szCs w:val="20"/>
            </w:rPr>
            <w:t>he International Automotive Lighting and Light Signalling Expert Group (GTB)</w:t>
          </w:r>
          <w:r>
            <w:rPr>
              <w:rFonts w:ascii="Times New Roman" w:hAnsi="Times New Roman" w:cs="Times New Roman"/>
              <w:sz w:val="20"/>
              <w:szCs w:val="20"/>
            </w:rPr>
            <w:t xml:space="preserve"> </w:t>
          </w:r>
        </w:p>
      </w:tc>
      <w:tc>
        <w:tcPr>
          <w:tcW w:w="5103" w:type="dxa"/>
        </w:tcPr>
        <w:p w:rsidR="003112F6" w:rsidRPr="00936C3A" w:rsidRDefault="003112F6" w:rsidP="00D37B57">
          <w:pPr>
            <w:spacing w:after="0"/>
            <w:ind w:left="1418"/>
            <w:rPr>
              <w:rFonts w:ascii="Times New Roman" w:hAnsi="Times New Roman" w:cs="Times New Roman"/>
              <w:b/>
              <w:bCs/>
              <w:color w:val="000000"/>
              <w:sz w:val="20"/>
              <w:szCs w:val="20"/>
              <w:lang w:val="fr-FR" w:eastAsia="ar-SA"/>
            </w:rPr>
          </w:pPr>
          <w:r w:rsidRPr="00D37B57">
            <w:rPr>
              <w:rFonts w:ascii="Times New Roman" w:hAnsi="Times New Roman" w:cs="Times New Roman"/>
              <w:sz w:val="20"/>
              <w:szCs w:val="20"/>
              <w:u w:val="single"/>
              <w:lang w:eastAsia="ar-SA"/>
            </w:rPr>
            <w:t>Informal</w:t>
          </w:r>
          <w:r w:rsidRPr="00936C3A">
            <w:rPr>
              <w:rFonts w:ascii="Times New Roman" w:hAnsi="Times New Roman" w:cs="Times New Roman"/>
              <w:sz w:val="20"/>
              <w:szCs w:val="20"/>
              <w:u w:val="single"/>
              <w:lang w:val="fr-FR" w:eastAsia="ar-SA"/>
            </w:rPr>
            <w:t xml:space="preserve"> document</w:t>
          </w:r>
          <w:r w:rsidRPr="00936C3A">
            <w:rPr>
              <w:rFonts w:ascii="Times New Roman" w:hAnsi="Times New Roman" w:cs="Times New Roman"/>
              <w:sz w:val="20"/>
              <w:szCs w:val="20"/>
              <w:lang w:val="fr-FR" w:eastAsia="ar-SA"/>
            </w:rPr>
            <w:t xml:space="preserve"> </w:t>
          </w:r>
          <w:r w:rsidRPr="00936C3A">
            <w:rPr>
              <w:rFonts w:ascii="Times New Roman" w:hAnsi="Times New Roman" w:cs="Times New Roman"/>
              <w:b/>
              <w:bCs/>
              <w:sz w:val="20"/>
              <w:szCs w:val="20"/>
              <w:lang w:val="fr-FR" w:eastAsia="ar-SA"/>
            </w:rPr>
            <w:t>GRE-</w:t>
          </w:r>
          <w:r>
            <w:rPr>
              <w:rFonts w:ascii="Times New Roman" w:hAnsi="Times New Roman" w:cs="Times New Roman"/>
              <w:b/>
              <w:bCs/>
              <w:sz w:val="20"/>
              <w:szCs w:val="20"/>
              <w:lang w:val="fr-FR" w:eastAsia="ar-SA"/>
            </w:rPr>
            <w:t>7</w:t>
          </w:r>
          <w:r w:rsidR="00AD2537">
            <w:rPr>
              <w:rFonts w:ascii="Times New Roman" w:hAnsi="Times New Roman" w:cs="Times New Roman"/>
              <w:b/>
              <w:bCs/>
              <w:sz w:val="20"/>
              <w:szCs w:val="20"/>
              <w:lang w:val="fr-FR" w:eastAsia="ar-SA"/>
            </w:rPr>
            <w:t>7</w:t>
          </w:r>
          <w:r>
            <w:rPr>
              <w:rFonts w:ascii="Times New Roman" w:hAnsi="Times New Roman" w:cs="Times New Roman"/>
              <w:b/>
              <w:bCs/>
              <w:sz w:val="20"/>
              <w:szCs w:val="20"/>
              <w:lang w:val="fr-FR" w:eastAsia="ar-SA"/>
            </w:rPr>
            <w:t>-</w:t>
          </w:r>
          <w:r w:rsidR="008A6D54">
            <w:rPr>
              <w:rFonts w:ascii="Times New Roman" w:hAnsi="Times New Roman" w:cs="Times New Roman"/>
              <w:b/>
              <w:bCs/>
              <w:sz w:val="20"/>
              <w:szCs w:val="20"/>
              <w:lang w:val="fr-FR" w:eastAsia="ar-SA"/>
            </w:rPr>
            <w:t>02</w:t>
          </w:r>
        </w:p>
        <w:p w:rsidR="003112F6" w:rsidRPr="008A6D54" w:rsidRDefault="003112F6" w:rsidP="00D37B57">
          <w:pPr>
            <w:tabs>
              <w:tab w:val="center" w:pos="4677"/>
              <w:tab w:val="right" w:pos="9355"/>
            </w:tabs>
            <w:spacing w:after="0"/>
            <w:ind w:left="1418"/>
            <w:rPr>
              <w:rFonts w:ascii="Times New Roman" w:hAnsi="Times New Roman" w:cs="Times New Roman"/>
              <w:sz w:val="20"/>
              <w:szCs w:val="20"/>
              <w:lang w:val="en-US" w:eastAsia="ar-SA"/>
            </w:rPr>
          </w:pPr>
          <w:r w:rsidRPr="008A6D54">
            <w:rPr>
              <w:rFonts w:ascii="Times New Roman" w:hAnsi="Times New Roman" w:cs="Times New Roman"/>
              <w:sz w:val="20"/>
              <w:szCs w:val="20"/>
              <w:lang w:val="en-US" w:eastAsia="ar-SA"/>
            </w:rPr>
            <w:t>(7</w:t>
          </w:r>
          <w:r w:rsidR="00AD2537" w:rsidRPr="008A6D54">
            <w:rPr>
              <w:rFonts w:ascii="Times New Roman" w:hAnsi="Times New Roman" w:cs="Times New Roman"/>
              <w:sz w:val="20"/>
              <w:szCs w:val="20"/>
              <w:lang w:val="en-US" w:eastAsia="ar-SA"/>
            </w:rPr>
            <w:t>7</w:t>
          </w:r>
          <w:r w:rsidRPr="008A6D54">
            <w:rPr>
              <w:rFonts w:ascii="Times New Roman" w:hAnsi="Times New Roman" w:cs="Times New Roman"/>
              <w:sz w:val="20"/>
              <w:szCs w:val="20"/>
              <w:lang w:val="en-US" w:eastAsia="ar-SA"/>
            </w:rPr>
            <w:t xml:space="preserve">th GRE, </w:t>
          </w:r>
          <w:r w:rsidR="00AD2537" w:rsidRPr="008A6D54">
            <w:rPr>
              <w:rFonts w:ascii="Times New Roman" w:hAnsi="Times New Roman" w:cs="Times New Roman"/>
              <w:sz w:val="20"/>
              <w:szCs w:val="20"/>
              <w:lang w:val="en-US" w:eastAsia="ar-SA"/>
            </w:rPr>
            <w:t>4-7 April 2017</w:t>
          </w:r>
        </w:p>
        <w:p w:rsidR="003112F6" w:rsidRPr="00240B3B" w:rsidRDefault="003112F6" w:rsidP="006637AB">
          <w:pPr>
            <w:tabs>
              <w:tab w:val="center" w:pos="4677"/>
              <w:tab w:val="right" w:pos="9355"/>
            </w:tabs>
            <w:spacing w:after="0"/>
            <w:ind w:left="1418"/>
            <w:rPr>
              <w:rFonts w:ascii="Times New Roman" w:hAnsi="Times New Roman" w:cs="Times New Roman"/>
              <w:sz w:val="20"/>
              <w:szCs w:val="20"/>
              <w:lang w:val="en-TT" w:eastAsia="ar-SA"/>
            </w:rPr>
          </w:pPr>
          <w:r w:rsidRPr="00240B3B">
            <w:rPr>
              <w:rFonts w:ascii="Times New Roman" w:hAnsi="Times New Roman" w:cs="Times New Roman"/>
              <w:sz w:val="20"/>
              <w:szCs w:val="20"/>
              <w:lang w:val="en-TT" w:eastAsia="ar-SA"/>
            </w:rPr>
            <w:t xml:space="preserve">agenda item </w:t>
          </w:r>
          <w:r w:rsidR="006637AB">
            <w:rPr>
              <w:rFonts w:ascii="Times New Roman" w:hAnsi="Times New Roman" w:cs="Times New Roman"/>
              <w:sz w:val="20"/>
              <w:szCs w:val="20"/>
              <w:lang w:val="en-TT" w:eastAsia="ar-SA"/>
            </w:rPr>
            <w:t>5</w:t>
          </w:r>
          <w:bookmarkStart w:id="0" w:name="_GoBack"/>
          <w:bookmarkEnd w:id="0"/>
          <w:r w:rsidR="008A6D54">
            <w:rPr>
              <w:rFonts w:ascii="Times New Roman" w:hAnsi="Times New Roman" w:cs="Times New Roman"/>
              <w:sz w:val="20"/>
              <w:szCs w:val="20"/>
              <w:lang w:val="en-TT" w:eastAsia="ar-SA"/>
            </w:rPr>
            <w:t>)</w:t>
          </w:r>
        </w:p>
      </w:tc>
    </w:tr>
  </w:tbl>
  <w:p w:rsidR="003112F6" w:rsidRDefault="00311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1D6"/>
    <w:multiLevelType w:val="hybridMultilevel"/>
    <w:tmpl w:val="8C38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9E044D"/>
    <w:multiLevelType w:val="hybridMultilevel"/>
    <w:tmpl w:val="3D7E6FF0"/>
    <w:lvl w:ilvl="0" w:tplc="37A89C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57A1B"/>
    <w:multiLevelType w:val="hybridMultilevel"/>
    <w:tmpl w:val="6E0ADA5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5C1559"/>
    <w:multiLevelType w:val="hybridMultilevel"/>
    <w:tmpl w:val="6B1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A1881"/>
    <w:multiLevelType w:val="hybridMultilevel"/>
    <w:tmpl w:val="A59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E8458A"/>
    <w:multiLevelType w:val="hybridMultilevel"/>
    <w:tmpl w:val="F41425A0"/>
    <w:lvl w:ilvl="0" w:tplc="B6BE4EAE">
      <w:start w:val="1"/>
      <w:numFmt w:val="bullet"/>
      <w:lvlText w:val=""/>
      <w:lvlJc w:val="left"/>
      <w:pPr>
        <w:tabs>
          <w:tab w:val="num" w:pos="720"/>
        </w:tabs>
        <w:ind w:left="720" w:hanging="360"/>
      </w:pPr>
      <w:rPr>
        <w:rFonts w:ascii="Wingdings" w:hAnsi="Wingdings" w:hint="default"/>
      </w:rPr>
    </w:lvl>
    <w:lvl w:ilvl="1" w:tplc="DD3E22F2">
      <w:start w:val="711"/>
      <w:numFmt w:val="bullet"/>
      <w:lvlText w:val=""/>
      <w:lvlJc w:val="left"/>
      <w:pPr>
        <w:tabs>
          <w:tab w:val="num" w:pos="1440"/>
        </w:tabs>
        <w:ind w:left="1440" w:hanging="360"/>
      </w:pPr>
      <w:rPr>
        <w:rFonts w:ascii="Wingdings" w:hAnsi="Wingdings" w:hint="default"/>
      </w:rPr>
    </w:lvl>
    <w:lvl w:ilvl="2" w:tplc="18305164" w:tentative="1">
      <w:start w:val="1"/>
      <w:numFmt w:val="bullet"/>
      <w:lvlText w:val=""/>
      <w:lvlJc w:val="left"/>
      <w:pPr>
        <w:tabs>
          <w:tab w:val="num" w:pos="2160"/>
        </w:tabs>
        <w:ind w:left="2160" w:hanging="360"/>
      </w:pPr>
      <w:rPr>
        <w:rFonts w:ascii="Wingdings" w:hAnsi="Wingdings" w:hint="default"/>
      </w:rPr>
    </w:lvl>
    <w:lvl w:ilvl="3" w:tplc="C26E6F22" w:tentative="1">
      <w:start w:val="1"/>
      <w:numFmt w:val="bullet"/>
      <w:lvlText w:val=""/>
      <w:lvlJc w:val="left"/>
      <w:pPr>
        <w:tabs>
          <w:tab w:val="num" w:pos="2880"/>
        </w:tabs>
        <w:ind w:left="2880" w:hanging="360"/>
      </w:pPr>
      <w:rPr>
        <w:rFonts w:ascii="Wingdings" w:hAnsi="Wingdings" w:hint="default"/>
      </w:rPr>
    </w:lvl>
    <w:lvl w:ilvl="4" w:tplc="0C78D38E" w:tentative="1">
      <w:start w:val="1"/>
      <w:numFmt w:val="bullet"/>
      <w:lvlText w:val=""/>
      <w:lvlJc w:val="left"/>
      <w:pPr>
        <w:tabs>
          <w:tab w:val="num" w:pos="3600"/>
        </w:tabs>
        <w:ind w:left="3600" w:hanging="360"/>
      </w:pPr>
      <w:rPr>
        <w:rFonts w:ascii="Wingdings" w:hAnsi="Wingdings" w:hint="default"/>
      </w:rPr>
    </w:lvl>
    <w:lvl w:ilvl="5" w:tplc="66785EFC" w:tentative="1">
      <w:start w:val="1"/>
      <w:numFmt w:val="bullet"/>
      <w:lvlText w:val=""/>
      <w:lvlJc w:val="left"/>
      <w:pPr>
        <w:tabs>
          <w:tab w:val="num" w:pos="4320"/>
        </w:tabs>
        <w:ind w:left="4320" w:hanging="360"/>
      </w:pPr>
      <w:rPr>
        <w:rFonts w:ascii="Wingdings" w:hAnsi="Wingdings" w:hint="default"/>
      </w:rPr>
    </w:lvl>
    <w:lvl w:ilvl="6" w:tplc="81B8D960" w:tentative="1">
      <w:start w:val="1"/>
      <w:numFmt w:val="bullet"/>
      <w:lvlText w:val=""/>
      <w:lvlJc w:val="left"/>
      <w:pPr>
        <w:tabs>
          <w:tab w:val="num" w:pos="5040"/>
        </w:tabs>
        <w:ind w:left="5040" w:hanging="360"/>
      </w:pPr>
      <w:rPr>
        <w:rFonts w:ascii="Wingdings" w:hAnsi="Wingdings" w:hint="default"/>
      </w:rPr>
    </w:lvl>
    <w:lvl w:ilvl="7" w:tplc="BD806B52" w:tentative="1">
      <w:start w:val="1"/>
      <w:numFmt w:val="bullet"/>
      <w:lvlText w:val=""/>
      <w:lvlJc w:val="left"/>
      <w:pPr>
        <w:tabs>
          <w:tab w:val="num" w:pos="5760"/>
        </w:tabs>
        <w:ind w:left="5760" w:hanging="360"/>
      </w:pPr>
      <w:rPr>
        <w:rFonts w:ascii="Wingdings" w:hAnsi="Wingdings" w:hint="default"/>
      </w:rPr>
    </w:lvl>
    <w:lvl w:ilvl="8" w:tplc="C6567A1A" w:tentative="1">
      <w:start w:val="1"/>
      <w:numFmt w:val="bullet"/>
      <w:lvlText w:val=""/>
      <w:lvlJc w:val="left"/>
      <w:pPr>
        <w:tabs>
          <w:tab w:val="num" w:pos="6480"/>
        </w:tabs>
        <w:ind w:left="6480" w:hanging="360"/>
      </w:pPr>
      <w:rPr>
        <w:rFonts w:ascii="Wingdings" w:hAnsi="Wingdings" w:hint="default"/>
      </w:rPr>
    </w:lvl>
  </w:abstractNum>
  <w:abstractNum w:abstractNumId="6">
    <w:nsid w:val="37903F4E"/>
    <w:multiLevelType w:val="hybridMultilevel"/>
    <w:tmpl w:val="C298DD1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379B6719"/>
    <w:multiLevelType w:val="hybridMultilevel"/>
    <w:tmpl w:val="5118827C"/>
    <w:lvl w:ilvl="0" w:tplc="92DA5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64791A"/>
    <w:multiLevelType w:val="hybridMultilevel"/>
    <w:tmpl w:val="5CE084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4AA038A"/>
    <w:multiLevelType w:val="hybridMultilevel"/>
    <w:tmpl w:val="D5FE13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455B046E"/>
    <w:multiLevelType w:val="hybridMultilevel"/>
    <w:tmpl w:val="254ADF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5CA26C3"/>
    <w:multiLevelType w:val="hybridMultilevel"/>
    <w:tmpl w:val="906294F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C43B9"/>
    <w:multiLevelType w:val="hybridMultilevel"/>
    <w:tmpl w:val="B46619D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B55524"/>
    <w:multiLevelType w:val="hybridMultilevel"/>
    <w:tmpl w:val="FC40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700851"/>
    <w:multiLevelType w:val="hybridMultilevel"/>
    <w:tmpl w:val="F81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BE33EB"/>
    <w:multiLevelType w:val="hybridMultilevel"/>
    <w:tmpl w:val="D21E729C"/>
    <w:lvl w:ilvl="0" w:tplc="37A89CDE">
      <w:start w:val="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59013A0C"/>
    <w:multiLevelType w:val="hybridMultilevel"/>
    <w:tmpl w:val="1A2A3C20"/>
    <w:lvl w:ilvl="0" w:tplc="37A89CDE">
      <w:start w:val="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nsid w:val="5E1A5467"/>
    <w:multiLevelType w:val="multilevel"/>
    <w:tmpl w:val="6DCE05E8"/>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6FB0245"/>
    <w:multiLevelType w:val="hybridMultilevel"/>
    <w:tmpl w:val="76BEEB7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68CC19EB"/>
    <w:multiLevelType w:val="hybridMultilevel"/>
    <w:tmpl w:val="3BDA75B8"/>
    <w:lvl w:ilvl="0" w:tplc="97AE7C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9D2289"/>
    <w:multiLevelType w:val="hybridMultilevel"/>
    <w:tmpl w:val="5290C7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DD7EBE"/>
    <w:multiLevelType w:val="hybridMultilevel"/>
    <w:tmpl w:val="1660CB70"/>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4"/>
  </w:num>
  <w:num w:numId="2">
    <w:abstractNumId w:val="14"/>
  </w:num>
  <w:num w:numId="3">
    <w:abstractNumId w:val="6"/>
  </w:num>
  <w:num w:numId="4">
    <w:abstractNumId w:val="10"/>
  </w:num>
  <w:num w:numId="5">
    <w:abstractNumId w:val="0"/>
  </w:num>
  <w:num w:numId="6">
    <w:abstractNumId w:val="12"/>
  </w:num>
  <w:num w:numId="7">
    <w:abstractNumId w:val="5"/>
  </w:num>
  <w:num w:numId="8">
    <w:abstractNumId w:val="11"/>
  </w:num>
  <w:num w:numId="9">
    <w:abstractNumId w:val="2"/>
  </w:num>
  <w:num w:numId="10">
    <w:abstractNumId w:val="20"/>
  </w:num>
  <w:num w:numId="11">
    <w:abstractNumId w:val="13"/>
  </w:num>
  <w:num w:numId="12">
    <w:abstractNumId w:val="19"/>
  </w:num>
  <w:num w:numId="13">
    <w:abstractNumId w:val="7"/>
  </w:num>
  <w:num w:numId="14">
    <w:abstractNumId w:val="9"/>
  </w:num>
  <w:num w:numId="15">
    <w:abstractNumId w:val="8"/>
  </w:num>
  <w:num w:numId="16">
    <w:abstractNumId w:val="18"/>
  </w:num>
  <w:num w:numId="17">
    <w:abstractNumId w:val="3"/>
  </w:num>
  <w:num w:numId="18">
    <w:abstractNumId w:val="17"/>
  </w:num>
  <w:num w:numId="19">
    <w:abstractNumId w:val="21"/>
  </w:num>
  <w:num w:numId="20">
    <w:abstractNumId w:val="1"/>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64EE"/>
    <w:rsid w:val="0001423F"/>
    <w:rsid w:val="00017FE9"/>
    <w:rsid w:val="00045D27"/>
    <w:rsid w:val="00051C83"/>
    <w:rsid w:val="00081A77"/>
    <w:rsid w:val="000950B5"/>
    <w:rsid w:val="000A1128"/>
    <w:rsid w:val="000A1FC8"/>
    <w:rsid w:val="000B7673"/>
    <w:rsid w:val="000C613B"/>
    <w:rsid w:val="0010645E"/>
    <w:rsid w:val="00133420"/>
    <w:rsid w:val="001438A2"/>
    <w:rsid w:val="0017295E"/>
    <w:rsid w:val="001842A6"/>
    <w:rsid w:val="00186746"/>
    <w:rsid w:val="001A2878"/>
    <w:rsid w:val="001B36E6"/>
    <w:rsid w:val="001D6862"/>
    <w:rsid w:val="001E5BB5"/>
    <w:rsid w:val="00203752"/>
    <w:rsid w:val="00215412"/>
    <w:rsid w:val="00225E4A"/>
    <w:rsid w:val="00231A60"/>
    <w:rsid w:val="00232343"/>
    <w:rsid w:val="00233999"/>
    <w:rsid w:val="00233D38"/>
    <w:rsid w:val="00240B3B"/>
    <w:rsid w:val="00257C34"/>
    <w:rsid w:val="0026275E"/>
    <w:rsid w:val="00276AB2"/>
    <w:rsid w:val="002925FE"/>
    <w:rsid w:val="002963BF"/>
    <w:rsid w:val="002D26A8"/>
    <w:rsid w:val="002F72EB"/>
    <w:rsid w:val="003112F6"/>
    <w:rsid w:val="00314D32"/>
    <w:rsid w:val="00326463"/>
    <w:rsid w:val="00335B81"/>
    <w:rsid w:val="00353F75"/>
    <w:rsid w:val="003661A1"/>
    <w:rsid w:val="003866D6"/>
    <w:rsid w:val="00386A19"/>
    <w:rsid w:val="003A6831"/>
    <w:rsid w:val="003C2176"/>
    <w:rsid w:val="003C2C20"/>
    <w:rsid w:val="003F4C24"/>
    <w:rsid w:val="00402F98"/>
    <w:rsid w:val="00407A41"/>
    <w:rsid w:val="00407CA5"/>
    <w:rsid w:val="00466B2F"/>
    <w:rsid w:val="004761B2"/>
    <w:rsid w:val="00482CDC"/>
    <w:rsid w:val="00495922"/>
    <w:rsid w:val="004A094A"/>
    <w:rsid w:val="004D184E"/>
    <w:rsid w:val="004D3860"/>
    <w:rsid w:val="004E0B5C"/>
    <w:rsid w:val="004E63E8"/>
    <w:rsid w:val="004F1E5B"/>
    <w:rsid w:val="005112EA"/>
    <w:rsid w:val="005167A3"/>
    <w:rsid w:val="00521C12"/>
    <w:rsid w:val="00554A45"/>
    <w:rsid w:val="00555020"/>
    <w:rsid w:val="00573438"/>
    <w:rsid w:val="00577566"/>
    <w:rsid w:val="005C35E6"/>
    <w:rsid w:val="005F53B4"/>
    <w:rsid w:val="006038F2"/>
    <w:rsid w:val="006145C2"/>
    <w:rsid w:val="00625545"/>
    <w:rsid w:val="00650C71"/>
    <w:rsid w:val="006637AB"/>
    <w:rsid w:val="006A5DF4"/>
    <w:rsid w:val="006D5809"/>
    <w:rsid w:val="006E69B3"/>
    <w:rsid w:val="006F274C"/>
    <w:rsid w:val="00723A62"/>
    <w:rsid w:val="007776D4"/>
    <w:rsid w:val="007A7EE1"/>
    <w:rsid w:val="007C420A"/>
    <w:rsid w:val="007D104C"/>
    <w:rsid w:val="007D1205"/>
    <w:rsid w:val="007E3033"/>
    <w:rsid w:val="007E3146"/>
    <w:rsid w:val="00822499"/>
    <w:rsid w:val="00824BAF"/>
    <w:rsid w:val="00845058"/>
    <w:rsid w:val="00856D31"/>
    <w:rsid w:val="00880078"/>
    <w:rsid w:val="008A6D54"/>
    <w:rsid w:val="008C1A66"/>
    <w:rsid w:val="008C75C9"/>
    <w:rsid w:val="008D229B"/>
    <w:rsid w:val="008E37FA"/>
    <w:rsid w:val="00902F2E"/>
    <w:rsid w:val="00902FE0"/>
    <w:rsid w:val="009250B9"/>
    <w:rsid w:val="00933544"/>
    <w:rsid w:val="00936C3A"/>
    <w:rsid w:val="00945736"/>
    <w:rsid w:val="00965BF6"/>
    <w:rsid w:val="009A2F0E"/>
    <w:rsid w:val="009A3794"/>
    <w:rsid w:val="009C5123"/>
    <w:rsid w:val="009D5E3C"/>
    <w:rsid w:val="009E1BC2"/>
    <w:rsid w:val="00A22C89"/>
    <w:rsid w:val="00A766AD"/>
    <w:rsid w:val="00AA3765"/>
    <w:rsid w:val="00AC7E47"/>
    <w:rsid w:val="00AD2537"/>
    <w:rsid w:val="00AE6DA2"/>
    <w:rsid w:val="00B10AD5"/>
    <w:rsid w:val="00B13B68"/>
    <w:rsid w:val="00B4762D"/>
    <w:rsid w:val="00B504FA"/>
    <w:rsid w:val="00B52855"/>
    <w:rsid w:val="00B67CBD"/>
    <w:rsid w:val="00B86743"/>
    <w:rsid w:val="00BA4C71"/>
    <w:rsid w:val="00BA6866"/>
    <w:rsid w:val="00BB4BA2"/>
    <w:rsid w:val="00BC4FC2"/>
    <w:rsid w:val="00BC5741"/>
    <w:rsid w:val="00BF1E67"/>
    <w:rsid w:val="00C001D0"/>
    <w:rsid w:val="00C102D6"/>
    <w:rsid w:val="00C406B6"/>
    <w:rsid w:val="00C47384"/>
    <w:rsid w:val="00C7437C"/>
    <w:rsid w:val="00C8073A"/>
    <w:rsid w:val="00CB1294"/>
    <w:rsid w:val="00CB29A2"/>
    <w:rsid w:val="00CB4344"/>
    <w:rsid w:val="00CF4049"/>
    <w:rsid w:val="00D26E95"/>
    <w:rsid w:val="00D330DC"/>
    <w:rsid w:val="00D364EE"/>
    <w:rsid w:val="00D37B57"/>
    <w:rsid w:val="00D50842"/>
    <w:rsid w:val="00D661E4"/>
    <w:rsid w:val="00DB008F"/>
    <w:rsid w:val="00DE43DA"/>
    <w:rsid w:val="00E7356C"/>
    <w:rsid w:val="00E75740"/>
    <w:rsid w:val="00E81AF9"/>
    <w:rsid w:val="00E924E8"/>
    <w:rsid w:val="00EE075D"/>
    <w:rsid w:val="00F05A28"/>
    <w:rsid w:val="00F05DCB"/>
    <w:rsid w:val="00F80FB7"/>
    <w:rsid w:val="00F84291"/>
    <w:rsid w:val="00F8622D"/>
    <w:rsid w:val="00F9554B"/>
    <w:rsid w:val="00FA23F8"/>
    <w:rsid w:val="00FA2444"/>
    <w:rsid w:val="00FB7D2F"/>
    <w:rsid w:val="00FC661E"/>
    <w:rsid w:val="00FE723C"/>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paragraph" w:styleId="Heading1">
    <w:name w:val="heading 1"/>
    <w:aliases w:val="Table_G"/>
    <w:basedOn w:val="Normal"/>
    <w:next w:val="Normal"/>
    <w:link w:val="Heading1Char"/>
    <w:qFormat/>
    <w:rsid w:val="009250B9"/>
    <w:pPr>
      <w:suppressAutoHyphens/>
      <w:spacing w:after="0" w:line="240" w:lineRule="auto"/>
      <w:ind w:left="1134"/>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aliases w:val="6_G"/>
    <w:basedOn w:val="Normal"/>
    <w:link w:val="HeaderChar"/>
    <w:unhideWhenUsed/>
    <w:rsid w:val="00495922"/>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 w:type="paragraph" w:customStyle="1" w:styleId="SingleTxtG">
    <w:name w:val="_ Single Txt_G"/>
    <w:basedOn w:val="Normal"/>
    <w:link w:val="SingleTxtGChar"/>
    <w:qFormat/>
    <w:rsid w:val="006E69B3"/>
    <w:pPr>
      <w:suppressAutoHyphens/>
      <w:ind w:left="1134" w:right="1134"/>
      <w:jc w:val="both"/>
    </w:pPr>
    <w:rPr>
      <w:rFonts w:ascii="Times New Roman" w:eastAsia="MS Mincho" w:hAnsi="Times New Roman" w:cs="Times New Roman"/>
      <w:sz w:val="20"/>
      <w:szCs w:val="20"/>
    </w:rPr>
  </w:style>
  <w:style w:type="paragraph" w:customStyle="1" w:styleId="Paragrafoelenco1">
    <w:name w:val="Paragrafo elenco1"/>
    <w:basedOn w:val="Normal"/>
    <w:uiPriority w:val="99"/>
    <w:rsid w:val="006E69B3"/>
    <w:pPr>
      <w:spacing w:after="0" w:line="240" w:lineRule="auto"/>
      <w:ind w:left="720"/>
    </w:pPr>
    <w:rPr>
      <w:rFonts w:ascii="Times New Roman" w:eastAsia="MS Mincho" w:hAnsi="Times New Roman" w:cs="Times New Roman"/>
      <w:sz w:val="24"/>
      <w:szCs w:val="24"/>
    </w:rPr>
  </w:style>
  <w:style w:type="character" w:customStyle="1" w:styleId="Heading1Char">
    <w:name w:val="Heading 1 Char"/>
    <w:aliases w:val="Table_G Char"/>
    <w:basedOn w:val="DefaultParagraphFont"/>
    <w:link w:val="Heading1"/>
    <w:rsid w:val="009250B9"/>
    <w:rPr>
      <w:rFonts w:ascii="Times New Roman" w:eastAsia="Times New Roman" w:hAnsi="Times New Roman" w:cs="Times New Roman"/>
      <w:sz w:val="20"/>
      <w:szCs w:val="20"/>
    </w:rPr>
  </w:style>
  <w:style w:type="paragraph" w:customStyle="1" w:styleId="HChG">
    <w:name w:val="_ H _Ch_G"/>
    <w:basedOn w:val="Normal"/>
    <w:next w:val="Normal"/>
    <w:rsid w:val="009250B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PlainText">
    <w:name w:val="Plain Text"/>
    <w:basedOn w:val="Normal"/>
    <w:link w:val="PlainTextChar"/>
    <w:rsid w:val="009250B9"/>
    <w:pPr>
      <w:suppressAutoHyphens/>
      <w:spacing w:after="0"/>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9250B9"/>
    <w:rPr>
      <w:rFonts w:ascii="Times New Roman" w:eastAsia="Times New Roman" w:hAnsi="Times New Roman" w:cs="Courier New"/>
      <w:sz w:val="20"/>
      <w:szCs w:val="20"/>
    </w:rPr>
  </w:style>
  <w:style w:type="paragraph" w:styleId="NormalWeb">
    <w:name w:val="Normal (Web)"/>
    <w:basedOn w:val="Normal"/>
    <w:uiPriority w:val="99"/>
    <w:semiHidden/>
    <w:unhideWhenUsed/>
    <w:rsid w:val="009250B9"/>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SingleTxtGChar">
    <w:name w:val="_ Single Txt_G Char"/>
    <w:link w:val="SingleTxtG"/>
    <w:locked/>
    <w:rsid w:val="00225E4A"/>
    <w:rPr>
      <w:rFonts w:ascii="Times New Roman" w:eastAsia="MS Mincho"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iPriority w:val="99"/>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2725">
      <w:bodyDiv w:val="1"/>
      <w:marLeft w:val="0"/>
      <w:marRight w:val="0"/>
      <w:marTop w:val="0"/>
      <w:marBottom w:val="0"/>
      <w:divBdr>
        <w:top w:val="none" w:sz="0" w:space="0" w:color="auto"/>
        <w:left w:val="none" w:sz="0" w:space="0" w:color="auto"/>
        <w:bottom w:val="none" w:sz="0" w:space="0" w:color="auto"/>
        <w:right w:val="none" w:sz="0" w:space="0" w:color="auto"/>
      </w:divBdr>
    </w:div>
    <w:div w:id="1595361713">
      <w:bodyDiv w:val="1"/>
      <w:marLeft w:val="0"/>
      <w:marRight w:val="0"/>
      <w:marTop w:val="0"/>
      <w:marBottom w:val="0"/>
      <w:divBdr>
        <w:top w:val="none" w:sz="0" w:space="0" w:color="auto"/>
        <w:left w:val="none" w:sz="0" w:space="0" w:color="auto"/>
        <w:bottom w:val="none" w:sz="0" w:space="0" w:color="auto"/>
        <w:right w:val="none" w:sz="0" w:space="0" w:color="auto"/>
      </w:divBdr>
      <w:divsChild>
        <w:div w:id="1563976883">
          <w:marLeft w:val="288"/>
          <w:marRight w:val="0"/>
          <w:marTop w:val="115"/>
          <w:marBottom w:val="0"/>
          <w:divBdr>
            <w:top w:val="none" w:sz="0" w:space="0" w:color="auto"/>
            <w:left w:val="none" w:sz="0" w:space="0" w:color="auto"/>
            <w:bottom w:val="none" w:sz="0" w:space="0" w:color="auto"/>
            <w:right w:val="none" w:sz="0" w:space="0" w:color="auto"/>
          </w:divBdr>
        </w:div>
        <w:div w:id="1570924232">
          <w:marLeft w:val="288"/>
          <w:marRight w:val="0"/>
          <w:marTop w:val="115"/>
          <w:marBottom w:val="0"/>
          <w:divBdr>
            <w:top w:val="none" w:sz="0" w:space="0" w:color="auto"/>
            <w:left w:val="none" w:sz="0" w:space="0" w:color="auto"/>
            <w:bottom w:val="none" w:sz="0" w:space="0" w:color="auto"/>
            <w:right w:val="none" w:sz="0" w:space="0" w:color="auto"/>
          </w:divBdr>
        </w:div>
        <w:div w:id="644553942">
          <w:marLeft w:val="288"/>
          <w:marRight w:val="0"/>
          <w:marTop w:val="115"/>
          <w:marBottom w:val="0"/>
          <w:divBdr>
            <w:top w:val="none" w:sz="0" w:space="0" w:color="auto"/>
            <w:left w:val="none" w:sz="0" w:space="0" w:color="auto"/>
            <w:bottom w:val="none" w:sz="0" w:space="0" w:color="auto"/>
            <w:right w:val="none" w:sz="0" w:space="0" w:color="auto"/>
          </w:divBdr>
        </w:div>
        <w:div w:id="1011377514">
          <w:marLeft w:val="288"/>
          <w:marRight w:val="0"/>
          <w:marTop w:val="115"/>
          <w:marBottom w:val="0"/>
          <w:divBdr>
            <w:top w:val="none" w:sz="0" w:space="0" w:color="auto"/>
            <w:left w:val="none" w:sz="0" w:space="0" w:color="auto"/>
            <w:bottom w:val="none" w:sz="0" w:space="0" w:color="auto"/>
            <w:right w:val="none" w:sz="0" w:space="0" w:color="auto"/>
          </w:divBdr>
        </w:div>
        <w:div w:id="896168800">
          <w:marLeft w:val="288"/>
          <w:marRight w:val="0"/>
          <w:marTop w:val="115"/>
          <w:marBottom w:val="0"/>
          <w:divBdr>
            <w:top w:val="none" w:sz="0" w:space="0" w:color="auto"/>
            <w:left w:val="none" w:sz="0" w:space="0" w:color="auto"/>
            <w:bottom w:val="none" w:sz="0" w:space="0" w:color="auto"/>
            <w:right w:val="none" w:sz="0" w:space="0" w:color="auto"/>
          </w:divBdr>
        </w:div>
        <w:div w:id="1632437423">
          <w:marLeft w:val="288"/>
          <w:marRight w:val="0"/>
          <w:marTop w:val="115"/>
          <w:marBottom w:val="0"/>
          <w:divBdr>
            <w:top w:val="none" w:sz="0" w:space="0" w:color="auto"/>
            <w:left w:val="none" w:sz="0" w:space="0" w:color="auto"/>
            <w:bottom w:val="none" w:sz="0" w:space="0" w:color="auto"/>
            <w:right w:val="none" w:sz="0" w:space="0" w:color="auto"/>
          </w:divBdr>
        </w:div>
        <w:div w:id="1088767809">
          <w:marLeft w:val="547"/>
          <w:marRight w:val="0"/>
          <w:marTop w:val="106"/>
          <w:marBottom w:val="0"/>
          <w:divBdr>
            <w:top w:val="none" w:sz="0" w:space="0" w:color="auto"/>
            <w:left w:val="none" w:sz="0" w:space="0" w:color="auto"/>
            <w:bottom w:val="none" w:sz="0" w:space="0" w:color="auto"/>
            <w:right w:val="none" w:sz="0" w:space="0" w:color="auto"/>
          </w:divBdr>
        </w:div>
        <w:div w:id="770322674">
          <w:marLeft w:val="547"/>
          <w:marRight w:val="0"/>
          <w:marTop w:val="106"/>
          <w:marBottom w:val="0"/>
          <w:divBdr>
            <w:top w:val="none" w:sz="0" w:space="0" w:color="auto"/>
            <w:left w:val="none" w:sz="0" w:space="0" w:color="auto"/>
            <w:bottom w:val="none" w:sz="0" w:space="0" w:color="auto"/>
            <w:right w:val="none" w:sz="0" w:space="0" w:color="auto"/>
          </w:divBdr>
        </w:div>
        <w:div w:id="100408985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2420</Words>
  <Characters>13795</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draperoffice</dc:creator>
  <cp:lastModifiedBy>Konstantin Glukhenkiy</cp:lastModifiedBy>
  <cp:revision>6</cp:revision>
  <dcterms:created xsi:type="dcterms:W3CDTF">2017-01-06T08:47:00Z</dcterms:created>
  <dcterms:modified xsi:type="dcterms:W3CDTF">2017-01-11T09:06:00Z</dcterms:modified>
</cp:coreProperties>
</file>