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512C1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57D93" w:rsidRPr="005C138C">
              <w:t>TRANS/WP.29/GRE/2017/1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1161BF" wp14:editId="33DFA30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43DA8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D43DA8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415659">
              <w:rPr>
                <w:lang w:val="en-US"/>
              </w:rPr>
              <w:t>1</w:t>
            </w:r>
            <w:r w:rsidR="00846685">
              <w:t xml:space="preserve">7 </w:t>
            </w:r>
            <w:r w:rsidR="00846685">
              <w:rPr>
                <w:lang w:val="en-US"/>
              </w:rPr>
              <w:t>January</w:t>
            </w:r>
            <w:r w:rsidR="00BD2942">
              <w:t xml:space="preserve"> 201</w:t>
            </w:r>
            <w:r w:rsidR="00846685">
              <w:rPr>
                <w:lang w:val="en-US"/>
              </w:rPr>
              <w:t>7</w:t>
            </w:r>
            <w:r>
              <w:rPr>
                <w:lang w:val="en-US"/>
              </w:rP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43DA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943062">
      <w:pPr>
        <w:spacing w:before="10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7B7D" w:rsidRPr="00D43DA8" w:rsidRDefault="005A387F" w:rsidP="00943062">
      <w:pPr>
        <w:spacing w:before="100" w:after="80"/>
        <w:rPr>
          <w:sz w:val="28"/>
          <w:szCs w:val="28"/>
        </w:rPr>
      </w:pPr>
      <w:r w:rsidRPr="005A387F">
        <w:rPr>
          <w:sz w:val="28"/>
          <w:szCs w:val="28"/>
        </w:rPr>
        <w:t>Комитет по внутреннему транспорту</w:t>
      </w:r>
    </w:p>
    <w:p w:rsidR="005A387F" w:rsidRPr="005A387F" w:rsidRDefault="005A387F" w:rsidP="00943062">
      <w:pPr>
        <w:spacing w:after="100"/>
        <w:rPr>
          <w:b/>
          <w:sz w:val="24"/>
          <w:szCs w:val="24"/>
        </w:rPr>
      </w:pPr>
      <w:r w:rsidRPr="005A387F">
        <w:rPr>
          <w:b/>
          <w:sz w:val="24"/>
          <w:szCs w:val="24"/>
        </w:rPr>
        <w:t xml:space="preserve">Всемирный форум для согласования правил </w:t>
      </w:r>
      <w:r w:rsidRPr="005A387F">
        <w:rPr>
          <w:b/>
          <w:sz w:val="24"/>
          <w:szCs w:val="24"/>
        </w:rPr>
        <w:br/>
        <w:t xml:space="preserve">в области транспортных средств </w:t>
      </w:r>
    </w:p>
    <w:p w:rsidR="00473435" w:rsidRPr="00CF6DA7" w:rsidRDefault="00473435" w:rsidP="00943062">
      <w:pPr>
        <w:spacing w:before="100"/>
        <w:rPr>
          <w:b/>
        </w:rPr>
      </w:pPr>
      <w:r>
        <w:rPr>
          <w:b/>
        </w:rPr>
        <w:t>Семьдесят седьмая сессия</w:t>
      </w:r>
    </w:p>
    <w:p w:rsidR="00473435" w:rsidRPr="00CF6DA7" w:rsidRDefault="00473435" w:rsidP="00473435">
      <w:r>
        <w:t>Женева</w:t>
      </w:r>
      <w:r w:rsidRPr="00CF6DA7">
        <w:t>, 4</w:t>
      </w:r>
      <w:r w:rsidR="00B26F75" w:rsidRPr="00A76A56">
        <w:t>–</w:t>
      </w:r>
      <w:r w:rsidRPr="00CF6DA7">
        <w:t xml:space="preserve">7 </w:t>
      </w:r>
      <w:r>
        <w:t>апреля</w:t>
      </w:r>
      <w:r w:rsidRPr="00CF6DA7">
        <w:t xml:space="preserve"> 2017</w:t>
      </w:r>
      <w:r>
        <w:t xml:space="preserve"> года</w:t>
      </w:r>
    </w:p>
    <w:p w:rsidR="00473435" w:rsidRPr="00CF6DA7" w:rsidRDefault="00473435" w:rsidP="00473435">
      <w:r>
        <w:t>Пункт</w:t>
      </w:r>
      <w:r w:rsidRPr="00CF6DA7">
        <w:t xml:space="preserve"> 1 </w:t>
      </w:r>
      <w:r>
        <w:t>предварительной повестки дня</w:t>
      </w:r>
    </w:p>
    <w:p w:rsidR="00007B7D" w:rsidRPr="002C1EE7" w:rsidRDefault="00473435" w:rsidP="00473435">
      <w:pPr>
        <w:rPr>
          <w:b/>
        </w:rPr>
      </w:pPr>
      <w:r>
        <w:rPr>
          <w:b/>
        </w:rPr>
        <w:t>Утверждение</w:t>
      </w:r>
      <w:r w:rsidRPr="00B26F75">
        <w:rPr>
          <w:b/>
        </w:rPr>
        <w:t xml:space="preserve"> </w:t>
      </w:r>
      <w:r>
        <w:rPr>
          <w:b/>
        </w:rPr>
        <w:t>повестки</w:t>
      </w:r>
      <w:r w:rsidRPr="00B26F75">
        <w:rPr>
          <w:b/>
        </w:rPr>
        <w:t xml:space="preserve"> </w:t>
      </w:r>
      <w:r>
        <w:rPr>
          <w:b/>
        </w:rPr>
        <w:t>дня</w:t>
      </w:r>
    </w:p>
    <w:p w:rsidR="00473435" w:rsidRPr="00473435" w:rsidRDefault="00473435" w:rsidP="00874F6C">
      <w:pPr>
        <w:pStyle w:val="HChGR"/>
        <w:spacing w:before="280"/>
      </w:pPr>
      <w:bookmarkStart w:id="2" w:name="OLE_LINK2"/>
      <w:r w:rsidRPr="00B26F75">
        <w:tab/>
      </w:r>
      <w:r w:rsidRPr="00B26F75">
        <w:tab/>
      </w:r>
      <w:r w:rsidRPr="00473435">
        <w:t xml:space="preserve">Аннотированная предварительная повестка дня </w:t>
      </w:r>
      <w:bookmarkEnd w:id="2"/>
      <w:r w:rsidRPr="00473435">
        <w:t>семьдесят седьмой сессии</w:t>
      </w:r>
      <w:r w:rsidRPr="00607817">
        <w:rPr>
          <w:b w:val="0"/>
          <w:sz w:val="20"/>
        </w:rPr>
        <w:footnoteReference w:customMarkFollows="1" w:id="1"/>
        <w:t>*</w:t>
      </w:r>
      <w:r w:rsidR="00607817" w:rsidRPr="00607817">
        <w:rPr>
          <w:b w:val="0"/>
          <w:sz w:val="20"/>
        </w:rPr>
        <w:t xml:space="preserve"> </w:t>
      </w:r>
      <w:r w:rsidRPr="00607817">
        <w:rPr>
          <w:b w:val="0"/>
          <w:sz w:val="20"/>
        </w:rPr>
        <w:footnoteReference w:customMarkFollows="1" w:id="2"/>
        <w:t>**</w:t>
      </w:r>
      <w:r w:rsidR="00607817" w:rsidRPr="00473435">
        <w:t>,</w:t>
      </w:r>
    </w:p>
    <w:p w:rsidR="00473435" w:rsidRPr="00473435" w:rsidRDefault="00473435" w:rsidP="00473435">
      <w:pPr>
        <w:pStyle w:val="SingleTxtGR"/>
      </w:pPr>
      <w:r w:rsidRPr="00473435">
        <w:t>которая состоится во Дворце Наций в Женеве, начнется в 9 ч. 30 м. 4 апреля 2017 года и завершится в 17 ч. 30 м</w:t>
      </w:r>
      <w:r w:rsidR="00D43DA8" w:rsidRPr="00D43DA8">
        <w:t>.</w:t>
      </w:r>
      <w:bookmarkStart w:id="3" w:name="_GoBack"/>
      <w:bookmarkEnd w:id="3"/>
      <w:r w:rsidRPr="00473435">
        <w:t xml:space="preserve"> 7 апреля 2017 года</w:t>
      </w:r>
    </w:p>
    <w:p w:rsidR="00473435" w:rsidRDefault="00473435" w:rsidP="00874F6C">
      <w:pPr>
        <w:pStyle w:val="HChGR"/>
        <w:spacing w:before="280" w:after="200"/>
      </w:pPr>
      <w:r w:rsidRPr="00473435">
        <w:tab/>
      </w:r>
      <w:r w:rsidRPr="00473435">
        <w:rPr>
          <w:lang w:val="en-GB"/>
        </w:rPr>
        <w:t>I</w:t>
      </w:r>
      <w:r w:rsidRPr="00473435">
        <w:t>.</w:t>
      </w:r>
      <w:r w:rsidRPr="00473435">
        <w:tab/>
        <w:t>Предварительная повестка дня</w:t>
      </w:r>
    </w:p>
    <w:p w:rsidR="00473435" w:rsidRPr="00606A0F" w:rsidRDefault="001A34E9" w:rsidP="00473435">
      <w:pPr>
        <w:pStyle w:val="SingleTxtGR"/>
        <w:rPr>
          <w:bCs/>
        </w:rPr>
      </w:pPr>
      <w:r w:rsidRPr="00C4117F">
        <w:t>1.</w:t>
      </w:r>
      <w:r w:rsidRPr="00C4117F">
        <w:tab/>
        <w:t>Утверждение повестки дня</w:t>
      </w:r>
      <w:r w:rsidR="00606A0F">
        <w:t>.</w:t>
      </w:r>
    </w:p>
    <w:p w:rsidR="001A34E9" w:rsidRDefault="001A34E9" w:rsidP="00473435">
      <w:pPr>
        <w:pStyle w:val="SingleTxtGR"/>
      </w:pPr>
      <w:r w:rsidRPr="001A34E9">
        <w:t>2.</w:t>
      </w:r>
      <w:r w:rsidRPr="001A34E9">
        <w:tab/>
        <w:t>Соглашение 1998 года − глобальные технические правила: разработка</w:t>
      </w:r>
      <w:r w:rsidR="00606A0F">
        <w:t>.</w:t>
      </w:r>
    </w:p>
    <w:p w:rsidR="001A34E9" w:rsidRDefault="001A34E9" w:rsidP="00473435">
      <w:pPr>
        <w:pStyle w:val="SingleTxtGR"/>
      </w:pPr>
      <w:r w:rsidRPr="001A34E9">
        <w:lastRenderedPageBreak/>
        <w:t>3.</w:t>
      </w:r>
      <w:r w:rsidRPr="001A34E9">
        <w:tab/>
        <w:t>Соглашение 1997 года – предписания: разработка</w:t>
      </w:r>
      <w:r w:rsidR="00606A0F">
        <w:t>.</w:t>
      </w:r>
    </w:p>
    <w:p w:rsidR="001A34E9" w:rsidRDefault="001A34E9" w:rsidP="00473435">
      <w:pPr>
        <w:pStyle w:val="SingleTxtGR"/>
      </w:pPr>
      <w:r w:rsidRPr="0048792D">
        <w:t>4.</w:t>
      </w:r>
      <w:r w:rsidRPr="0048792D">
        <w:tab/>
        <w:t>Упрощение правил, касающихся освещения и световой сигнализации</w:t>
      </w:r>
      <w:r w:rsidR="00606A0F">
        <w:t>.</w:t>
      </w:r>
    </w:p>
    <w:p w:rsidR="001A34E9" w:rsidRPr="001A34E9" w:rsidRDefault="001A34E9" w:rsidP="00606A0F">
      <w:pPr>
        <w:pStyle w:val="SingleTxtGR"/>
        <w:ind w:left="1701" w:hanging="567"/>
      </w:pPr>
      <w:r w:rsidRPr="001A34E9">
        <w:t>5.</w:t>
      </w:r>
      <w:r w:rsidRPr="001A34E9">
        <w:tab/>
        <w:t>Правила № 37 (лампы накаливания),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</w:t>
      </w:r>
      <w:r w:rsidR="00606A0F">
        <w:t>.</w:t>
      </w:r>
    </w:p>
    <w:p w:rsidR="00473435" w:rsidRDefault="001A34E9" w:rsidP="00606A0F">
      <w:pPr>
        <w:pStyle w:val="SingleTxtGR"/>
        <w:ind w:left="1701" w:hanging="567"/>
      </w:pPr>
      <w:r w:rsidRPr="001A34E9">
        <w:t>6.</w:t>
      </w:r>
      <w:r w:rsidRPr="001A34E9">
        <w:tab/>
        <w:t>Правила № 48 (установка устройств освещения и световой сигнализ</w:t>
      </w:r>
      <w:r w:rsidRPr="001A34E9">
        <w:t>а</w:t>
      </w:r>
      <w:r w:rsidRPr="001A34E9">
        <w:t>ции)</w:t>
      </w:r>
      <w:r w:rsidR="00606A0F">
        <w:t>:</w:t>
      </w:r>
    </w:p>
    <w:p w:rsidR="005D51A9" w:rsidRDefault="005D51A9" w:rsidP="00606A0F">
      <w:pPr>
        <w:pStyle w:val="SingleTxtGR"/>
        <w:ind w:left="1701"/>
      </w:pPr>
      <w:r w:rsidRPr="002C5063">
        <w:t>a</w:t>
      </w:r>
      <w:r w:rsidR="00606A0F">
        <w:t>)</w:t>
      </w:r>
      <w:r w:rsidR="00606A0F">
        <w:tab/>
        <w:t>п</w:t>
      </w:r>
      <w:r w:rsidRPr="003639FD">
        <w:t>редложения по поправкам к поправкам серии 05 и 06</w:t>
      </w:r>
      <w:r w:rsidR="00606A0F">
        <w:t>;</w:t>
      </w:r>
    </w:p>
    <w:p w:rsidR="005D51A9" w:rsidRDefault="005D51A9" w:rsidP="00606A0F">
      <w:pPr>
        <w:pStyle w:val="SingleTxtGR"/>
        <w:ind w:left="1701"/>
      </w:pPr>
      <w:r w:rsidRPr="002C5063">
        <w:t>b</w:t>
      </w:r>
      <w:r w:rsidR="00606A0F">
        <w:t>)</w:t>
      </w:r>
      <w:r w:rsidR="00606A0F">
        <w:tab/>
        <w:t>п</w:t>
      </w:r>
      <w:r w:rsidRPr="003639FD">
        <w:t>рочие предложения по поправкам к Правилам № 48</w:t>
      </w:r>
      <w:r w:rsidR="00606A0F">
        <w:t>.</w:t>
      </w:r>
    </w:p>
    <w:p w:rsidR="005D51A9" w:rsidRDefault="005D51A9" w:rsidP="00473435">
      <w:pPr>
        <w:pStyle w:val="SingleTxtGR"/>
      </w:pPr>
      <w:r w:rsidRPr="00606A0F">
        <w:t>7.</w:t>
      </w:r>
      <w:r w:rsidRPr="00606A0F">
        <w:tab/>
      </w:r>
      <w:r w:rsidR="00606A0F">
        <w:t>Другие правила:</w:t>
      </w:r>
    </w:p>
    <w:p w:rsidR="005D51A9" w:rsidRDefault="005D51A9" w:rsidP="00606A0F">
      <w:pPr>
        <w:pStyle w:val="SingleTxtGR"/>
        <w:ind w:left="2268" w:hanging="567"/>
      </w:pPr>
      <w:r w:rsidRPr="005D51A9">
        <w:rPr>
          <w:lang w:val="en-GB"/>
        </w:rPr>
        <w:t>a</w:t>
      </w:r>
      <w:r w:rsidRPr="005D51A9">
        <w:t>)</w:t>
      </w:r>
      <w:r w:rsidRPr="005D51A9">
        <w:tab/>
        <w:t>Правила № 6 (указатели поворота) и Правила № 50 (габаритные огни, сигналы торможения, указатели поворота для мопедов и м</w:t>
      </w:r>
      <w:r w:rsidRPr="005D51A9">
        <w:t>о</w:t>
      </w:r>
      <w:r w:rsidRPr="005D51A9">
        <w:t>тоциклов)</w:t>
      </w:r>
      <w:r w:rsidR="00606A0F">
        <w:t>;</w:t>
      </w:r>
    </w:p>
    <w:p w:rsidR="005D51A9" w:rsidRDefault="005D51A9" w:rsidP="00606A0F">
      <w:pPr>
        <w:pStyle w:val="SingleTxtGR"/>
        <w:ind w:left="2268" w:hanging="567"/>
      </w:pPr>
      <w:r w:rsidRPr="005C138C">
        <w:t xml:space="preserve">b) </w:t>
      </w:r>
      <w:r w:rsidRPr="005C138C">
        <w:tab/>
      </w:r>
      <w:r w:rsidRPr="002C5063">
        <w:t>Правила № 10 (электромагнитная совместимость)</w:t>
      </w:r>
      <w:r w:rsidR="00606A0F">
        <w:t>;</w:t>
      </w:r>
    </w:p>
    <w:p w:rsidR="005D51A9" w:rsidRDefault="005D51A9" w:rsidP="00606A0F">
      <w:pPr>
        <w:pStyle w:val="SingleTxtGR"/>
        <w:ind w:left="2268" w:hanging="567"/>
      </w:pPr>
      <w:r w:rsidRPr="005C138C">
        <w:t>c</w:t>
      </w:r>
      <w:r w:rsidRPr="00913F36">
        <w:t>)</w:t>
      </w:r>
      <w:r w:rsidRPr="00913F36">
        <w:tab/>
        <w:t>Правила № 53 (установка устройств освещения и световой сигн</w:t>
      </w:r>
      <w:r w:rsidRPr="00913F36">
        <w:t>а</w:t>
      </w:r>
      <w:r w:rsidRPr="00913F36">
        <w:t xml:space="preserve">лизации для транспортных средств категории </w:t>
      </w:r>
      <w:r w:rsidRPr="002C5063">
        <w:t>L</w:t>
      </w:r>
      <w:r w:rsidRPr="00913F36">
        <w:rPr>
          <w:vertAlign w:val="subscript"/>
        </w:rPr>
        <w:t>3</w:t>
      </w:r>
      <w:r w:rsidRPr="00913F36">
        <w:t>)</w:t>
      </w:r>
      <w:r w:rsidR="00606A0F">
        <w:t>;</w:t>
      </w:r>
    </w:p>
    <w:p w:rsidR="005D51A9" w:rsidRDefault="005D51A9" w:rsidP="00606A0F">
      <w:pPr>
        <w:pStyle w:val="SingleTxtGR"/>
        <w:ind w:left="2268" w:hanging="567"/>
        <w:rPr>
          <w:bCs/>
        </w:rPr>
      </w:pPr>
      <w:r w:rsidRPr="005D51A9">
        <w:rPr>
          <w:lang w:val="en-GB"/>
        </w:rPr>
        <w:t>d</w:t>
      </w:r>
      <w:r w:rsidRPr="005D51A9">
        <w:t>)</w:t>
      </w:r>
      <w:r w:rsidRPr="005D51A9">
        <w:tab/>
      </w:r>
      <w:r w:rsidRPr="005D51A9">
        <w:rPr>
          <w:bCs/>
        </w:rPr>
        <w:t>Правила № 112 (фары, испускающие асимметричный луч ближнего света)</w:t>
      </w:r>
      <w:r w:rsidR="00606A0F">
        <w:rPr>
          <w:bCs/>
        </w:rPr>
        <w:t>;</w:t>
      </w:r>
    </w:p>
    <w:p w:rsidR="005D51A9" w:rsidRDefault="005D51A9" w:rsidP="00606A0F">
      <w:pPr>
        <w:pStyle w:val="SingleTxtGR"/>
        <w:ind w:left="2268" w:hanging="567"/>
      </w:pPr>
      <w:r w:rsidRPr="005C138C">
        <w:t>e</w:t>
      </w:r>
      <w:r w:rsidRPr="00913F36">
        <w:t>)</w:t>
      </w:r>
      <w:r w:rsidRPr="00913F36">
        <w:tab/>
        <w:t>Правила № 123 (адаптивные системы переднего освещения (АСПО))</w:t>
      </w:r>
      <w:r w:rsidR="00606A0F">
        <w:t>.</w:t>
      </w:r>
    </w:p>
    <w:p w:rsidR="005D51A9" w:rsidRDefault="005D51A9" w:rsidP="00473435">
      <w:pPr>
        <w:pStyle w:val="SingleTxtGR"/>
      </w:pPr>
      <w:r w:rsidRPr="00913F36">
        <w:t>8.</w:t>
      </w:r>
      <w:r w:rsidRPr="00913F36">
        <w:tab/>
        <w:t>Прочие вопросы</w:t>
      </w:r>
      <w:r w:rsidR="00802D50">
        <w:t>:</w:t>
      </w:r>
    </w:p>
    <w:p w:rsidR="005D51A9" w:rsidRDefault="005D51A9" w:rsidP="00606A0F">
      <w:pPr>
        <w:pStyle w:val="SingleTxtGR"/>
        <w:ind w:left="2268" w:hanging="567"/>
      </w:pPr>
      <w:r w:rsidRPr="002C5063">
        <w:t>a</w:t>
      </w:r>
      <w:r w:rsidR="00802D50">
        <w:t>)</w:t>
      </w:r>
      <w:r w:rsidR="00802D50">
        <w:tab/>
        <w:t>п</w:t>
      </w:r>
      <w:r w:rsidRPr="00913F36">
        <w:t>оправки к Конвенции о дорожном движении (Вена, 1968 год)</w:t>
      </w:r>
      <w:r w:rsidR="00802D50">
        <w:t>;</w:t>
      </w:r>
    </w:p>
    <w:p w:rsidR="005D51A9" w:rsidRDefault="005D51A9" w:rsidP="00606A0F">
      <w:pPr>
        <w:pStyle w:val="SingleTxtGR"/>
        <w:ind w:left="2268" w:hanging="567"/>
      </w:pPr>
      <w:r w:rsidRPr="002C5063">
        <w:t>b</w:t>
      </w:r>
      <w:r w:rsidRPr="00A70EBB">
        <w:t>)</w:t>
      </w:r>
      <w:r w:rsidRPr="00A70EBB">
        <w:tab/>
        <w:t>Десятилетие действий по обеспечению безопасности дорожного движения на 2011−2020 годы</w:t>
      </w:r>
      <w:r w:rsidR="00802D50">
        <w:t>;</w:t>
      </w:r>
    </w:p>
    <w:p w:rsidR="005D51A9" w:rsidRDefault="005D51A9" w:rsidP="00606A0F">
      <w:pPr>
        <w:pStyle w:val="SingleTxtGR"/>
        <w:ind w:left="2268" w:hanging="567"/>
      </w:pPr>
      <w:r w:rsidRPr="002C5063">
        <w:t>c</w:t>
      </w:r>
      <w:r w:rsidR="00802D50">
        <w:t>)</w:t>
      </w:r>
      <w:r w:rsidR="00802D50">
        <w:tab/>
        <w:t>р</w:t>
      </w:r>
      <w:r w:rsidRPr="00A70EBB">
        <w:t>азработка международной системы официального утверждения типа комплектного транспортного средства</w:t>
      </w:r>
      <w:r w:rsidR="00802D50">
        <w:t>;</w:t>
      </w:r>
    </w:p>
    <w:p w:rsidR="005D51A9" w:rsidRDefault="005D51A9" w:rsidP="00606A0F">
      <w:pPr>
        <w:pStyle w:val="SingleTxtGR"/>
        <w:ind w:left="2268" w:hanging="567"/>
      </w:pPr>
      <w:r w:rsidRPr="005C138C">
        <w:rPr>
          <w:color w:val="000000"/>
        </w:rPr>
        <w:t>d</w:t>
      </w:r>
      <w:r w:rsidRPr="00366538">
        <w:rPr>
          <w:color w:val="000000"/>
        </w:rPr>
        <w:t>)</w:t>
      </w:r>
      <w:r w:rsidRPr="00366538">
        <w:rPr>
          <w:color w:val="000000"/>
        </w:rPr>
        <w:tab/>
      </w:r>
      <w:r w:rsidR="00802D50">
        <w:rPr>
          <w:color w:val="000000"/>
        </w:rPr>
        <w:t>п</w:t>
      </w:r>
      <w:r w:rsidRPr="00366538">
        <w:t>аразитн</w:t>
      </w:r>
      <w:r>
        <w:t>ый</w:t>
      </w:r>
      <w:r w:rsidRPr="00366538">
        <w:t xml:space="preserve"> свет и обесцвечивани</w:t>
      </w:r>
      <w:r>
        <w:t>е</w:t>
      </w:r>
      <w:r w:rsidR="00802D50">
        <w:t>.</w:t>
      </w:r>
    </w:p>
    <w:p w:rsidR="005D51A9" w:rsidRDefault="005D51A9" w:rsidP="00473435">
      <w:pPr>
        <w:pStyle w:val="SingleTxtGR"/>
      </w:pPr>
      <w:r w:rsidRPr="00320C1C">
        <w:t>9.</w:t>
      </w:r>
      <w:r w:rsidRPr="00320C1C">
        <w:tab/>
        <w:t>Новые вопросы и позднее представление документов</w:t>
      </w:r>
      <w:r w:rsidR="00802D50">
        <w:t>.</w:t>
      </w:r>
    </w:p>
    <w:p w:rsidR="005D51A9" w:rsidRDefault="005D51A9" w:rsidP="00473435">
      <w:pPr>
        <w:pStyle w:val="SingleTxtGR"/>
      </w:pPr>
      <w:r w:rsidRPr="00B95524">
        <w:t>10.</w:t>
      </w:r>
      <w:r w:rsidRPr="00B95524">
        <w:tab/>
        <w:t xml:space="preserve">Направления будущей работы </w:t>
      </w:r>
      <w:r w:rsidRPr="002C5063">
        <w:t>GRE</w:t>
      </w:r>
      <w:r w:rsidR="00802D50">
        <w:t>.</w:t>
      </w:r>
    </w:p>
    <w:p w:rsidR="005D51A9" w:rsidRPr="005D51A9" w:rsidRDefault="005D51A9" w:rsidP="00473435">
      <w:pPr>
        <w:pStyle w:val="SingleTxtGR"/>
      </w:pPr>
      <w:r w:rsidRPr="00B95524">
        <w:t>11.</w:t>
      </w:r>
      <w:r w:rsidRPr="00B95524">
        <w:tab/>
        <w:t>Предварительная повестка следующей сессии</w:t>
      </w:r>
      <w:r w:rsidR="00802D50">
        <w:t>.</w:t>
      </w:r>
    </w:p>
    <w:p w:rsidR="00473435" w:rsidRPr="00473435" w:rsidRDefault="00473435" w:rsidP="00802D50">
      <w:pPr>
        <w:pStyle w:val="HChGR"/>
      </w:pPr>
      <w:r w:rsidRPr="00473435">
        <w:tab/>
      </w:r>
      <w:r w:rsidRPr="00473435">
        <w:rPr>
          <w:lang w:val="en-GB"/>
        </w:rPr>
        <w:t>II</w:t>
      </w:r>
      <w:r w:rsidRPr="00473435">
        <w:t>.</w:t>
      </w:r>
      <w:r w:rsidRPr="00473435">
        <w:tab/>
        <w:t>Аннотации</w:t>
      </w:r>
    </w:p>
    <w:p w:rsidR="00473435" w:rsidRPr="00473435" w:rsidRDefault="00473435" w:rsidP="00802D50">
      <w:pPr>
        <w:pStyle w:val="H1GR"/>
      </w:pPr>
      <w:r w:rsidRPr="00473435">
        <w:tab/>
        <w:t>1.</w:t>
      </w:r>
      <w:r w:rsidRPr="00473435">
        <w:tab/>
        <w:t>Утверждение повестки дня</w:t>
      </w:r>
    </w:p>
    <w:p w:rsidR="00473435" w:rsidRPr="00473435" w:rsidRDefault="00802D50" w:rsidP="00473435">
      <w:pPr>
        <w:pStyle w:val="SingleTxtGR"/>
      </w:pPr>
      <w:r>
        <w:tab/>
      </w:r>
      <w:r w:rsidR="00473435" w:rsidRPr="00473435">
        <w:t xml:space="preserve">В соответствии с правилом 7 главы </w:t>
      </w:r>
      <w:r w:rsidR="00473435" w:rsidRPr="00473435">
        <w:rPr>
          <w:lang w:val="en-GB"/>
        </w:rPr>
        <w:t>III</w:t>
      </w:r>
      <w:r w:rsidR="00473435" w:rsidRPr="00473435">
        <w:t xml:space="preserve"> правил процедуры Всемирного форума для согласования правил в области транспортных средств (</w:t>
      </w:r>
      <w:r w:rsidR="00473435" w:rsidRPr="00473435">
        <w:rPr>
          <w:lang w:val="en-GB"/>
        </w:rPr>
        <w:t>WP</w:t>
      </w:r>
      <w:r w:rsidR="00473435" w:rsidRPr="00473435">
        <w:t>.29) (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 xml:space="preserve">.29/690, </w:t>
      </w:r>
      <w:r w:rsidR="00473435" w:rsidRPr="00473435">
        <w:rPr>
          <w:lang w:val="en-GB"/>
        </w:rPr>
        <w:t>Amend</w:t>
      </w:r>
      <w:r w:rsidR="00473435" w:rsidRPr="00473435">
        <w:t xml:space="preserve">.1 и </w:t>
      </w:r>
      <w:r w:rsidR="00473435" w:rsidRPr="00473435">
        <w:rPr>
          <w:lang w:val="en-GB"/>
        </w:rPr>
        <w:t>Amend</w:t>
      </w:r>
      <w:r w:rsidR="00473435" w:rsidRPr="00473435">
        <w:t>.2) первым пунктом предварительной п</w:t>
      </w:r>
      <w:r w:rsidR="00473435" w:rsidRPr="00473435">
        <w:t>о</w:t>
      </w:r>
      <w:r w:rsidR="00473435" w:rsidRPr="00473435">
        <w:t>вестки дня является ее утверждение.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fr-FR"/>
        </w:rPr>
        <w:t>ECE</w:t>
      </w:r>
      <w:r w:rsidRPr="00473435">
        <w:t>/</w:t>
      </w:r>
      <w:r w:rsidRPr="00473435">
        <w:rPr>
          <w:lang w:val="fr-FR"/>
        </w:rPr>
        <w:t>TRANS</w:t>
      </w:r>
      <w:r w:rsidRPr="00473435">
        <w:t>/</w:t>
      </w:r>
      <w:r w:rsidRPr="00473435">
        <w:rPr>
          <w:lang w:val="fr-FR"/>
        </w:rPr>
        <w:t>WP</w:t>
      </w:r>
      <w:r w:rsidRPr="00473435">
        <w:t>.29/</w:t>
      </w:r>
      <w:r w:rsidRPr="00473435">
        <w:rPr>
          <w:lang w:val="fr-FR"/>
        </w:rPr>
        <w:t>GRE</w:t>
      </w:r>
      <w:r w:rsidRPr="00473435">
        <w:t>/2017/1</w:t>
      </w:r>
    </w:p>
    <w:p w:rsidR="00473435" w:rsidRPr="00473435" w:rsidRDefault="00473435" w:rsidP="00802D50">
      <w:pPr>
        <w:pStyle w:val="H1GR"/>
      </w:pPr>
      <w:r w:rsidRPr="00473435">
        <w:tab/>
        <w:t>2.</w:t>
      </w:r>
      <w:r w:rsidRPr="00473435">
        <w:tab/>
        <w:t>Соглашение 1998 года − глобальные технические правила: разработка</w:t>
      </w:r>
    </w:p>
    <w:p w:rsidR="00473435" w:rsidRPr="00473435" w:rsidRDefault="00802D50" w:rsidP="00473435">
      <w:pPr>
        <w:pStyle w:val="SingleTxtGR"/>
      </w:pPr>
      <w:r>
        <w:tab/>
      </w:r>
      <w:r w:rsidR="00473435" w:rsidRPr="00473435">
        <w:t>Рабочая группа по вопросам освещения и световой сигнализации (</w:t>
      </w:r>
      <w:r w:rsidR="00473435" w:rsidRPr="00473435">
        <w:rPr>
          <w:lang w:val="en-GB"/>
        </w:rPr>
        <w:t>GRE</w:t>
      </w:r>
      <w:r w:rsidR="00473435" w:rsidRPr="00473435">
        <w:t>), возможно, пожелает возобновить рассмотрение этого вопроса в ожидании н</w:t>
      </w:r>
      <w:r w:rsidR="00473435" w:rsidRPr="00473435">
        <w:t>о</w:t>
      </w:r>
      <w:r w:rsidR="00473435" w:rsidRPr="00473435">
        <w:t>вых предложений и спонсоров для разработки глобальных технических правил.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fr-FR"/>
        </w:rPr>
        <w:t>ECE</w:t>
      </w:r>
      <w:r w:rsidRPr="00473435">
        <w:t>/</w:t>
      </w:r>
      <w:r w:rsidRPr="00473435">
        <w:rPr>
          <w:lang w:val="fr-FR"/>
        </w:rPr>
        <w:t>TRANS</w:t>
      </w:r>
      <w:r w:rsidRPr="00473435">
        <w:t>/</w:t>
      </w:r>
      <w:r w:rsidRPr="00473435">
        <w:rPr>
          <w:lang w:val="fr-FR"/>
        </w:rPr>
        <w:t>WP</w:t>
      </w:r>
      <w:r w:rsidRPr="00473435">
        <w:t>.29/</w:t>
      </w:r>
      <w:r w:rsidRPr="00473435">
        <w:rPr>
          <w:lang w:val="fr-FR"/>
        </w:rPr>
        <w:t>GRE</w:t>
      </w:r>
      <w:r w:rsidRPr="00473435">
        <w:t>/71, пункт 5</w:t>
      </w:r>
    </w:p>
    <w:p w:rsidR="00473435" w:rsidRPr="00473435" w:rsidRDefault="00473435" w:rsidP="00802D50">
      <w:pPr>
        <w:pStyle w:val="H1GR"/>
      </w:pPr>
      <w:r w:rsidRPr="00473435">
        <w:tab/>
        <w:t>3.</w:t>
      </w:r>
      <w:r w:rsidRPr="00473435">
        <w:tab/>
        <w:t>Соглашение 1997 года – предписания: разработка</w:t>
      </w:r>
    </w:p>
    <w:p w:rsidR="00473435" w:rsidRPr="00473435" w:rsidRDefault="00802D50" w:rsidP="00473435">
      <w:pPr>
        <w:pStyle w:val="SingleTxtGR"/>
      </w:pPr>
      <w:r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>, возможно, пожелает рассмотреть новые предложения по поправкам к предписаниям № 1 и 2, если таковые будут представлены.</w:t>
      </w:r>
      <w:proofErr w:type="gramEnd"/>
    </w:p>
    <w:p w:rsidR="00473435" w:rsidRPr="00473435" w:rsidRDefault="00473435" w:rsidP="00802D50">
      <w:pPr>
        <w:pStyle w:val="H1GR"/>
      </w:pPr>
      <w:r w:rsidRPr="00473435">
        <w:tab/>
        <w:t>4.</w:t>
      </w:r>
      <w:r w:rsidRPr="00473435">
        <w:tab/>
        <w:t>Упрощение правил, касающихся освещения и световой сигнализации</w:t>
      </w:r>
    </w:p>
    <w:p w:rsidR="00473435" w:rsidRPr="00473435" w:rsidRDefault="00802D50" w:rsidP="00473435">
      <w:pPr>
        <w:pStyle w:val="SingleTxtGR"/>
      </w:pPr>
      <w:r>
        <w:tab/>
      </w:r>
      <w:r w:rsidR="00473435" w:rsidRPr="00473435">
        <w:rPr>
          <w:lang w:val="en-GB"/>
        </w:rPr>
        <w:t>GRE</w:t>
      </w:r>
      <w:r w:rsidR="00473435" w:rsidRPr="00473435">
        <w:t xml:space="preserve"> заслушает информацию о рассмотрении </w:t>
      </w:r>
      <w:r w:rsidR="00473435" w:rsidRPr="00473435">
        <w:rPr>
          <w:lang w:val="en-GB"/>
        </w:rPr>
        <w:t>WP</w:t>
      </w:r>
      <w:r w:rsidR="00473435" w:rsidRPr="00473435">
        <w:t>.29 предложений по п</w:t>
      </w:r>
      <w:r w:rsidR="00473435" w:rsidRPr="00473435">
        <w:t>о</w:t>
      </w:r>
      <w:r w:rsidR="00473435" w:rsidRPr="00473435">
        <w:t xml:space="preserve">правкам, представленных </w:t>
      </w:r>
      <w:r w:rsidR="00473435" w:rsidRPr="00473435">
        <w:rPr>
          <w:lang w:val="en-GB"/>
        </w:rPr>
        <w:t>GRE</w:t>
      </w:r>
      <w:r w:rsidR="00473435" w:rsidRPr="00473435">
        <w:t xml:space="preserve"> к сессии </w:t>
      </w:r>
      <w:r w:rsidR="00473435" w:rsidRPr="00473435">
        <w:rPr>
          <w:lang w:val="en-GB"/>
        </w:rPr>
        <w:t>WP</w:t>
      </w:r>
      <w:r w:rsidR="00473435" w:rsidRPr="00473435">
        <w:t>.29, которая состоится в марте 2017</w:t>
      </w:r>
      <w:r>
        <w:t> </w:t>
      </w:r>
      <w:r w:rsidR="00473435" w:rsidRPr="00473435">
        <w:t>года, по которым еще не приняты решения, для сведения воедино текстов правил до приостановления деятельности по их разработке и их замены тремя новыми правилами, которые в настоящее время разрабатываются.</w:t>
      </w:r>
    </w:p>
    <w:p w:rsidR="00473435" w:rsidRPr="00473435" w:rsidRDefault="00802D50" w:rsidP="00473435">
      <w:pPr>
        <w:pStyle w:val="SingleTxtGR"/>
      </w:pPr>
      <w:r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 xml:space="preserve"> также примет к сведению результаты работы, проделанной неоф</w:t>
      </w:r>
      <w:r w:rsidR="00473435" w:rsidRPr="00473435">
        <w:t>и</w:t>
      </w:r>
      <w:r w:rsidR="00473435" w:rsidRPr="00473435">
        <w:t>циальной рабочей группой по упрощению правил, касающихся устройств освещения и световой сигнализации (НРГ по УПО), и рассмотрит любые пре</w:t>
      </w:r>
      <w:r w:rsidR="00473435" w:rsidRPr="00473435">
        <w:t>д</w:t>
      </w:r>
      <w:r w:rsidR="00473435" w:rsidRPr="00473435">
        <w:t>ложения, подготовленные НРГ по УПО.</w:t>
      </w:r>
      <w:proofErr w:type="gramEnd"/>
      <w:r w:rsidR="00473435" w:rsidRPr="00473435">
        <w:t xml:space="preserve"> В частности, предполагается, что НРГ по УПО представит свои первоначальные планы по этапу 2 процесса упрощ</w:t>
      </w:r>
      <w:r w:rsidR="00473435" w:rsidRPr="00473435">
        <w:t>е</w:t>
      </w:r>
      <w:r w:rsidR="00473435" w:rsidRPr="00473435">
        <w:t xml:space="preserve">ния. Экспертам </w:t>
      </w:r>
      <w:r w:rsidR="00473435" w:rsidRPr="00473435">
        <w:rPr>
          <w:lang w:val="en-GB"/>
        </w:rPr>
        <w:t>GRE</w:t>
      </w:r>
      <w:r w:rsidR="00473435" w:rsidRPr="00473435">
        <w:t xml:space="preserve"> будет предложено изложить свои мнения по этому вопр</w:t>
      </w:r>
      <w:r w:rsidR="00473435" w:rsidRPr="00473435">
        <w:t>о</w:t>
      </w:r>
      <w:r w:rsidR="00473435" w:rsidRPr="00473435">
        <w:t>су.</w:t>
      </w:r>
    </w:p>
    <w:p w:rsidR="00473435" w:rsidRPr="00473435" w:rsidRDefault="00473435" w:rsidP="00802D50">
      <w:pPr>
        <w:pStyle w:val="H1GR"/>
      </w:pPr>
      <w:r w:rsidRPr="00473435">
        <w:tab/>
        <w:t>5.</w:t>
      </w:r>
      <w:r w:rsidRPr="00473435">
        <w:tab/>
        <w:t>Правила № 37 (лампы накаливания), 99 (газоразрядные источники света), 128 (источники света на светоизлучающих диодах) и Сводная резолюция по общей спецификации для</w:t>
      </w:r>
      <w:r w:rsidR="00802D50">
        <w:t> </w:t>
      </w:r>
      <w:r w:rsidRPr="00473435">
        <w:t>категорий источников света</w:t>
      </w:r>
    </w:p>
    <w:p w:rsidR="00473435" w:rsidRPr="00473435" w:rsidRDefault="00802D50" w:rsidP="00473435">
      <w:pPr>
        <w:pStyle w:val="SingleTxtGR"/>
      </w:pPr>
      <w:r>
        <w:tab/>
      </w:r>
      <w:r w:rsidR="00473435" w:rsidRPr="00473435">
        <w:rPr>
          <w:lang w:val="en-GB"/>
        </w:rPr>
        <w:t>GRE</w:t>
      </w:r>
      <w:r w:rsidR="00473435" w:rsidRPr="00473435">
        <w:t xml:space="preserve"> заслушает информацию о том, что </w:t>
      </w:r>
      <w:r w:rsidR="00473435" w:rsidRPr="00473435">
        <w:rPr>
          <w:lang w:val="en-GB"/>
        </w:rPr>
        <w:t>WP</w:t>
      </w:r>
      <w:r w:rsidR="00473435" w:rsidRPr="00473435">
        <w:t>.29 на его сессии в ноябре 2016 года принял Сводную резолюцию по общей спецификации для категорий источников света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.29/2016/111) и обозначил ее как СР.5. Эта резолюция вступит в силу в тот же день, что и соответствующие поправки к правилам № 37, 99 и 128.</w:t>
      </w:r>
    </w:p>
    <w:p w:rsidR="00473435" w:rsidRPr="00473435" w:rsidRDefault="00473435" w:rsidP="00391759">
      <w:pPr>
        <w:pStyle w:val="SingleTxtGR"/>
        <w:jc w:val="left"/>
      </w:pPr>
      <w:r w:rsidRPr="00473435">
        <w:rPr>
          <w:b/>
        </w:rPr>
        <w:t>Документация:</w:t>
      </w:r>
      <w:r w:rsidRPr="00473435">
        <w:t xml:space="preserve"> </w:t>
      </w:r>
      <w:r w:rsidR="00391759">
        <w:tab/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 xml:space="preserve">.29/2016/111 и </w:t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.29/1126,</w:t>
      </w:r>
      <w:r w:rsidR="00391759">
        <w:br/>
      </w:r>
      <w:r w:rsidR="00391759">
        <w:tab/>
      </w:r>
      <w:r w:rsidR="00391759">
        <w:tab/>
      </w:r>
      <w:r w:rsidR="00391759">
        <w:tab/>
      </w:r>
      <w:r w:rsidRPr="00473435">
        <w:t>пункт</w:t>
      </w:r>
      <w:r w:rsidR="00391759">
        <w:t> </w:t>
      </w:r>
      <w:r w:rsidRPr="00473435">
        <w:t xml:space="preserve">99 </w:t>
      </w:r>
    </w:p>
    <w:p w:rsidR="00473435" w:rsidRPr="00473435" w:rsidRDefault="00391759" w:rsidP="00473435">
      <w:pPr>
        <w:pStyle w:val="SingleTxtGR"/>
      </w:pPr>
      <w:r>
        <w:tab/>
      </w:r>
      <w:r w:rsidR="00473435" w:rsidRPr="00473435">
        <w:rPr>
          <w:lang w:val="en-GB"/>
        </w:rPr>
        <w:t>GRE</w:t>
      </w:r>
      <w:r w:rsidR="00473435" w:rsidRPr="00473435">
        <w:t xml:space="preserve"> рассмотрит предложения по поправкам к Правилам № 128 и к Сво</w:t>
      </w:r>
      <w:r w:rsidR="00473435" w:rsidRPr="00473435">
        <w:t>д</w:t>
      </w:r>
      <w:r w:rsidR="00473435" w:rsidRPr="00473435">
        <w:t>ной резолюции (СР.5), внесенные экспертом от Международной группы экспе</w:t>
      </w:r>
      <w:r w:rsidR="00473435" w:rsidRPr="00473435">
        <w:t>р</w:t>
      </w:r>
      <w:r w:rsidR="00473435" w:rsidRPr="00473435">
        <w:t>тов по вопросам автомобильного освещения и световой сигнализации (БРГ), предусматривающие введение предписаний и технических требований, каса</w:t>
      </w:r>
      <w:r w:rsidR="00473435" w:rsidRPr="00473435">
        <w:t>ю</w:t>
      </w:r>
      <w:r w:rsidR="00473435" w:rsidRPr="00473435">
        <w:t>щихся испытания альтернативных источников света на светоизлучающих ди</w:t>
      </w:r>
      <w:r w:rsidR="00473435" w:rsidRPr="00473435">
        <w:t>о</w:t>
      </w:r>
      <w:r w:rsidR="00473435" w:rsidRPr="00473435">
        <w:t xml:space="preserve">дах (СИД), а также </w:t>
      </w:r>
      <w:r w:rsidR="00473435" w:rsidRPr="00473435">
        <w:rPr>
          <w:bCs/>
        </w:rPr>
        <w:t>альтернативных светодиодных источников света</w:t>
      </w:r>
      <w:r w:rsidR="00473435" w:rsidRPr="00473435">
        <w:t xml:space="preserve"> нескольких новых категорий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</w:t>
      </w:r>
      <w:r w:rsidR="00473435" w:rsidRPr="00473435">
        <w:rPr>
          <w:lang w:val="en-GB"/>
        </w:rPr>
        <w:t>GRE</w:t>
      </w:r>
      <w:r w:rsidR="00473435" w:rsidRPr="00473435">
        <w:t xml:space="preserve">/2017/2 и 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</w:t>
      </w:r>
      <w:r w:rsidR="00473435" w:rsidRPr="00473435">
        <w:rPr>
          <w:lang w:val="en-GB"/>
        </w:rPr>
        <w:t>GRE</w:t>
      </w:r>
      <w:r w:rsidR="00473435" w:rsidRPr="00473435">
        <w:t>/</w:t>
      </w:r>
      <w:r>
        <w:t xml:space="preserve"> </w:t>
      </w:r>
      <w:r w:rsidR="00473435" w:rsidRPr="00473435">
        <w:t>2017/3). Эти предложения следует рассматривать вместе с общими предлож</w:t>
      </w:r>
      <w:r w:rsidR="00473435" w:rsidRPr="00473435">
        <w:t>е</w:t>
      </w:r>
      <w:r w:rsidR="00473435" w:rsidRPr="00473435">
        <w:t>ниями по поправкам к правилам № 48, 53, 74, 86, касающимся предписаний об альтернативных источниках света на светоизлучающих диодах (СИД)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</w:t>
      </w:r>
      <w:r w:rsidR="00473435" w:rsidRPr="00473435">
        <w:rPr>
          <w:lang w:val="en-GB"/>
        </w:rPr>
        <w:t>GRE</w:t>
      </w:r>
      <w:r w:rsidR="00473435" w:rsidRPr="00473435">
        <w:t>/2017/4).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</w:t>
      </w:r>
      <w:r w:rsidRPr="00473435">
        <w:rPr>
          <w:lang w:val="en-GB"/>
        </w:rPr>
        <w:t>GRE</w:t>
      </w:r>
      <w:r w:rsidRPr="00473435">
        <w:t xml:space="preserve">/2017/2, </w:t>
      </w:r>
      <w:r w:rsidR="00391759">
        <w:br/>
      </w:r>
      <w:r w:rsidR="00391759">
        <w:tab/>
      </w:r>
      <w:r w:rsidR="00391759">
        <w:tab/>
      </w:r>
      <w:r w:rsidR="00391759">
        <w:tab/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</w:t>
      </w:r>
      <w:r w:rsidRPr="00473435">
        <w:rPr>
          <w:lang w:val="en-GB"/>
        </w:rPr>
        <w:t>GRE</w:t>
      </w:r>
      <w:r w:rsidRPr="00473435">
        <w:t xml:space="preserve">/2017/3, </w:t>
      </w:r>
      <w:r w:rsidR="00391759">
        <w:br/>
      </w:r>
      <w:r w:rsidR="00391759">
        <w:tab/>
      </w:r>
      <w:r w:rsidR="00391759">
        <w:tab/>
      </w:r>
      <w:r w:rsidR="00391759">
        <w:tab/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</w:t>
      </w:r>
      <w:r w:rsidRPr="00473435">
        <w:rPr>
          <w:lang w:val="en-GB"/>
        </w:rPr>
        <w:t>GRE</w:t>
      </w:r>
      <w:r w:rsidRPr="00473435">
        <w:t xml:space="preserve">/2017/4, </w:t>
      </w:r>
      <w:r w:rsidR="00391759">
        <w:br/>
      </w:r>
      <w:r w:rsidR="00391759">
        <w:tab/>
      </w:r>
      <w:r w:rsidR="00391759">
        <w:tab/>
      </w:r>
      <w:r w:rsidRPr="00473435">
        <w:tab/>
        <w:t xml:space="preserve">неофициальные документы </w:t>
      </w:r>
      <w:r w:rsidRPr="00473435">
        <w:rPr>
          <w:lang w:val="en-GB"/>
        </w:rPr>
        <w:t>GRE</w:t>
      </w:r>
      <w:r w:rsidRPr="00473435">
        <w:t xml:space="preserve">-77-02 и </w:t>
      </w:r>
      <w:r w:rsidRPr="00473435">
        <w:rPr>
          <w:lang w:val="en-GB"/>
        </w:rPr>
        <w:t>GRE</w:t>
      </w:r>
      <w:r w:rsidRPr="00473435">
        <w:t xml:space="preserve">-77-03 </w:t>
      </w:r>
    </w:p>
    <w:p w:rsidR="00473435" w:rsidRPr="00473435" w:rsidRDefault="00391759" w:rsidP="00473435">
      <w:pPr>
        <w:pStyle w:val="SingleTxtGR"/>
      </w:pPr>
      <w:r>
        <w:tab/>
      </w:r>
      <w:r w:rsidR="00473435" w:rsidRPr="00473435">
        <w:rPr>
          <w:lang w:val="en-GB"/>
        </w:rPr>
        <w:t>GRE</w:t>
      </w:r>
      <w:r w:rsidR="00473435" w:rsidRPr="00473435">
        <w:t xml:space="preserve"> также предлагается рассмотреть предложения по поправкам к Пр</w:t>
      </w:r>
      <w:r w:rsidR="00473435" w:rsidRPr="00473435">
        <w:t>а</w:t>
      </w:r>
      <w:r w:rsidR="00473435" w:rsidRPr="00473435">
        <w:t>вилам № 128 и к Сводной резолюции (СР.5), подготовленные экспертом от БРГ, предусматривающие введение предписаний и технических требований, каса</w:t>
      </w:r>
      <w:r w:rsidR="00473435" w:rsidRPr="00473435">
        <w:t>ю</w:t>
      </w:r>
      <w:r w:rsidR="00473435" w:rsidRPr="00473435">
        <w:t xml:space="preserve">щихся испытания источников света на СИД для переднего освещения и новых источников света на СИД для переднего освещения категории </w:t>
      </w:r>
      <w:r w:rsidR="00473435" w:rsidRPr="00473435">
        <w:rPr>
          <w:lang w:val="en-GB"/>
        </w:rPr>
        <w:t>L</w:t>
      </w:r>
      <w:r w:rsidR="00473435" w:rsidRPr="00473435">
        <w:t xml:space="preserve">1.  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</w:t>
      </w:r>
      <w:r w:rsidRPr="00473435">
        <w:rPr>
          <w:lang w:val="en-GB"/>
        </w:rPr>
        <w:t>GRE</w:t>
      </w:r>
      <w:r w:rsidRPr="00473435">
        <w:t xml:space="preserve">/2017/5, </w:t>
      </w:r>
      <w:r w:rsidR="00391759">
        <w:br/>
      </w:r>
      <w:r w:rsidR="00391759">
        <w:tab/>
      </w:r>
      <w:r w:rsidR="00391759">
        <w:tab/>
      </w:r>
      <w:r w:rsidR="00391759">
        <w:tab/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</w:t>
      </w:r>
      <w:r w:rsidRPr="00473435">
        <w:rPr>
          <w:lang w:val="en-GB"/>
        </w:rPr>
        <w:t>GRE</w:t>
      </w:r>
      <w:r w:rsidRPr="00473435">
        <w:t xml:space="preserve">/2017/6, </w:t>
      </w:r>
      <w:r w:rsidR="00391759">
        <w:br/>
      </w:r>
      <w:r w:rsidR="00391759">
        <w:tab/>
      </w:r>
      <w:r w:rsidR="00391759">
        <w:tab/>
      </w:r>
      <w:r w:rsidRPr="00473435">
        <w:tab/>
        <w:t xml:space="preserve">неофициальный документ </w:t>
      </w:r>
      <w:r w:rsidRPr="00473435">
        <w:rPr>
          <w:lang w:val="en-GB"/>
        </w:rPr>
        <w:t>GRE</w:t>
      </w:r>
      <w:r w:rsidRPr="00473435">
        <w:t xml:space="preserve">-77-04 </w:t>
      </w:r>
    </w:p>
    <w:p w:rsidR="00473435" w:rsidRPr="00473435" w:rsidRDefault="00473435" w:rsidP="00391759">
      <w:pPr>
        <w:pStyle w:val="H1GR"/>
      </w:pPr>
      <w:r w:rsidRPr="00473435">
        <w:tab/>
        <w:t>6.</w:t>
      </w:r>
      <w:r w:rsidRPr="00473435">
        <w:tab/>
        <w:t>Правила № 48 (установка устройств освещения и световой сигнализации)</w:t>
      </w:r>
    </w:p>
    <w:p w:rsidR="00473435" w:rsidRPr="00473435" w:rsidRDefault="00473435" w:rsidP="00391759">
      <w:pPr>
        <w:pStyle w:val="H23GR"/>
      </w:pPr>
      <w:r w:rsidRPr="00473435">
        <w:tab/>
      </w:r>
      <w:r w:rsidRPr="00473435">
        <w:rPr>
          <w:lang w:val="en-GB"/>
        </w:rPr>
        <w:t>a</w:t>
      </w:r>
      <w:r w:rsidRPr="00473435">
        <w:t>)</w:t>
      </w:r>
      <w:r w:rsidRPr="00473435">
        <w:tab/>
        <w:t xml:space="preserve">Предложения по поправкам к поправкам серии 05 и 06 </w:t>
      </w:r>
    </w:p>
    <w:p w:rsidR="00473435" w:rsidRPr="00473435" w:rsidRDefault="00391759" w:rsidP="00473435">
      <w:pPr>
        <w:pStyle w:val="SingleTxtGR"/>
      </w:pPr>
      <w:r>
        <w:tab/>
      </w:r>
      <w:r w:rsidR="00473435" w:rsidRPr="00473435">
        <w:t xml:space="preserve">На своей предыдущей сессии </w:t>
      </w:r>
      <w:r w:rsidR="00473435" w:rsidRPr="00473435">
        <w:rPr>
          <w:lang w:val="en-GB"/>
        </w:rPr>
        <w:t>GRE</w:t>
      </w:r>
      <w:r w:rsidR="00473435" w:rsidRPr="00473435">
        <w:t xml:space="preserve"> решила отложить рассмотрение пре</w:t>
      </w:r>
      <w:r w:rsidR="00473435" w:rsidRPr="00473435">
        <w:t>д</w:t>
      </w:r>
      <w:r w:rsidR="00473435" w:rsidRPr="00473435">
        <w:t>ложения эксперта от БРГ, в котором уточняются несоответствия и приведены исправления терминологического характера к Правилам № 48.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ab/>
      </w:r>
      <w:r w:rsidRPr="00473435">
        <w:rPr>
          <w:lang w:val="fr-FR"/>
        </w:rPr>
        <w:t>ECE</w:t>
      </w:r>
      <w:r w:rsidRPr="00473435">
        <w:t>/</w:t>
      </w:r>
      <w:r w:rsidRPr="00473435">
        <w:rPr>
          <w:lang w:val="fr-FR"/>
        </w:rPr>
        <w:t>TRANS</w:t>
      </w:r>
      <w:r w:rsidRPr="00473435">
        <w:t>/</w:t>
      </w:r>
      <w:r w:rsidRPr="00473435">
        <w:rPr>
          <w:lang w:val="fr-FR"/>
        </w:rPr>
        <w:t>WP</w:t>
      </w:r>
      <w:r w:rsidRPr="00473435">
        <w:t>.29/</w:t>
      </w:r>
      <w:r w:rsidRPr="00473435">
        <w:rPr>
          <w:lang w:val="fr-FR"/>
        </w:rPr>
        <w:t>GRE</w:t>
      </w:r>
      <w:r w:rsidRPr="00473435">
        <w:t>/2016/24</w:t>
      </w:r>
    </w:p>
    <w:p w:rsidR="00473435" w:rsidRPr="00473435" w:rsidRDefault="00391759" w:rsidP="00473435">
      <w:pPr>
        <w:pStyle w:val="SingleTxtGR"/>
      </w:pPr>
      <w:r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 xml:space="preserve"> вернется к рассмотрению подготовленных Германией и Междун</w:t>
      </w:r>
      <w:r w:rsidR="00473435" w:rsidRPr="00473435">
        <w:t>а</w:t>
      </w:r>
      <w:r w:rsidR="00473435" w:rsidRPr="00473435">
        <w:t>родной организацией предприятий автомобильной промышленности (МОПАП) предложений по поправкам, касающимся внешних индикаторов, предусмотре</w:t>
      </w:r>
      <w:r w:rsidR="00473435" w:rsidRPr="00473435">
        <w:t>н</w:t>
      </w:r>
      <w:r w:rsidR="00473435" w:rsidRPr="00473435">
        <w:t>ных правилами № 97 и 116.</w:t>
      </w:r>
      <w:proofErr w:type="gramEnd"/>
      <w:r w:rsidR="00473435" w:rsidRPr="00473435">
        <w:t xml:space="preserve">  </w:t>
      </w:r>
    </w:p>
    <w:p w:rsidR="00473435" w:rsidRPr="00473435" w:rsidRDefault="00473435" w:rsidP="00391759">
      <w:pPr>
        <w:pStyle w:val="SingleTxtGR"/>
        <w:jc w:val="left"/>
      </w:pPr>
      <w:r w:rsidRPr="00473435">
        <w:rPr>
          <w:b/>
        </w:rPr>
        <w:t>Документация:</w:t>
      </w:r>
      <w:r w:rsidRPr="00473435">
        <w:tab/>
      </w:r>
      <w:r w:rsidRPr="00473435">
        <w:rPr>
          <w:lang w:val="fr-FR"/>
        </w:rPr>
        <w:t>ECE</w:t>
      </w:r>
      <w:r w:rsidRPr="00473435">
        <w:t>/</w:t>
      </w:r>
      <w:r w:rsidRPr="00473435">
        <w:rPr>
          <w:lang w:val="fr-FR"/>
        </w:rPr>
        <w:t>TRANS</w:t>
      </w:r>
      <w:r w:rsidRPr="00473435">
        <w:t>/</w:t>
      </w:r>
      <w:r w:rsidRPr="00473435">
        <w:rPr>
          <w:lang w:val="fr-FR"/>
        </w:rPr>
        <w:t>WP</w:t>
      </w:r>
      <w:r w:rsidRPr="00473435">
        <w:t>.29/</w:t>
      </w:r>
      <w:r w:rsidRPr="00473435">
        <w:rPr>
          <w:lang w:val="fr-FR"/>
        </w:rPr>
        <w:t>GRE</w:t>
      </w:r>
      <w:r w:rsidRPr="00473435">
        <w:t>/2016/33,</w:t>
      </w:r>
      <w:r w:rsidR="00391759">
        <w:br/>
      </w:r>
      <w:r w:rsidR="00391759">
        <w:tab/>
      </w:r>
      <w:r w:rsidR="00391759">
        <w:tab/>
      </w:r>
      <w:r w:rsidR="00391759">
        <w:tab/>
      </w:r>
      <w:r w:rsidRPr="00473435">
        <w:t xml:space="preserve">неофициальный документ </w:t>
      </w:r>
      <w:r w:rsidRPr="00473435">
        <w:rPr>
          <w:lang w:val="fr-FR"/>
        </w:rPr>
        <w:t>GRE</w:t>
      </w:r>
      <w:r w:rsidRPr="00473435">
        <w:t>-76-17</w:t>
      </w:r>
    </w:p>
    <w:p w:rsidR="00473435" w:rsidRPr="00473435" w:rsidRDefault="00473435" w:rsidP="00391759">
      <w:pPr>
        <w:pStyle w:val="H23GR"/>
      </w:pPr>
      <w:r w:rsidRPr="00473435">
        <w:tab/>
      </w:r>
      <w:r w:rsidRPr="00473435">
        <w:rPr>
          <w:lang w:val="en-GB"/>
        </w:rPr>
        <w:t>b</w:t>
      </w:r>
      <w:r w:rsidRPr="00473435">
        <w:t>)</w:t>
      </w:r>
      <w:r w:rsidRPr="00473435">
        <w:tab/>
        <w:t>Прочие предложения по поправкам к Правилам № 48</w:t>
      </w:r>
    </w:p>
    <w:p w:rsidR="00473435" w:rsidRPr="00473435" w:rsidRDefault="00391759" w:rsidP="00473435">
      <w:pPr>
        <w:pStyle w:val="SingleTxtGR"/>
      </w:pPr>
      <w:r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 xml:space="preserve"> будет проинформирована о деятельности неофициальной рабочей группы по вопросам видимости, ослепления и регулировки фар (НРГ по ВОРФ), а также о проектах предложений, подготовленных НРГ по ВОРФ.</w:t>
      </w:r>
      <w:proofErr w:type="gramEnd"/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en-US"/>
        </w:rPr>
        <w:t>ECE</w:t>
      </w:r>
      <w:r w:rsidRPr="00473435">
        <w:t>/</w:t>
      </w:r>
      <w:r w:rsidRPr="00473435">
        <w:rPr>
          <w:lang w:val="en-US"/>
        </w:rPr>
        <w:t>TRANS</w:t>
      </w:r>
      <w:r w:rsidRPr="00473435">
        <w:t>/</w:t>
      </w:r>
      <w:r w:rsidRPr="00473435">
        <w:rPr>
          <w:lang w:val="en-US"/>
        </w:rPr>
        <w:t>WP</w:t>
      </w:r>
      <w:r w:rsidRPr="00473435">
        <w:t>.29/</w:t>
      </w:r>
      <w:r w:rsidRPr="00473435">
        <w:rPr>
          <w:lang w:val="en-US"/>
        </w:rPr>
        <w:t>GRE</w:t>
      </w:r>
      <w:r w:rsidRPr="00473435">
        <w:t xml:space="preserve">/76, пункт 21 и приложение </w:t>
      </w:r>
      <w:r w:rsidRPr="00473435">
        <w:rPr>
          <w:lang w:val="en-GB"/>
        </w:rPr>
        <w:t>III</w:t>
      </w:r>
      <w:r w:rsidRPr="00473435">
        <w:t xml:space="preserve">  </w:t>
      </w:r>
    </w:p>
    <w:p w:rsidR="00473435" w:rsidRPr="00473435" w:rsidRDefault="00473435" w:rsidP="0027790B">
      <w:pPr>
        <w:pStyle w:val="H1GR"/>
      </w:pPr>
      <w:r w:rsidRPr="00473435">
        <w:tab/>
        <w:t>7.</w:t>
      </w:r>
      <w:r w:rsidRPr="00473435">
        <w:tab/>
        <w:t>Другие правила</w:t>
      </w:r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a</w:t>
      </w:r>
      <w:r w:rsidRPr="00473435">
        <w:t>)</w:t>
      </w:r>
      <w:r w:rsidRPr="00473435">
        <w:tab/>
        <w:t>Правила № 6 (указатели поворота) и Правила № 50 (габаритные огни, сигналы торможения, указатели поворота для мопедов и мотоциклов)</w:t>
      </w:r>
    </w:p>
    <w:p w:rsidR="00473435" w:rsidRPr="00473435" w:rsidRDefault="0027790B" w:rsidP="00473435">
      <w:pPr>
        <w:pStyle w:val="SingleTxtGR"/>
      </w:pPr>
      <w:bookmarkStart w:id="4" w:name="OLE_LINK9"/>
      <w:bookmarkStart w:id="5" w:name="OLE_LINK10"/>
      <w:r>
        <w:tab/>
      </w:r>
      <w:r w:rsidR="00473435" w:rsidRPr="00473435">
        <w:t>На своей предыдущей сессии</w:t>
      </w:r>
      <w:bookmarkEnd w:id="4"/>
      <w:bookmarkEnd w:id="5"/>
      <w:r w:rsidR="00473435" w:rsidRPr="00473435">
        <w:t xml:space="preserve"> </w:t>
      </w:r>
      <w:r w:rsidR="00473435" w:rsidRPr="00473435">
        <w:rPr>
          <w:lang w:val="en-GB"/>
        </w:rPr>
        <w:t>GRE</w:t>
      </w:r>
      <w:r w:rsidR="00473435" w:rsidRPr="00473435">
        <w:t xml:space="preserve"> приняла предложения по поправкам к правилам № 6 и 50, в которых уточняются требования, касающиеся указателей поворота с последовательной активацией. В то же время </w:t>
      </w:r>
      <w:r w:rsidR="00473435" w:rsidRPr="00473435">
        <w:rPr>
          <w:lang w:val="en-GB"/>
        </w:rPr>
        <w:t>GRE</w:t>
      </w:r>
      <w:r w:rsidR="00473435" w:rsidRPr="00473435">
        <w:t xml:space="preserve"> не смогла д</w:t>
      </w:r>
      <w:r w:rsidR="00473435" w:rsidRPr="00473435">
        <w:t>о</w:t>
      </w:r>
      <w:r w:rsidR="00473435" w:rsidRPr="00473435">
        <w:t>стичь консенсуса относительно того, потребуются ли в контексте этих предл</w:t>
      </w:r>
      <w:r w:rsidR="00473435" w:rsidRPr="00473435">
        <w:t>о</w:t>
      </w:r>
      <w:r w:rsidR="00473435" w:rsidRPr="00473435">
        <w:t>жений поправки новых серий и/или переходные положения, и решила вернут</w:t>
      </w:r>
      <w:r w:rsidR="00473435" w:rsidRPr="00473435">
        <w:t>ь</w:t>
      </w:r>
      <w:r w:rsidR="00473435" w:rsidRPr="00473435">
        <w:t xml:space="preserve">ся к этому вопросу. 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en-US"/>
        </w:rPr>
        <w:t>ECE</w:t>
      </w:r>
      <w:r w:rsidRPr="00473435">
        <w:t>/</w:t>
      </w:r>
      <w:r w:rsidRPr="00473435">
        <w:rPr>
          <w:lang w:val="en-US"/>
        </w:rPr>
        <w:t>TRANS</w:t>
      </w:r>
      <w:r w:rsidRPr="00473435">
        <w:t>/</w:t>
      </w:r>
      <w:r w:rsidRPr="00473435">
        <w:rPr>
          <w:lang w:val="en-US"/>
        </w:rPr>
        <w:t>WP</w:t>
      </w:r>
      <w:r w:rsidRPr="00473435">
        <w:t>.29/</w:t>
      </w:r>
      <w:r w:rsidRPr="00473435">
        <w:rPr>
          <w:lang w:val="en-US"/>
        </w:rPr>
        <w:t>GRE</w:t>
      </w:r>
      <w:r w:rsidRPr="00473435">
        <w:t xml:space="preserve">/76, пункт 22 и приложение </w:t>
      </w:r>
      <w:r w:rsidRPr="00473435">
        <w:rPr>
          <w:lang w:val="en-GB"/>
        </w:rPr>
        <w:t>IV</w:t>
      </w:r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b</w:t>
      </w:r>
      <w:r w:rsidRPr="00473435">
        <w:t xml:space="preserve">) </w:t>
      </w:r>
      <w:r w:rsidRPr="00473435">
        <w:tab/>
        <w:t>Правила № 10 (электромагнитная совместимость)</w:t>
      </w:r>
    </w:p>
    <w:p w:rsidR="00473435" w:rsidRPr="00473435" w:rsidRDefault="0027790B" w:rsidP="00473435">
      <w:pPr>
        <w:pStyle w:val="SingleTxtGR"/>
      </w:pPr>
      <w:r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 xml:space="preserve"> будет проинформирована о деятельности Целевой группы по эле</w:t>
      </w:r>
      <w:r w:rsidR="00473435" w:rsidRPr="00473435">
        <w:t>к</w:t>
      </w:r>
      <w:r w:rsidR="00473435" w:rsidRPr="00473435">
        <w:t>тромагнитной совместимости (ЦГ по ЭМС) и рассмотрит любые предложения, подготовленные ЦГ по ЭМС.</w:t>
      </w:r>
      <w:proofErr w:type="gramEnd"/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c</w:t>
      </w:r>
      <w:r w:rsidRPr="00473435">
        <w:t>)</w:t>
      </w:r>
      <w:r w:rsidRPr="00473435">
        <w:tab/>
        <w:t xml:space="preserve">Правила № 53 (установка устройств освещения и световой сигнализации для транспортных средств категории </w:t>
      </w:r>
      <w:r w:rsidRPr="00473435">
        <w:rPr>
          <w:lang w:val="en-GB"/>
        </w:rPr>
        <w:t>L</w:t>
      </w:r>
      <w:r w:rsidRPr="00473435">
        <w:rPr>
          <w:vertAlign w:val="subscript"/>
        </w:rPr>
        <w:t>3</w:t>
      </w:r>
      <w:r w:rsidRPr="00473435">
        <w:t>)</w:t>
      </w:r>
    </w:p>
    <w:p w:rsidR="00473435" w:rsidRPr="00473435" w:rsidRDefault="0027790B" w:rsidP="00473435">
      <w:pPr>
        <w:pStyle w:val="SingleTxtGR"/>
      </w:pPr>
      <w:r>
        <w:tab/>
      </w:r>
      <w:r w:rsidR="00473435" w:rsidRPr="00473435">
        <w:t xml:space="preserve">На своей предыдущей сессии </w:t>
      </w:r>
      <w:r w:rsidR="00473435" w:rsidRPr="00473435">
        <w:rPr>
          <w:lang w:val="en-GB"/>
        </w:rPr>
        <w:t>GRE</w:t>
      </w:r>
      <w:r w:rsidR="00473435" w:rsidRPr="00473435">
        <w:t xml:space="preserve"> решила вернуться к рассмотрению предложения по поправкам серии 03 к Правилам № 53, подготовленного эк</w:t>
      </w:r>
      <w:r w:rsidR="00473435" w:rsidRPr="00473435">
        <w:t>с</w:t>
      </w:r>
      <w:r w:rsidR="00473435" w:rsidRPr="00473435">
        <w:t>пертом от Японии, относительно нового требования, касающегося автоматич</w:t>
      </w:r>
      <w:r w:rsidR="00473435" w:rsidRPr="00473435">
        <w:t>е</w:t>
      </w:r>
      <w:r w:rsidR="00473435" w:rsidRPr="00473435">
        <w:t>ского переключения дневного ходового огня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</w:t>
      </w:r>
      <w:r w:rsidR="00473435" w:rsidRPr="00473435">
        <w:rPr>
          <w:lang w:val="en-GB"/>
        </w:rPr>
        <w:t>GRE</w:t>
      </w:r>
      <w:r w:rsidR="00473435" w:rsidRPr="00473435">
        <w:t xml:space="preserve">/76, пункт 28). 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en-US"/>
        </w:rPr>
        <w:t>ECE</w:t>
      </w:r>
      <w:r w:rsidRPr="00473435">
        <w:t>/</w:t>
      </w:r>
      <w:r w:rsidRPr="00473435">
        <w:rPr>
          <w:lang w:val="en-US"/>
        </w:rPr>
        <w:t>TRANS</w:t>
      </w:r>
      <w:r w:rsidRPr="00473435">
        <w:t>/</w:t>
      </w:r>
      <w:r w:rsidRPr="00473435">
        <w:rPr>
          <w:lang w:val="en-US"/>
        </w:rPr>
        <w:t>WP</w:t>
      </w:r>
      <w:r w:rsidRPr="00473435">
        <w:t>.29/</w:t>
      </w:r>
      <w:r w:rsidRPr="00473435">
        <w:rPr>
          <w:lang w:val="en-US"/>
        </w:rPr>
        <w:t>GRE</w:t>
      </w:r>
      <w:r w:rsidRPr="00473435">
        <w:t>/2016/35,</w:t>
      </w:r>
      <w:r w:rsidR="0027790B">
        <w:br/>
      </w:r>
      <w:r w:rsidR="0027790B">
        <w:tab/>
      </w:r>
      <w:r w:rsidR="0027790B">
        <w:tab/>
      </w:r>
      <w:r w:rsidR="0027790B">
        <w:tab/>
      </w:r>
      <w:r w:rsidRPr="00473435">
        <w:t xml:space="preserve">неофициальные документы </w:t>
      </w:r>
      <w:r w:rsidRPr="00473435">
        <w:rPr>
          <w:lang w:val="en-US"/>
        </w:rPr>
        <w:t>GRE</w:t>
      </w:r>
      <w:r w:rsidRPr="00473435">
        <w:t xml:space="preserve">-76-03 и </w:t>
      </w:r>
      <w:r w:rsidRPr="00473435">
        <w:rPr>
          <w:lang w:val="en-US"/>
        </w:rPr>
        <w:t>GRE</w:t>
      </w:r>
      <w:r w:rsidRPr="00473435">
        <w:t xml:space="preserve">-76-06 </w:t>
      </w:r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d</w:t>
      </w:r>
      <w:r w:rsidRPr="00473435">
        <w:t>)</w:t>
      </w:r>
      <w:r w:rsidRPr="00473435">
        <w:tab/>
        <w:t>Правила № 112 (фары, испускающие асимметричный луч ближнего света)</w:t>
      </w:r>
    </w:p>
    <w:p w:rsidR="00473435" w:rsidRPr="00473435" w:rsidRDefault="0027790B" w:rsidP="00473435">
      <w:pPr>
        <w:pStyle w:val="SingleTxtGR"/>
      </w:pPr>
      <w:r>
        <w:tab/>
      </w:r>
      <w:r w:rsidR="00473435" w:rsidRPr="00473435">
        <w:t>На предыдущей сессии эксперт от БРГ предложил исключить констру</w:t>
      </w:r>
      <w:r w:rsidR="00473435" w:rsidRPr="00473435">
        <w:t>к</w:t>
      </w:r>
      <w:r w:rsidR="00473435" w:rsidRPr="00473435">
        <w:t>ционное требование в отношении минимального номинального светового пот</w:t>
      </w:r>
      <w:r w:rsidR="00473435" w:rsidRPr="00473435">
        <w:t>о</w:t>
      </w:r>
      <w:r w:rsidR="00473435" w:rsidRPr="00473435">
        <w:t xml:space="preserve">ка (1 000 лм) для светодиодных и галогенных источников света и заменить его технологически нейтральным требованием, основанным на эксплуатационных характеристиках (GRE-76-04-Rev.1). </w:t>
      </w:r>
      <w:proofErr w:type="gramStart"/>
      <w:r w:rsidR="00473435" w:rsidRPr="00473435">
        <w:rPr>
          <w:lang w:val="en-GB"/>
        </w:rPr>
        <w:t>GRE</w:t>
      </w:r>
      <w:r w:rsidR="00473435" w:rsidRPr="00473435">
        <w:t xml:space="preserve"> решила сохранить этот вопрос в п</w:t>
      </w:r>
      <w:r w:rsidR="00473435" w:rsidRPr="00473435">
        <w:t>о</w:t>
      </w:r>
      <w:r w:rsidR="00473435" w:rsidRPr="00473435">
        <w:t>вестке дня и на более позднем этапе передать его НРГ по УПО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>
        <w:t xml:space="preserve"> </w:t>
      </w:r>
      <w:r w:rsidR="00473435" w:rsidRPr="00473435">
        <w:rPr>
          <w:lang w:val="en-GB"/>
        </w:rPr>
        <w:t>WP</w:t>
      </w:r>
      <w:r w:rsidR="00473435" w:rsidRPr="00473435">
        <w:t>.29/</w:t>
      </w:r>
      <w:r w:rsidR="00473435" w:rsidRPr="00473435">
        <w:rPr>
          <w:lang w:val="en-GB"/>
        </w:rPr>
        <w:t>GRE</w:t>
      </w:r>
      <w:r w:rsidR="00473435" w:rsidRPr="00473435">
        <w:t>/76, пункт 30).</w:t>
      </w:r>
      <w:proofErr w:type="gramEnd"/>
      <w:r w:rsidR="00473435" w:rsidRPr="00473435">
        <w:t xml:space="preserve"> </w:t>
      </w:r>
    </w:p>
    <w:p w:rsidR="00473435" w:rsidRPr="00473435" w:rsidRDefault="00473435" w:rsidP="0027790B">
      <w:pPr>
        <w:pStyle w:val="SingleTxtGR"/>
        <w:jc w:val="left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  <w:t xml:space="preserve">неофициальные документы </w:t>
      </w:r>
      <w:r w:rsidRPr="00473435">
        <w:rPr>
          <w:lang w:val="en-US"/>
        </w:rPr>
        <w:t>GRE</w:t>
      </w:r>
      <w:r w:rsidRPr="00473435">
        <w:t xml:space="preserve">-76-25 и </w:t>
      </w:r>
      <w:r w:rsidRPr="00473435">
        <w:rPr>
          <w:lang w:val="en-US"/>
        </w:rPr>
        <w:t>GRE</w:t>
      </w:r>
      <w:r w:rsidRPr="00473435">
        <w:t>-76-04-</w:t>
      </w:r>
      <w:r w:rsidRPr="00473435">
        <w:rPr>
          <w:lang w:val="en-US"/>
        </w:rPr>
        <w:t>Rev</w:t>
      </w:r>
      <w:r w:rsidRPr="00473435">
        <w:t>.1</w:t>
      </w:r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e</w:t>
      </w:r>
      <w:r w:rsidRPr="00473435">
        <w:t>)</w:t>
      </w:r>
      <w:r w:rsidRPr="00473435">
        <w:tab/>
        <w:t xml:space="preserve">Правила № 123 (адаптивные системы переднего освещения (АСПО)) </w:t>
      </w:r>
    </w:p>
    <w:p w:rsidR="00473435" w:rsidRPr="00473435" w:rsidRDefault="0027790B" w:rsidP="00473435">
      <w:pPr>
        <w:pStyle w:val="SingleTxtGR"/>
      </w:pPr>
      <w:r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 xml:space="preserve"> вернется к рассмотрению предложения эксперта от БРГ, нацеленн</w:t>
      </w:r>
      <w:r w:rsidR="00473435" w:rsidRPr="00473435">
        <w:t>о</w:t>
      </w:r>
      <w:r w:rsidR="00473435" w:rsidRPr="00473435">
        <w:t>го на согласование процедур контроля за соответствием производства с друг</w:t>
      </w:r>
      <w:r w:rsidR="00473435" w:rsidRPr="00473435">
        <w:t>и</w:t>
      </w:r>
      <w:r w:rsidR="00473435" w:rsidRPr="00473435">
        <w:t>ми правилами, касающимися фар, а также на упрощение методов испытания и требований в отношении соответствия производства.</w:t>
      </w:r>
      <w:proofErr w:type="gramEnd"/>
      <w:r w:rsidR="00473435" w:rsidRPr="00473435">
        <w:t xml:space="preserve"> 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</w:r>
      <w:r w:rsidRPr="00473435">
        <w:rPr>
          <w:lang w:val="fr-FR"/>
        </w:rPr>
        <w:t>ECE</w:t>
      </w:r>
      <w:r w:rsidRPr="00473435">
        <w:t>/</w:t>
      </w:r>
      <w:r w:rsidRPr="00473435">
        <w:rPr>
          <w:lang w:val="fr-FR"/>
        </w:rPr>
        <w:t>TRANS</w:t>
      </w:r>
      <w:r w:rsidRPr="00473435">
        <w:t>/</w:t>
      </w:r>
      <w:r w:rsidRPr="00473435">
        <w:rPr>
          <w:lang w:val="fr-FR"/>
        </w:rPr>
        <w:t>WP</w:t>
      </w:r>
      <w:r w:rsidRPr="00473435">
        <w:t>.29/</w:t>
      </w:r>
      <w:r w:rsidRPr="00473435">
        <w:rPr>
          <w:lang w:val="fr-FR"/>
        </w:rPr>
        <w:t>GRE</w:t>
      </w:r>
      <w:r w:rsidRPr="00473435">
        <w:t xml:space="preserve">/2016/28 </w:t>
      </w:r>
    </w:p>
    <w:p w:rsidR="00473435" w:rsidRPr="00473435" w:rsidRDefault="00473435" w:rsidP="0027790B">
      <w:pPr>
        <w:pStyle w:val="H1GR"/>
      </w:pPr>
      <w:r w:rsidRPr="00473435">
        <w:tab/>
        <w:t>8.</w:t>
      </w:r>
      <w:r w:rsidRPr="00473435">
        <w:tab/>
        <w:t>Прочие вопросы</w:t>
      </w:r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a</w:t>
      </w:r>
      <w:r w:rsidRPr="00473435">
        <w:t>)</w:t>
      </w:r>
      <w:r w:rsidRPr="00473435">
        <w:tab/>
        <w:t>Поправки к Конвенции о дорожном движении (Вена, 1968 год)</w:t>
      </w:r>
    </w:p>
    <w:p w:rsidR="00473435" w:rsidRPr="00473435" w:rsidRDefault="00473435" w:rsidP="00473435">
      <w:pPr>
        <w:pStyle w:val="SingleTxtGR"/>
      </w:pPr>
      <w:r w:rsidRPr="00473435">
        <w:tab/>
      </w:r>
      <w:proofErr w:type="gramStart"/>
      <w:r w:rsidRPr="00473435">
        <w:rPr>
          <w:lang w:val="en-GB"/>
        </w:rPr>
        <w:t>GRE</w:t>
      </w:r>
      <w:r w:rsidRPr="00473435">
        <w:t xml:space="preserve"> будет проинформирована об итогах обсуждения, проведенного Р</w:t>
      </w:r>
      <w:r w:rsidRPr="00473435">
        <w:t>а</w:t>
      </w:r>
      <w:r w:rsidRPr="00473435">
        <w:t>бочей группой по безопасности дорожного движения на ее сессии в марте 2017</w:t>
      </w:r>
      <w:r w:rsidR="0027790B">
        <w:t> </w:t>
      </w:r>
      <w:r w:rsidRPr="00473435">
        <w:t>года.</w:t>
      </w:r>
      <w:proofErr w:type="gramEnd"/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b</w:t>
      </w:r>
      <w:r w:rsidRPr="00473435">
        <w:t>)</w:t>
      </w:r>
      <w:r w:rsidRPr="00473435">
        <w:tab/>
        <w:t>Десятилетие действий по обеспечению безопасности дорожного движения на 2011−2020 годы</w:t>
      </w:r>
    </w:p>
    <w:p w:rsidR="00473435" w:rsidRPr="00473435" w:rsidRDefault="00473435" w:rsidP="00473435">
      <w:pPr>
        <w:pStyle w:val="SingleTxtGR"/>
      </w:pPr>
      <w:r w:rsidRPr="00473435">
        <w:tab/>
      </w:r>
      <w:proofErr w:type="gramStart"/>
      <w:r w:rsidRPr="00473435">
        <w:rPr>
          <w:lang w:val="en-GB"/>
        </w:rPr>
        <w:t>GRE</w:t>
      </w:r>
      <w:r w:rsidRPr="00473435">
        <w:t xml:space="preserve"> будет предложено обменяться мнениями и обсудить национальные и международные тенденции в области безопасности дорожного движения, осв</w:t>
      </w:r>
      <w:r w:rsidRPr="00473435">
        <w:t>е</w:t>
      </w:r>
      <w:r w:rsidRPr="00473435">
        <w:t>щения и световой сигнализации.</w:t>
      </w:r>
      <w:proofErr w:type="gramEnd"/>
    </w:p>
    <w:p w:rsidR="00473435" w:rsidRPr="00473435" w:rsidRDefault="00473435" w:rsidP="0027790B">
      <w:pPr>
        <w:pStyle w:val="H23GR"/>
      </w:pPr>
      <w:r w:rsidRPr="00473435">
        <w:tab/>
      </w:r>
      <w:r w:rsidRPr="00473435">
        <w:rPr>
          <w:lang w:val="en-GB"/>
        </w:rPr>
        <w:t>c</w:t>
      </w:r>
      <w:r w:rsidRPr="00473435">
        <w:t>)</w:t>
      </w:r>
      <w:r w:rsidRPr="00473435">
        <w:tab/>
        <w:t>Разработка международной системы официального утверждения типа комплектного транспортного средства</w:t>
      </w:r>
    </w:p>
    <w:p w:rsidR="00473435" w:rsidRPr="00473435" w:rsidRDefault="00473435" w:rsidP="00473435">
      <w:pPr>
        <w:pStyle w:val="SingleTxtGR"/>
      </w:pPr>
      <w:r w:rsidRPr="00473435">
        <w:tab/>
      </w:r>
      <w:proofErr w:type="gramStart"/>
      <w:r w:rsidRPr="00473435">
        <w:rPr>
          <w:lang w:val="en-GB"/>
        </w:rPr>
        <w:t>GRE</w:t>
      </w:r>
      <w:r w:rsidRPr="00473435">
        <w:t>, возможно, заслушает устное сообщение специального представит</w:t>
      </w:r>
      <w:r w:rsidRPr="00473435">
        <w:t>е</w:t>
      </w:r>
      <w:r w:rsidRPr="00473435">
        <w:t xml:space="preserve">ля </w:t>
      </w:r>
      <w:r w:rsidRPr="00473435">
        <w:rPr>
          <w:lang w:val="en-GB"/>
        </w:rPr>
        <w:t>GRE</w:t>
      </w:r>
      <w:r w:rsidRPr="00473435">
        <w:t xml:space="preserve"> о деятельности, связанной с международной системой официального утверждения типа комплектного транспортного средства (МОУТКТС), и о всех необходимых последующих шагах.</w:t>
      </w:r>
      <w:proofErr w:type="gramEnd"/>
      <w:r w:rsidRPr="00473435">
        <w:t xml:space="preserve"> </w:t>
      </w:r>
      <w:proofErr w:type="gramStart"/>
      <w:r w:rsidRPr="00473435">
        <w:rPr>
          <w:lang w:val="en-GB"/>
        </w:rPr>
        <w:t>GRE</w:t>
      </w:r>
      <w:r w:rsidRPr="00473435">
        <w:t xml:space="preserve"> будет также проинформирована об осуществляемых в настоящее время процедурах сдачи на хранение соотве</w:t>
      </w:r>
      <w:r w:rsidRPr="00473435">
        <w:t>т</w:t>
      </w:r>
      <w:r w:rsidRPr="00473435">
        <w:t>ствующих документов для вступления в силу пересмотра 3 Соглашения 1958</w:t>
      </w:r>
      <w:r w:rsidR="0027790B">
        <w:t> </w:t>
      </w:r>
      <w:r w:rsidRPr="00473435">
        <w:t>года.</w:t>
      </w:r>
      <w:proofErr w:type="gramEnd"/>
      <w:r w:rsidRPr="00473435">
        <w:t xml:space="preserve"> </w:t>
      </w:r>
    </w:p>
    <w:p w:rsidR="00473435" w:rsidRPr="00473435" w:rsidRDefault="0027790B" w:rsidP="00473435">
      <w:pPr>
        <w:pStyle w:val="SingleTxtGR"/>
      </w:pPr>
      <w:r>
        <w:tab/>
      </w:r>
      <w:r w:rsidR="00473435" w:rsidRPr="00473435">
        <w:rPr>
          <w:lang w:val="en-GB"/>
        </w:rPr>
        <w:t>GRE</w:t>
      </w:r>
      <w:r w:rsidR="00473435" w:rsidRPr="00473435">
        <w:t xml:space="preserve"> также заслушает информацию о том, что </w:t>
      </w:r>
      <w:r w:rsidR="00473435" w:rsidRPr="00473435">
        <w:rPr>
          <w:lang w:val="en-GB"/>
        </w:rPr>
        <w:t>WP</w:t>
      </w:r>
      <w:r w:rsidR="00473435" w:rsidRPr="00473435">
        <w:t>.29 на своей сессии в ноябре 2016 года принял к сведению просьбу НРГ по МОУТКТС об уточнении отдельных правил, касающихся устройств освещения и световой сигнализации, посредством включения требования о том, что источники света в этих устро</w:t>
      </w:r>
      <w:r w:rsidR="00473435" w:rsidRPr="00473435">
        <w:t>й</w:t>
      </w:r>
      <w:r w:rsidR="00473435" w:rsidRPr="00473435">
        <w:t xml:space="preserve">ствах должны подлежать официальному утверждению типа в соответствии с правилами № 37, 99 или 128. </w:t>
      </w:r>
      <w:proofErr w:type="gramStart"/>
      <w:r w:rsidR="00473435" w:rsidRPr="00473435">
        <w:rPr>
          <w:lang w:val="en-GB"/>
        </w:rPr>
        <w:t>WP</w:t>
      </w:r>
      <w:r w:rsidR="00473435" w:rsidRPr="00473435">
        <w:t xml:space="preserve">.29 предложил </w:t>
      </w:r>
      <w:r w:rsidR="00473435" w:rsidRPr="00473435">
        <w:rPr>
          <w:lang w:val="en-GB"/>
        </w:rPr>
        <w:t>GRE</w:t>
      </w:r>
      <w:r w:rsidR="00473435" w:rsidRPr="00473435">
        <w:t xml:space="preserve"> в сотрудничестве с НРГ рассмотреть пути наиболее эффективного изучения этого вопроса с учетом ц</w:t>
      </w:r>
      <w:r w:rsidR="00473435" w:rsidRPr="00473435">
        <w:t>е</w:t>
      </w:r>
      <w:r w:rsidR="00473435" w:rsidRPr="00473435">
        <w:t>лей МОУТКТС, продолжающегося процесса упрощения правил в области освещения и световой сигнализации и того обстоятельства, что не все источн</w:t>
      </w:r>
      <w:r w:rsidR="00473435" w:rsidRPr="00473435">
        <w:t>и</w:t>
      </w:r>
      <w:r w:rsidR="00473435" w:rsidRPr="00473435">
        <w:t>ки света охвачены правилами № 37, 99 и 128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.29/1126, пункт</w:t>
      </w:r>
      <w:r>
        <w:t> </w:t>
      </w:r>
      <w:r w:rsidR="00473435" w:rsidRPr="00473435">
        <w:t>62).</w:t>
      </w:r>
      <w:proofErr w:type="gramEnd"/>
    </w:p>
    <w:p w:rsidR="00473435" w:rsidRPr="00473435" w:rsidRDefault="00473435" w:rsidP="00473435">
      <w:pPr>
        <w:pStyle w:val="SingleTxtGR"/>
      </w:pPr>
      <w:r w:rsidRPr="00473435">
        <w:tab/>
        <w:t xml:space="preserve">На своей предыдущей сессии </w:t>
      </w:r>
      <w:r w:rsidRPr="00473435">
        <w:rPr>
          <w:lang w:val="en-GB"/>
        </w:rPr>
        <w:t>GRE</w:t>
      </w:r>
      <w:r w:rsidRPr="00473435">
        <w:t xml:space="preserve"> решила рассмотреть в рамках этого пункта повестки дня вопрос об использовании уникального идентификатора, а также вопросы, касающиеся дополнений, поправок новых серий и переходных положений (</w:t>
      </w:r>
      <w:r w:rsidRPr="00473435">
        <w:rPr>
          <w:lang w:val="en-GB"/>
        </w:rPr>
        <w:t>ECE</w:t>
      </w:r>
      <w:r w:rsidRPr="00473435">
        <w:t>/</w:t>
      </w:r>
      <w:r w:rsidRPr="00473435">
        <w:rPr>
          <w:lang w:val="en-GB"/>
        </w:rPr>
        <w:t>TRANS</w:t>
      </w:r>
      <w:r w:rsidRPr="00473435">
        <w:t>/</w:t>
      </w:r>
      <w:r w:rsidRPr="00473435">
        <w:rPr>
          <w:lang w:val="en-GB"/>
        </w:rPr>
        <w:t>WP</w:t>
      </w:r>
      <w:r w:rsidRPr="00473435">
        <w:t>.29/</w:t>
      </w:r>
      <w:r w:rsidRPr="00473435">
        <w:rPr>
          <w:lang w:val="en-GB"/>
        </w:rPr>
        <w:t>GRE</w:t>
      </w:r>
      <w:r w:rsidRPr="00473435">
        <w:t xml:space="preserve">/76, пункты 11 и 33). </w:t>
      </w:r>
    </w:p>
    <w:p w:rsidR="00473435" w:rsidRPr="00473435" w:rsidRDefault="00473435" w:rsidP="00727A63">
      <w:pPr>
        <w:pStyle w:val="H23GR"/>
      </w:pPr>
      <w:r w:rsidRPr="00473435">
        <w:tab/>
      </w:r>
      <w:r w:rsidRPr="00473435">
        <w:rPr>
          <w:lang w:val="en-GB"/>
        </w:rPr>
        <w:t>d</w:t>
      </w:r>
      <w:r w:rsidRPr="00473435">
        <w:t>)</w:t>
      </w:r>
      <w:r w:rsidRPr="00473435">
        <w:tab/>
        <w:t>Паразитный свет и обесцвечивание</w:t>
      </w:r>
    </w:p>
    <w:p w:rsidR="00473435" w:rsidRPr="00473435" w:rsidRDefault="00473435" w:rsidP="00473435">
      <w:pPr>
        <w:pStyle w:val="SingleTxtGR"/>
      </w:pPr>
      <w:r w:rsidRPr="00473435">
        <w:tab/>
      </w:r>
      <w:proofErr w:type="gramStart"/>
      <w:r w:rsidRPr="00473435">
        <w:rPr>
          <w:lang w:val="en-GB"/>
        </w:rPr>
        <w:t>GRE</w:t>
      </w:r>
      <w:r w:rsidRPr="00473435">
        <w:t>, возможно, пожелает заслушать информацию о ходе исследования по этому вопросу, проводимого в Германии.</w:t>
      </w:r>
      <w:proofErr w:type="gramEnd"/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t xml:space="preserve"> </w:t>
      </w:r>
      <w:r w:rsidRPr="00473435">
        <w:tab/>
        <w:t xml:space="preserve">неофициальный  документ </w:t>
      </w:r>
      <w:r w:rsidRPr="00473435">
        <w:rPr>
          <w:lang w:val="en-GB"/>
        </w:rPr>
        <w:t>GRE</w:t>
      </w:r>
      <w:r w:rsidRPr="00473435">
        <w:t>-75-16</w:t>
      </w:r>
    </w:p>
    <w:p w:rsidR="00473435" w:rsidRPr="00473435" w:rsidRDefault="00473435" w:rsidP="00727A63">
      <w:pPr>
        <w:pStyle w:val="H1GR"/>
      </w:pPr>
      <w:r w:rsidRPr="00473435">
        <w:tab/>
        <w:t>9.</w:t>
      </w:r>
      <w:r w:rsidRPr="00473435">
        <w:tab/>
        <w:t>Новые вопросы и позднее представление документов</w:t>
      </w:r>
    </w:p>
    <w:p w:rsidR="00473435" w:rsidRPr="00473435" w:rsidRDefault="00A954BF" w:rsidP="00473435">
      <w:pPr>
        <w:pStyle w:val="SingleTxtGR"/>
      </w:pPr>
      <w:r w:rsidRPr="00D43DA8">
        <w:tab/>
      </w:r>
      <w:proofErr w:type="gramStart"/>
      <w:r w:rsidR="00473435" w:rsidRPr="00473435">
        <w:rPr>
          <w:lang w:val="en-GB"/>
        </w:rPr>
        <w:t>GRE</w:t>
      </w:r>
      <w:r w:rsidR="00473435" w:rsidRPr="00473435">
        <w:t>, возможно, пожелает рассмотреть новые вопросы и/или документы, которые могут быть представлены после выпуска аннотированной предвар</w:t>
      </w:r>
      <w:r w:rsidR="00473435" w:rsidRPr="00473435">
        <w:t>и</w:t>
      </w:r>
      <w:r w:rsidR="00473435" w:rsidRPr="00473435">
        <w:t>тельной повестки дня.</w:t>
      </w:r>
      <w:proofErr w:type="gramEnd"/>
    </w:p>
    <w:p w:rsidR="00473435" w:rsidRPr="00473435" w:rsidRDefault="00727A63" w:rsidP="00473435">
      <w:pPr>
        <w:pStyle w:val="SingleTxtGR"/>
      </w:pPr>
      <w:r>
        <w:tab/>
      </w:r>
      <w:r w:rsidR="00473435" w:rsidRPr="00473435">
        <w:t xml:space="preserve">На своей предыдущей сессии </w:t>
      </w:r>
      <w:r w:rsidR="00473435" w:rsidRPr="00473435">
        <w:rPr>
          <w:lang w:val="en-GB"/>
        </w:rPr>
        <w:t>GRE</w:t>
      </w:r>
      <w:r w:rsidR="00473435" w:rsidRPr="00473435">
        <w:t xml:space="preserve"> решила возобновить дискуссию по в</w:t>
      </w:r>
      <w:r w:rsidR="00473435" w:rsidRPr="00473435">
        <w:t>о</w:t>
      </w:r>
      <w:r w:rsidR="00473435" w:rsidRPr="00473435">
        <w:t>просу об эффективности автомобильных систем, в частности тех из них, в к</w:t>
      </w:r>
      <w:r w:rsidR="00473435" w:rsidRPr="00473435">
        <w:t>о</w:t>
      </w:r>
      <w:r w:rsidR="00473435" w:rsidRPr="00473435">
        <w:t>торых используется программное обеспечение, в других условиях, помимо апробированных в рамках процедур испытаний на официальное утверждение типа (</w:t>
      </w:r>
      <w:r w:rsidR="00473435" w:rsidRPr="00473435">
        <w:rPr>
          <w:lang w:val="en-GB"/>
        </w:rPr>
        <w:t>ECE</w:t>
      </w:r>
      <w:r w:rsidR="00473435" w:rsidRPr="00473435">
        <w:t>/</w:t>
      </w:r>
      <w:r w:rsidR="00473435" w:rsidRPr="00473435">
        <w:rPr>
          <w:lang w:val="en-GB"/>
        </w:rPr>
        <w:t>TRANS</w:t>
      </w:r>
      <w:r w:rsidR="00473435" w:rsidRPr="00473435">
        <w:t>/</w:t>
      </w:r>
      <w:r w:rsidR="00473435" w:rsidRPr="00473435">
        <w:rPr>
          <w:lang w:val="en-GB"/>
        </w:rPr>
        <w:t>WP</w:t>
      </w:r>
      <w:r w:rsidR="00473435" w:rsidRPr="00473435">
        <w:t>.29/</w:t>
      </w:r>
      <w:r w:rsidR="00473435" w:rsidRPr="00473435">
        <w:rPr>
          <w:lang w:val="en-GB"/>
        </w:rPr>
        <w:t>GRE</w:t>
      </w:r>
      <w:r w:rsidR="00473435" w:rsidRPr="00473435">
        <w:t xml:space="preserve">/76, пункт 42). </w:t>
      </w:r>
    </w:p>
    <w:p w:rsidR="00473435" w:rsidRPr="00473435" w:rsidRDefault="00473435" w:rsidP="00473435">
      <w:pPr>
        <w:pStyle w:val="SingleTxtGR"/>
      </w:pPr>
      <w:r w:rsidRPr="00473435">
        <w:rPr>
          <w:b/>
        </w:rPr>
        <w:t>Документация:</w:t>
      </w:r>
      <w:r w:rsidRPr="00473435">
        <w:rPr>
          <w:b/>
        </w:rPr>
        <w:tab/>
      </w:r>
      <w:r w:rsidRPr="00473435">
        <w:t xml:space="preserve">неофициальные документы </w:t>
      </w:r>
      <w:r w:rsidRPr="00473435">
        <w:rPr>
          <w:lang w:val="en-US"/>
        </w:rPr>
        <w:t>WP</w:t>
      </w:r>
      <w:r w:rsidRPr="00473435">
        <w:t xml:space="preserve">.29-168-15 и </w:t>
      </w:r>
      <w:r w:rsidRPr="00473435">
        <w:rPr>
          <w:lang w:val="en-US"/>
        </w:rPr>
        <w:t>WP</w:t>
      </w:r>
      <w:r w:rsidRPr="00473435">
        <w:t>.29-169-13</w:t>
      </w:r>
    </w:p>
    <w:p w:rsidR="00473435" w:rsidRPr="00473435" w:rsidRDefault="00473435" w:rsidP="00727A63">
      <w:pPr>
        <w:pStyle w:val="H1GR"/>
      </w:pPr>
      <w:r w:rsidRPr="00473435">
        <w:tab/>
        <w:t>10.</w:t>
      </w:r>
      <w:r w:rsidRPr="00473435">
        <w:tab/>
        <w:t xml:space="preserve">Направления будущей работы </w:t>
      </w:r>
      <w:r w:rsidRPr="00473435">
        <w:rPr>
          <w:lang w:val="en-GB"/>
        </w:rPr>
        <w:t>GRE</w:t>
      </w:r>
    </w:p>
    <w:p w:rsidR="00473435" w:rsidRPr="00473435" w:rsidRDefault="00473435" w:rsidP="00473435">
      <w:pPr>
        <w:pStyle w:val="SingleTxtGR"/>
      </w:pPr>
      <w:r w:rsidRPr="00473435">
        <w:tab/>
      </w:r>
      <w:proofErr w:type="gramStart"/>
      <w:r w:rsidRPr="00473435">
        <w:rPr>
          <w:bCs/>
          <w:lang w:val="en-GB"/>
        </w:rPr>
        <w:t>GRE</w:t>
      </w:r>
      <w:r w:rsidRPr="00473435">
        <w:rPr>
          <w:bCs/>
        </w:rPr>
        <w:t>, возможно, пожелает заслушать информацию о деятельности цел</w:t>
      </w:r>
      <w:r w:rsidRPr="00473435">
        <w:rPr>
          <w:bCs/>
        </w:rPr>
        <w:t>е</w:t>
      </w:r>
      <w:r w:rsidRPr="00473435">
        <w:rPr>
          <w:bCs/>
        </w:rPr>
        <w:t>вых групп БРГ и при необходимости дать соответствующие указания</w:t>
      </w:r>
      <w:r w:rsidRPr="00473435">
        <w:t>.</w:t>
      </w:r>
      <w:proofErr w:type="gramEnd"/>
      <w:r w:rsidRPr="00473435">
        <w:t xml:space="preserve"> </w:t>
      </w:r>
    </w:p>
    <w:p w:rsidR="00473435" w:rsidRPr="00473435" w:rsidRDefault="00473435" w:rsidP="00727A63">
      <w:pPr>
        <w:pStyle w:val="H1GR"/>
      </w:pPr>
      <w:r w:rsidRPr="00473435">
        <w:tab/>
        <w:t>11.</w:t>
      </w:r>
      <w:r w:rsidRPr="00473435">
        <w:tab/>
        <w:t>Предварительная повестка следующей сессии</w:t>
      </w:r>
    </w:p>
    <w:p w:rsidR="002C1EE7" w:rsidRDefault="00473435" w:rsidP="00473435">
      <w:pPr>
        <w:pStyle w:val="SingleTxtGR"/>
      </w:pPr>
      <w:r w:rsidRPr="00473435">
        <w:tab/>
      </w:r>
      <w:proofErr w:type="gramStart"/>
      <w:r w:rsidRPr="00473435">
        <w:rPr>
          <w:lang w:val="en-GB"/>
        </w:rPr>
        <w:t>GRE</w:t>
      </w:r>
      <w:r w:rsidRPr="00473435">
        <w:t>, возможно, пожелает дать указания по предварительной повестке дня следующей сессии.</w:t>
      </w:r>
      <w:proofErr w:type="gramEnd"/>
    </w:p>
    <w:p w:rsidR="002C1EE7" w:rsidRPr="00727A63" w:rsidRDefault="00727A63" w:rsidP="00727A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1EE7" w:rsidRPr="00727A6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AA" w:rsidRDefault="004907AA" w:rsidP="00B471C5">
      <w:r>
        <w:separator/>
      </w:r>
    </w:p>
  </w:endnote>
  <w:endnote w:type="continuationSeparator" w:id="0">
    <w:p w:rsidR="004907AA" w:rsidRDefault="004907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43DA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257D93">
      <w:rPr>
        <w:lang w:val="en-US"/>
      </w:rPr>
      <w:t>7</w:t>
    </w:r>
    <w:r>
      <w:rPr>
        <w:lang w:val="en-US"/>
      </w:rPr>
      <w:t>-</w:t>
    </w:r>
    <w:r w:rsidR="00257D93">
      <w:rPr>
        <w:lang w:val="en-US"/>
      </w:rPr>
      <w:t>00702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257D93">
      <w:rPr>
        <w:lang w:val="en-US"/>
      </w:rPr>
      <w:t>7</w:t>
    </w:r>
    <w:r>
      <w:rPr>
        <w:lang w:val="en-US"/>
      </w:rPr>
      <w:t>-</w:t>
    </w:r>
    <w:r w:rsidR="00257D93">
      <w:rPr>
        <w:lang w:val="en-US"/>
      </w:rPr>
      <w:t>00702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43DA8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57D9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257D93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257D93">
            <w:rPr>
              <w:lang w:val="en-US"/>
            </w:rPr>
            <w:t>00702</w:t>
          </w:r>
          <w:r w:rsidRPr="001C3ABC">
            <w:rPr>
              <w:lang w:val="en-US"/>
            </w:rPr>
            <w:t xml:space="preserve"> (R)</w:t>
          </w:r>
          <w:r w:rsidR="00BD2942">
            <w:rPr>
              <w:lang w:val="en-US"/>
            </w:rPr>
            <w:t xml:space="preserve">  </w:t>
          </w:r>
          <w:r w:rsidR="00257D93">
            <w:rPr>
              <w:lang w:val="en-US"/>
            </w:rPr>
            <w:t>310117  010217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79871CF4" wp14:editId="4F6EC63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57D93" w:rsidP="007B199D">
          <w:pPr>
            <w:jc w:val="right"/>
          </w:pPr>
          <w:r>
            <w:rPr>
              <w:rFonts w:ascii="C39T30Lfz" w:hAnsi="C39T30Lfz"/>
              <w:noProof/>
              <w:sz w:val="56"/>
              <w:lang w:val="en-US"/>
            </w:rPr>
            <w:drawing>
              <wp:anchor distT="0" distB="0" distL="114300" distR="114300" simplePos="0" relativeHeight="251659264" behindDoc="0" locked="0" layoutInCell="1" allowOverlap="1" wp14:anchorId="67B6CBF9" wp14:editId="6ABBFECC">
                <wp:simplePos x="0" y="0"/>
                <wp:positionH relativeFrom="margin">
                  <wp:posOffset>-39370</wp:posOffset>
                </wp:positionH>
                <wp:positionV relativeFrom="margin">
                  <wp:posOffset>-22225</wp:posOffset>
                </wp:positionV>
                <wp:extent cx="640080" cy="640080"/>
                <wp:effectExtent l="0" t="0" r="7620" b="7620"/>
                <wp:wrapNone/>
                <wp:docPr id="3" name="Picture 1" descr="http://undocs.org/m2/QRCode.ashx?DS=ECE/TRANS/WP.29/GRE/2017/1&amp;Size=2 &amp;Lang=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7/1&amp;Size=2 &amp;Lang=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57D93" w:rsidRDefault="00257D9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>
            <w:rPr>
              <w:rFonts w:ascii="C39T30Lfz" w:hAnsi="C39T30Lfz"/>
              <w:sz w:val="56"/>
            </w:rPr>
            <w:t></w:t>
          </w:r>
          <w:r>
            <w:rPr>
              <w:rFonts w:ascii="C39T30Lfz" w:hAnsi="C39T30Lfz"/>
              <w:sz w:val="56"/>
            </w:rPr>
            <w:t></w:t>
          </w:r>
          <w:r>
            <w:rPr>
              <w:rFonts w:ascii="C39T30Lfz" w:hAnsi="C39T30Lfz"/>
              <w:sz w:val="56"/>
            </w:rPr>
            <w:t></w:t>
          </w:r>
          <w:r>
            <w:rPr>
              <w:rFonts w:ascii="C39T30Lfz" w:hAnsi="C39T30Lfz"/>
              <w:sz w:val="56"/>
            </w:rPr>
            <w:t></w:t>
          </w:r>
          <w:r>
            <w:rPr>
              <w:rFonts w:ascii="C39T30Lfz" w:hAnsi="C39T30Lfz"/>
              <w:sz w:val="56"/>
            </w:rPr>
            <w:t></w:t>
          </w:r>
          <w:r>
            <w:rPr>
              <w:rFonts w:ascii="C39T30Lfz" w:hAnsi="C39T30Lfz"/>
              <w:sz w:val="56"/>
            </w:rPr>
            <w:t></w:t>
          </w:r>
          <w:r>
            <w:rPr>
              <w:rFonts w:ascii="C39T30Lfz" w:hAnsi="C39T30Lfz"/>
              <w:sz w:val="56"/>
            </w:rPr>
            <w:t></w:t>
          </w:r>
          <w:r>
            <w:rPr>
              <w:rFonts w:ascii="C39T30Lfz" w:hAnsi="C39T30Lfz"/>
              <w:sz w:val="56"/>
            </w:rPr>
            <w:t></w:t>
          </w:r>
          <w:r>
            <w:rPr>
              <w:rFonts w:ascii="C39T30Lfz" w:hAnsi="C39T30Lfz"/>
              <w:sz w:val="56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AA" w:rsidRPr="009141DC" w:rsidRDefault="004907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907AA" w:rsidRPr="00D1261C" w:rsidRDefault="004907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73435" w:rsidRPr="00607817" w:rsidRDefault="00473435" w:rsidP="00607817">
      <w:pPr>
        <w:pStyle w:val="aa"/>
        <w:rPr>
          <w:lang w:val="ru-RU"/>
        </w:rPr>
      </w:pPr>
      <w:r w:rsidRPr="008A1A0C">
        <w:rPr>
          <w:rStyle w:val="a6"/>
          <w:lang w:val="ru-RU"/>
        </w:rPr>
        <w:tab/>
      </w:r>
      <w:r w:rsidRPr="00607817">
        <w:rPr>
          <w:rStyle w:val="a6"/>
          <w:sz w:val="20"/>
          <w:vertAlign w:val="baseline"/>
          <w:lang w:val="ru-RU"/>
        </w:rPr>
        <w:t>*</w:t>
      </w:r>
      <w:r w:rsidRPr="008A1A0C">
        <w:rPr>
          <w:rStyle w:val="a6"/>
          <w:sz w:val="20"/>
          <w:lang w:val="ru-RU"/>
        </w:rPr>
        <w:tab/>
      </w:r>
      <w:r w:rsidRPr="008A1A0C">
        <w:rPr>
          <w:lang w:val="ru-RU"/>
        </w:rPr>
        <w:t xml:space="preserve">По </w:t>
      </w:r>
      <w:r w:rsidR="00617A47">
        <w:rPr>
          <w:lang w:val="ru-RU"/>
        </w:rPr>
        <w:t>соображениям</w:t>
      </w:r>
      <w:r w:rsidRPr="008A1A0C">
        <w:rPr>
          <w:lang w:val="ru-RU"/>
        </w:rPr>
        <w:t xml:space="preserve"> экономии делегатов просят приносить с собой на заседания все соответствующие документы. </w:t>
      </w:r>
      <w:r w:rsidRPr="004C5C4F">
        <w:rPr>
          <w:lang w:val="ru-RU"/>
        </w:rPr>
        <w:t>В зале заседаний никак</w:t>
      </w:r>
      <w:r>
        <w:rPr>
          <w:lang w:val="ru-RU"/>
        </w:rPr>
        <w:t>ой</w:t>
      </w:r>
      <w:r w:rsidRPr="004C5C4F">
        <w:rPr>
          <w:lang w:val="ru-RU"/>
        </w:rPr>
        <w:t xml:space="preserve"> документаци</w:t>
      </w:r>
      <w:r>
        <w:rPr>
          <w:lang w:val="ru-RU"/>
        </w:rPr>
        <w:t>и</w:t>
      </w:r>
      <w:r w:rsidRPr="004C5C4F">
        <w:rPr>
          <w:lang w:val="ru-RU"/>
        </w:rPr>
        <w:t xml:space="preserve"> распространяться не будет. До сессии документы можно загрузить с веб-сайта Отдела устойчивого транспорта ЕЭК ООН </w:t>
      </w:r>
      <w:r w:rsidRPr="00607817">
        <w:rPr>
          <w:lang w:val="ru-RU"/>
        </w:rPr>
        <w:t>(</w:t>
      </w:r>
      <w:r w:rsidR="00D43DA8">
        <w:fldChar w:fldCharType="begin"/>
      </w:r>
      <w:r w:rsidR="00D43DA8" w:rsidRPr="00D43DA8">
        <w:rPr>
          <w:lang w:val="ru-RU"/>
        </w:rPr>
        <w:instrText xml:space="preserve"> </w:instrText>
      </w:r>
      <w:r w:rsidR="00D43DA8">
        <w:instrText>HYPERLINK</w:instrText>
      </w:r>
      <w:r w:rsidR="00D43DA8" w:rsidRPr="00D43DA8">
        <w:rPr>
          <w:lang w:val="ru-RU"/>
        </w:rPr>
        <w:instrText xml:space="preserve"> "</w:instrText>
      </w:r>
      <w:r w:rsidR="00D43DA8">
        <w:instrText>file</w:instrText>
      </w:r>
      <w:r w:rsidR="00D43DA8" w:rsidRPr="00D43DA8">
        <w:rPr>
          <w:lang w:val="ru-RU"/>
        </w:rPr>
        <w:instrText>:///\\\\</w:instrText>
      </w:r>
      <w:r w:rsidR="00D43DA8">
        <w:instrText>conf</w:instrText>
      </w:r>
      <w:r w:rsidR="00D43DA8" w:rsidRPr="00D43DA8">
        <w:rPr>
          <w:lang w:val="ru-RU"/>
        </w:rPr>
        <w:instrText>-</w:instrText>
      </w:r>
      <w:r w:rsidR="00D43DA8">
        <w:instrText>share</w:instrText>
      </w:r>
      <w:r w:rsidR="00D43DA8" w:rsidRPr="00D43DA8">
        <w:rPr>
          <w:lang w:val="ru-RU"/>
        </w:rPr>
        <w:instrText>1\\</w:instrText>
      </w:r>
      <w:r w:rsidR="00D43DA8">
        <w:instrText>LS</w:instrText>
      </w:r>
      <w:r w:rsidR="00D43DA8" w:rsidRPr="00D43DA8">
        <w:rPr>
          <w:lang w:val="ru-RU"/>
        </w:rPr>
        <w:instrText>\\</w:instrText>
      </w:r>
      <w:r w:rsidR="00D43DA8">
        <w:instrText>RUS</w:instrText>
      </w:r>
      <w:r w:rsidR="00D43DA8" w:rsidRPr="00D43DA8">
        <w:rPr>
          <w:lang w:val="ru-RU"/>
        </w:rPr>
        <w:instrText>\\</w:instrText>
      </w:r>
      <w:r w:rsidR="00D43DA8">
        <w:instrText>COMMON</w:instrText>
      </w:r>
      <w:r w:rsidR="00D43DA8" w:rsidRPr="00D43DA8">
        <w:rPr>
          <w:lang w:val="ru-RU"/>
        </w:rPr>
        <w:instrText>\\</w:instrText>
      </w:r>
      <w:r w:rsidR="00D43DA8">
        <w:instrText>MSWDocs</w:instrText>
      </w:r>
      <w:r w:rsidR="00D43DA8" w:rsidRPr="00D43DA8">
        <w:rPr>
          <w:lang w:val="ru-RU"/>
        </w:rPr>
        <w:instrText>\\_2</w:instrText>
      </w:r>
      <w:r w:rsidR="00D43DA8">
        <w:instrText>Semifinal</w:instrText>
      </w:r>
      <w:r w:rsidR="00D43DA8" w:rsidRPr="00D43DA8">
        <w:rPr>
          <w:lang w:val="ru-RU"/>
        </w:rPr>
        <w:instrText>\\</w:instrText>
      </w:r>
      <w:r w:rsidR="00D43DA8">
        <w:instrText>www</w:instrText>
      </w:r>
      <w:r w:rsidR="00D43DA8" w:rsidRPr="00D43DA8">
        <w:rPr>
          <w:lang w:val="ru-RU"/>
        </w:rPr>
        <w:instrText>.</w:instrText>
      </w:r>
      <w:r w:rsidR="00D43DA8">
        <w:instrText>unece</w:instrText>
      </w:r>
      <w:r w:rsidR="00D43DA8" w:rsidRPr="00D43DA8">
        <w:rPr>
          <w:lang w:val="ru-RU"/>
        </w:rPr>
        <w:instrText>.</w:instrText>
      </w:r>
      <w:r w:rsidR="00D43DA8">
        <w:instrText>org</w:instrText>
      </w:r>
      <w:r w:rsidR="00D43DA8" w:rsidRPr="00D43DA8">
        <w:rPr>
          <w:lang w:val="ru-RU"/>
        </w:rPr>
        <w:instrText>\\</w:instrText>
      </w:r>
      <w:r w:rsidR="00D43DA8">
        <w:instrText>trans</w:instrText>
      </w:r>
      <w:r w:rsidR="00D43DA8" w:rsidRPr="00D43DA8">
        <w:rPr>
          <w:lang w:val="ru-RU"/>
        </w:rPr>
        <w:instrText>\\</w:instrText>
      </w:r>
      <w:r w:rsidR="00D43DA8">
        <w:instrText>main</w:instrText>
      </w:r>
      <w:r w:rsidR="00D43DA8" w:rsidRPr="00D43DA8">
        <w:rPr>
          <w:lang w:val="ru-RU"/>
        </w:rPr>
        <w:instrText>\\</w:instrText>
      </w:r>
      <w:r w:rsidR="00D43DA8">
        <w:instrText>wp</w:instrText>
      </w:r>
      <w:r w:rsidR="00D43DA8" w:rsidRPr="00D43DA8">
        <w:rPr>
          <w:lang w:val="ru-RU"/>
        </w:rPr>
        <w:instrText>29\\</w:instrText>
      </w:r>
      <w:r w:rsidR="00D43DA8">
        <w:instrText>wp</w:instrText>
      </w:r>
      <w:r w:rsidR="00D43DA8" w:rsidRPr="00D43DA8">
        <w:rPr>
          <w:lang w:val="ru-RU"/>
        </w:rPr>
        <w:instrText>29</w:instrText>
      </w:r>
      <w:r w:rsidR="00D43DA8">
        <w:instrText>wgs</w:instrText>
      </w:r>
      <w:r w:rsidR="00D43DA8" w:rsidRPr="00D43DA8">
        <w:rPr>
          <w:lang w:val="ru-RU"/>
        </w:rPr>
        <w:instrText>\\</w:instrText>
      </w:r>
      <w:r w:rsidR="00D43DA8">
        <w:instrText>wp</w:instrText>
      </w:r>
      <w:r w:rsidR="00D43DA8" w:rsidRPr="00D43DA8">
        <w:rPr>
          <w:lang w:val="ru-RU"/>
        </w:rPr>
        <w:instrText>29</w:instrText>
      </w:r>
      <w:r w:rsidR="00D43DA8">
        <w:instrText>gre</w:instrText>
      </w:r>
      <w:r w:rsidR="00D43DA8" w:rsidRPr="00D43DA8">
        <w:rPr>
          <w:lang w:val="ru-RU"/>
        </w:rPr>
        <w:instrText>\\</w:instrText>
      </w:r>
      <w:r w:rsidR="00D43DA8">
        <w:instrText>greage</w:instrText>
      </w:r>
      <w:r w:rsidR="00D43DA8" w:rsidRPr="00D43DA8">
        <w:rPr>
          <w:lang w:val="ru-RU"/>
        </w:rPr>
        <w:instrText>.</w:instrText>
      </w:r>
      <w:r w:rsidR="00D43DA8">
        <w:instrText>html</w:instrText>
      </w:r>
      <w:r w:rsidR="00D43DA8" w:rsidRPr="00D43DA8">
        <w:rPr>
          <w:lang w:val="ru-RU"/>
        </w:rPr>
        <w:instrText xml:space="preserve">" </w:instrText>
      </w:r>
      <w:r w:rsidR="00D43DA8">
        <w:fldChar w:fldCharType="separate"/>
      </w:r>
      <w:r w:rsidRPr="00607817">
        <w:rPr>
          <w:rStyle w:val="af"/>
          <w:color w:val="auto"/>
          <w:u w:val="none"/>
        </w:rPr>
        <w:t>www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unece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org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trans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main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wp</w:t>
      </w:r>
      <w:r w:rsidRPr="00607817">
        <w:rPr>
          <w:rStyle w:val="af"/>
          <w:color w:val="auto"/>
          <w:u w:val="none"/>
          <w:lang w:val="ru-RU"/>
        </w:rPr>
        <w:t>29/</w:t>
      </w:r>
      <w:r w:rsidRPr="00607817">
        <w:rPr>
          <w:rStyle w:val="af"/>
          <w:color w:val="auto"/>
          <w:u w:val="none"/>
        </w:rPr>
        <w:t>wp</w:t>
      </w:r>
      <w:r w:rsidRPr="00607817">
        <w:rPr>
          <w:rStyle w:val="af"/>
          <w:color w:val="auto"/>
          <w:u w:val="none"/>
          <w:lang w:val="ru-RU"/>
        </w:rPr>
        <w:t>29</w:t>
      </w:r>
      <w:r w:rsidRPr="00607817">
        <w:rPr>
          <w:rStyle w:val="af"/>
          <w:color w:val="auto"/>
          <w:u w:val="none"/>
        </w:rPr>
        <w:t>wgs</w:t>
      </w:r>
      <w:r w:rsidRPr="00607817">
        <w:rPr>
          <w:rStyle w:val="af"/>
          <w:color w:val="auto"/>
          <w:u w:val="none"/>
          <w:lang w:val="ru-RU"/>
        </w:rPr>
        <w:t>/</w:t>
      </w:r>
      <w:r w:rsidR="00617A47">
        <w:rPr>
          <w:rStyle w:val="af"/>
          <w:color w:val="auto"/>
          <w:u w:val="none"/>
          <w:lang w:val="ru-RU"/>
        </w:rPr>
        <w:t xml:space="preserve"> </w:t>
      </w:r>
      <w:r w:rsidRPr="00607817">
        <w:rPr>
          <w:rStyle w:val="af"/>
          <w:color w:val="auto"/>
          <w:u w:val="none"/>
        </w:rPr>
        <w:t>wp</w:t>
      </w:r>
      <w:r w:rsidRPr="00607817">
        <w:rPr>
          <w:rStyle w:val="af"/>
          <w:color w:val="auto"/>
          <w:u w:val="none"/>
          <w:lang w:val="ru-RU"/>
        </w:rPr>
        <w:t>29</w:t>
      </w:r>
      <w:r w:rsidRPr="00607817">
        <w:rPr>
          <w:rStyle w:val="af"/>
          <w:color w:val="auto"/>
          <w:u w:val="none"/>
        </w:rPr>
        <w:t>gre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greage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html</w:t>
      </w:r>
      <w:r w:rsidR="00D43DA8">
        <w:rPr>
          <w:rStyle w:val="af"/>
          <w:color w:val="auto"/>
          <w:u w:val="none"/>
        </w:rPr>
        <w:fldChar w:fldCharType="end"/>
      </w:r>
      <w:r w:rsidRPr="00607817">
        <w:rPr>
          <w:lang w:val="ru-RU"/>
        </w:rPr>
        <w:t>). В порядке исключения документы можно также получить по электронной почте (</w:t>
      </w:r>
      <w:r w:rsidR="00D43DA8">
        <w:fldChar w:fldCharType="begin"/>
      </w:r>
      <w:r w:rsidR="00D43DA8" w:rsidRPr="00D43DA8">
        <w:rPr>
          <w:lang w:val="ru-RU"/>
        </w:rPr>
        <w:instrText xml:space="preserve"> </w:instrText>
      </w:r>
      <w:r w:rsidR="00D43DA8">
        <w:instrText>HYPERLINK</w:instrText>
      </w:r>
      <w:r w:rsidR="00D43DA8" w:rsidRPr="00D43DA8">
        <w:rPr>
          <w:lang w:val="ru-RU"/>
        </w:rPr>
        <w:instrText xml:space="preserve"> "</w:instrText>
      </w:r>
      <w:r w:rsidR="00D43DA8">
        <w:instrText>mailto</w:instrText>
      </w:r>
      <w:r w:rsidR="00D43DA8" w:rsidRPr="00D43DA8">
        <w:rPr>
          <w:lang w:val="ru-RU"/>
        </w:rPr>
        <w:instrText>:</w:instrText>
      </w:r>
      <w:r w:rsidR="00D43DA8">
        <w:instrText>gre</w:instrText>
      </w:r>
      <w:r w:rsidR="00D43DA8" w:rsidRPr="00D43DA8">
        <w:rPr>
          <w:lang w:val="ru-RU"/>
        </w:rPr>
        <w:instrText>@</w:instrText>
      </w:r>
      <w:r w:rsidR="00D43DA8">
        <w:instrText>unece</w:instrText>
      </w:r>
      <w:r w:rsidR="00D43DA8" w:rsidRPr="00D43DA8">
        <w:rPr>
          <w:lang w:val="ru-RU"/>
        </w:rPr>
        <w:instrText>.</w:instrText>
      </w:r>
      <w:r w:rsidR="00D43DA8">
        <w:instrText>org</w:instrText>
      </w:r>
      <w:r w:rsidR="00D43DA8" w:rsidRPr="00D43DA8">
        <w:rPr>
          <w:lang w:val="ru-RU"/>
        </w:rPr>
        <w:instrText xml:space="preserve">" </w:instrText>
      </w:r>
      <w:r w:rsidR="00D43DA8">
        <w:fldChar w:fldCharType="separate"/>
      </w:r>
      <w:r w:rsidRPr="00607817">
        <w:rPr>
          <w:rStyle w:val="af"/>
          <w:color w:val="auto"/>
          <w:u w:val="none"/>
        </w:rPr>
        <w:t>gre</w:t>
      </w:r>
      <w:r w:rsidRPr="00607817">
        <w:rPr>
          <w:rStyle w:val="af"/>
          <w:color w:val="auto"/>
          <w:u w:val="none"/>
          <w:lang w:val="ru-RU"/>
        </w:rPr>
        <w:t>@</w:t>
      </w:r>
      <w:r w:rsidRPr="00607817">
        <w:rPr>
          <w:rStyle w:val="af"/>
          <w:color w:val="auto"/>
          <w:u w:val="none"/>
        </w:rPr>
        <w:t>unece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org</w:t>
      </w:r>
      <w:r w:rsidR="00D43DA8">
        <w:rPr>
          <w:rStyle w:val="af"/>
          <w:color w:val="auto"/>
          <w:u w:val="none"/>
        </w:rPr>
        <w:fldChar w:fldCharType="end"/>
      </w:r>
      <w:r w:rsidRPr="00607817">
        <w:rPr>
          <w:lang w:val="ru-RU"/>
        </w:rPr>
        <w:t xml:space="preserve">) или по факсу (+41 22 917 00 39). В ходе сессии официальные документы можно получить в Секции распространения документов ЮНОГ (комната </w:t>
      </w:r>
      <w:r w:rsidRPr="00607817">
        <w:t>C</w:t>
      </w:r>
      <w:r w:rsidRPr="00607817">
        <w:rPr>
          <w:lang w:val="ru-RU"/>
        </w:rPr>
        <w:t xml:space="preserve">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r w:rsidR="00D43DA8">
        <w:fldChar w:fldCharType="begin"/>
      </w:r>
      <w:r w:rsidR="00D43DA8" w:rsidRPr="00D43DA8">
        <w:rPr>
          <w:lang w:val="ru-RU"/>
        </w:rPr>
        <w:instrText xml:space="preserve"> </w:instrText>
      </w:r>
      <w:r w:rsidR="00D43DA8">
        <w:instrText>HYPERLINK</w:instrText>
      </w:r>
      <w:r w:rsidR="00D43DA8" w:rsidRPr="00D43DA8">
        <w:rPr>
          <w:lang w:val="ru-RU"/>
        </w:rPr>
        <w:instrText xml:space="preserve"> "</w:instrText>
      </w:r>
      <w:r w:rsidR="00D43DA8">
        <w:instrText>http</w:instrText>
      </w:r>
      <w:r w:rsidR="00D43DA8" w:rsidRPr="00D43DA8">
        <w:rPr>
          <w:lang w:val="ru-RU"/>
        </w:rPr>
        <w:instrText>://</w:instrText>
      </w:r>
      <w:r w:rsidR="00D43DA8">
        <w:instrText>documents</w:instrText>
      </w:r>
      <w:r w:rsidR="00D43DA8" w:rsidRPr="00D43DA8">
        <w:rPr>
          <w:lang w:val="ru-RU"/>
        </w:rPr>
        <w:instrText>.</w:instrText>
      </w:r>
      <w:r w:rsidR="00D43DA8">
        <w:instrText>un</w:instrText>
      </w:r>
      <w:r w:rsidR="00D43DA8" w:rsidRPr="00D43DA8">
        <w:rPr>
          <w:lang w:val="ru-RU"/>
        </w:rPr>
        <w:instrText>.</w:instrText>
      </w:r>
      <w:r w:rsidR="00D43DA8">
        <w:instrText>org</w:instrText>
      </w:r>
      <w:r w:rsidR="00D43DA8" w:rsidRPr="00D43DA8">
        <w:rPr>
          <w:lang w:val="ru-RU"/>
        </w:rPr>
        <w:instrText xml:space="preserve">/" </w:instrText>
      </w:r>
      <w:r w:rsidR="00D43DA8">
        <w:fldChar w:fldCharType="separate"/>
      </w:r>
      <w:r w:rsidRPr="00607817">
        <w:rPr>
          <w:rStyle w:val="af"/>
          <w:color w:val="auto"/>
          <w:u w:val="none"/>
        </w:rPr>
        <w:t>documents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un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org</w:t>
      </w:r>
      <w:r w:rsidRPr="00607817">
        <w:rPr>
          <w:rStyle w:val="af"/>
          <w:color w:val="auto"/>
          <w:u w:val="none"/>
          <w:lang w:val="ru-RU"/>
        </w:rPr>
        <w:t>/</w:t>
      </w:r>
      <w:r w:rsidR="00D43DA8">
        <w:rPr>
          <w:rStyle w:val="af"/>
          <w:color w:val="auto"/>
          <w:u w:val="none"/>
          <w:lang w:val="ru-RU"/>
        </w:rPr>
        <w:fldChar w:fldCharType="end"/>
      </w:r>
      <w:r w:rsidR="00617A47">
        <w:rPr>
          <w:rStyle w:val="af"/>
          <w:color w:val="auto"/>
          <w:u w:val="none"/>
          <w:lang w:val="ru-RU"/>
        </w:rPr>
        <w:t>.</w:t>
      </w:r>
    </w:p>
  </w:footnote>
  <w:footnote w:id="2">
    <w:p w:rsidR="00473435" w:rsidRPr="00607817" w:rsidRDefault="00473435" w:rsidP="00473435">
      <w:pPr>
        <w:pStyle w:val="aa"/>
        <w:rPr>
          <w:lang w:val="ru-RU"/>
        </w:rPr>
      </w:pPr>
      <w:r w:rsidRPr="00607817">
        <w:rPr>
          <w:lang w:val="ru-RU"/>
        </w:rPr>
        <w:tab/>
      </w:r>
      <w:r w:rsidRPr="00607817">
        <w:rPr>
          <w:rStyle w:val="a6"/>
          <w:sz w:val="20"/>
          <w:vertAlign w:val="baseline"/>
          <w:lang w:val="ru-RU"/>
        </w:rPr>
        <w:t>**</w:t>
      </w:r>
      <w:r w:rsidRPr="00607817">
        <w:rPr>
          <w:lang w:val="ru-RU"/>
        </w:rPr>
        <w:tab/>
        <w:t>Делегатам предлагается зарегистрироваться онлайн при помощи новой системы регистрации на веб-сайте ЕЭК ООН (</w:t>
      </w:r>
      <w:r w:rsidR="00D43DA8">
        <w:fldChar w:fldCharType="begin"/>
      </w:r>
      <w:r w:rsidR="00D43DA8" w:rsidRPr="00D43DA8">
        <w:rPr>
          <w:lang w:val="ru-RU"/>
        </w:rPr>
        <w:instrText xml:space="preserve"> </w:instrText>
      </w:r>
      <w:r w:rsidR="00D43DA8">
        <w:instrText>HYPERLINK</w:instrText>
      </w:r>
      <w:r w:rsidR="00D43DA8" w:rsidRPr="00D43DA8">
        <w:rPr>
          <w:lang w:val="ru-RU"/>
        </w:rPr>
        <w:instrText xml:space="preserve"> "</w:instrText>
      </w:r>
      <w:r w:rsidR="00D43DA8">
        <w:instrText>https</w:instrText>
      </w:r>
      <w:r w:rsidR="00D43DA8" w:rsidRPr="00D43DA8">
        <w:rPr>
          <w:lang w:val="ru-RU"/>
        </w:rPr>
        <w:instrText>://</w:instrText>
      </w:r>
      <w:r w:rsidR="00D43DA8">
        <w:instrText>www</w:instrText>
      </w:r>
      <w:r w:rsidR="00D43DA8" w:rsidRPr="00D43DA8">
        <w:rPr>
          <w:lang w:val="ru-RU"/>
        </w:rPr>
        <w:instrText>2.</w:instrText>
      </w:r>
      <w:r w:rsidR="00D43DA8">
        <w:instrText>unece</w:instrText>
      </w:r>
      <w:r w:rsidR="00D43DA8" w:rsidRPr="00D43DA8">
        <w:rPr>
          <w:lang w:val="ru-RU"/>
        </w:rPr>
        <w:instrText>.</w:instrText>
      </w:r>
      <w:r w:rsidR="00D43DA8">
        <w:instrText>org</w:instrText>
      </w:r>
      <w:r w:rsidR="00D43DA8" w:rsidRPr="00D43DA8">
        <w:rPr>
          <w:lang w:val="ru-RU"/>
        </w:rPr>
        <w:instrText>/</w:instrText>
      </w:r>
      <w:r w:rsidR="00D43DA8">
        <w:instrText>uncdb</w:instrText>
      </w:r>
      <w:r w:rsidR="00D43DA8" w:rsidRPr="00D43DA8">
        <w:rPr>
          <w:lang w:val="ru-RU"/>
        </w:rPr>
        <w:instrText>/</w:instrText>
      </w:r>
      <w:r w:rsidR="00D43DA8">
        <w:instrText>app</w:instrText>
      </w:r>
      <w:r w:rsidR="00D43DA8" w:rsidRPr="00D43DA8">
        <w:rPr>
          <w:lang w:val="ru-RU"/>
        </w:rPr>
        <w:instrText>/</w:instrText>
      </w:r>
      <w:r w:rsidR="00D43DA8">
        <w:instrText>ext</w:instrText>
      </w:r>
      <w:r w:rsidR="00D43DA8" w:rsidRPr="00D43DA8">
        <w:rPr>
          <w:lang w:val="ru-RU"/>
        </w:rPr>
        <w:instrText>/</w:instrText>
      </w:r>
      <w:r w:rsidR="00D43DA8">
        <w:instrText>meeting</w:instrText>
      </w:r>
      <w:r w:rsidR="00D43DA8" w:rsidRPr="00D43DA8">
        <w:rPr>
          <w:lang w:val="ru-RU"/>
        </w:rPr>
        <w:instrText>-</w:instrText>
      </w:r>
      <w:r w:rsidR="00D43DA8">
        <w:instrText>registration</w:instrText>
      </w:r>
      <w:r w:rsidR="00D43DA8" w:rsidRPr="00D43DA8">
        <w:rPr>
          <w:lang w:val="ru-RU"/>
        </w:rPr>
        <w:instrText>?</w:instrText>
      </w:r>
      <w:r w:rsidR="00D43DA8">
        <w:instrText>id</w:instrText>
      </w:r>
      <w:r w:rsidR="00D43DA8" w:rsidRPr="00D43DA8">
        <w:rPr>
          <w:lang w:val="ru-RU"/>
        </w:rPr>
        <w:instrText>=</w:instrText>
      </w:r>
      <w:r w:rsidR="00D43DA8">
        <w:instrText>mRq</w:instrText>
      </w:r>
      <w:r w:rsidR="00D43DA8" w:rsidRPr="00D43DA8">
        <w:rPr>
          <w:lang w:val="ru-RU"/>
        </w:rPr>
        <w:instrText>0</w:instrText>
      </w:r>
      <w:r w:rsidR="00D43DA8">
        <w:instrText>ti</w:instrText>
      </w:r>
      <w:r w:rsidR="00D43DA8" w:rsidRPr="00D43DA8">
        <w:rPr>
          <w:lang w:val="ru-RU"/>
        </w:rPr>
        <w:instrText xml:space="preserve">" </w:instrText>
      </w:r>
      <w:r w:rsidR="00D43DA8">
        <w:fldChar w:fldCharType="separate"/>
      </w:r>
      <w:r w:rsidRPr="00607817">
        <w:rPr>
          <w:rStyle w:val="af"/>
          <w:color w:val="auto"/>
          <w:u w:val="none"/>
        </w:rPr>
        <w:t>https</w:t>
      </w:r>
      <w:r w:rsidRPr="00607817">
        <w:rPr>
          <w:rStyle w:val="af"/>
          <w:color w:val="auto"/>
          <w:u w:val="none"/>
          <w:lang w:val="ru-RU"/>
        </w:rPr>
        <w:t>://</w:t>
      </w:r>
      <w:r w:rsidRPr="00607817">
        <w:rPr>
          <w:rStyle w:val="af"/>
          <w:color w:val="auto"/>
          <w:u w:val="none"/>
        </w:rPr>
        <w:t>www</w:t>
      </w:r>
      <w:r w:rsidRPr="00607817">
        <w:rPr>
          <w:rStyle w:val="af"/>
          <w:color w:val="auto"/>
          <w:u w:val="none"/>
          <w:lang w:val="ru-RU"/>
        </w:rPr>
        <w:t>2.</w:t>
      </w:r>
      <w:r w:rsidRPr="00607817">
        <w:rPr>
          <w:rStyle w:val="af"/>
          <w:color w:val="auto"/>
          <w:u w:val="none"/>
        </w:rPr>
        <w:t>unece</w:t>
      </w:r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org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uncdb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app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ext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meeting</w:t>
      </w:r>
      <w:r w:rsidRPr="00607817">
        <w:rPr>
          <w:rStyle w:val="af"/>
          <w:color w:val="auto"/>
          <w:u w:val="none"/>
          <w:lang w:val="ru-RU"/>
        </w:rPr>
        <w:t>-</w:t>
      </w:r>
      <w:r w:rsidRPr="00607817">
        <w:rPr>
          <w:rStyle w:val="af"/>
          <w:color w:val="auto"/>
          <w:u w:val="none"/>
        </w:rPr>
        <w:t>registration</w:t>
      </w:r>
      <w:r w:rsidRPr="00607817">
        <w:rPr>
          <w:rStyle w:val="af"/>
          <w:color w:val="auto"/>
          <w:u w:val="none"/>
          <w:lang w:val="ru-RU"/>
        </w:rPr>
        <w:t>?</w:t>
      </w:r>
      <w:r w:rsidRPr="00607817">
        <w:rPr>
          <w:rStyle w:val="af"/>
          <w:color w:val="auto"/>
          <w:u w:val="none"/>
        </w:rPr>
        <w:t>id</w:t>
      </w:r>
      <w:r w:rsidRPr="00607817">
        <w:rPr>
          <w:rStyle w:val="af"/>
          <w:color w:val="auto"/>
          <w:u w:val="none"/>
          <w:lang w:val="ru-RU"/>
        </w:rPr>
        <w:t>=</w:t>
      </w:r>
      <w:r w:rsidRPr="00607817">
        <w:rPr>
          <w:rStyle w:val="af"/>
          <w:color w:val="auto"/>
          <w:u w:val="none"/>
        </w:rPr>
        <w:t>mRq</w:t>
      </w:r>
      <w:r w:rsidRPr="00607817">
        <w:rPr>
          <w:rStyle w:val="af"/>
          <w:color w:val="auto"/>
          <w:u w:val="none"/>
          <w:lang w:val="ru-RU"/>
        </w:rPr>
        <w:t>0</w:t>
      </w:r>
      <w:r w:rsidRPr="00607817">
        <w:rPr>
          <w:rStyle w:val="af"/>
          <w:color w:val="auto"/>
          <w:u w:val="none"/>
        </w:rPr>
        <w:t>ti</w:t>
      </w:r>
      <w:r w:rsidR="00D43DA8">
        <w:rPr>
          <w:rStyle w:val="af"/>
          <w:color w:val="auto"/>
          <w:u w:val="none"/>
        </w:rPr>
        <w:fldChar w:fldCharType="end"/>
      </w:r>
      <w:r w:rsidRPr="00607817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607817">
        <w:rPr>
          <w:lang w:val="ru-RU"/>
        </w:rPr>
        <w:t>Прени</w:t>
      </w:r>
      <w:proofErr w:type="spellEnd"/>
      <w:r w:rsidRPr="00607817">
        <w:rPr>
          <w:lang w:val="ru-RU"/>
        </w:rPr>
        <w:t xml:space="preserve"> (</w:t>
      </w:r>
      <w:proofErr w:type="spellStart"/>
      <w:r w:rsidRPr="00607817">
        <w:t>Pregny</w:t>
      </w:r>
      <w:proofErr w:type="spellEnd"/>
      <w:r w:rsidRPr="00607817">
        <w:rPr>
          <w:lang w:val="ru-RU"/>
        </w:rPr>
        <w:t xml:space="preserve"> </w:t>
      </w:r>
      <w:r w:rsidRPr="00607817">
        <w:t>Gate</w:t>
      </w:r>
      <w:r w:rsidRPr="00607817">
        <w:rPr>
          <w:lang w:val="ru-RU"/>
        </w:rPr>
        <w:t xml:space="preserve"> (14, </w:t>
      </w:r>
      <w:r w:rsidRPr="00607817">
        <w:t>Avenue</w:t>
      </w:r>
      <w:r w:rsidRPr="00607817">
        <w:rPr>
          <w:lang w:val="ru-RU"/>
        </w:rPr>
        <w:t xml:space="preserve"> </w:t>
      </w:r>
      <w:r w:rsidRPr="00607817">
        <w:t>de</w:t>
      </w:r>
      <w:r w:rsidRPr="00607817">
        <w:rPr>
          <w:lang w:val="ru-RU"/>
        </w:rPr>
        <w:t xml:space="preserve"> </w:t>
      </w:r>
      <w:r w:rsidRPr="00607817">
        <w:t>la</w:t>
      </w:r>
      <w:r w:rsidRPr="00607817">
        <w:rPr>
          <w:lang w:val="ru-RU"/>
        </w:rPr>
        <w:t xml:space="preserve"> </w:t>
      </w:r>
      <w:proofErr w:type="spellStart"/>
      <w:r w:rsidRPr="00607817">
        <w:t>Paix</w:t>
      </w:r>
      <w:proofErr w:type="spellEnd"/>
      <w:r w:rsidRPr="00607817">
        <w:rPr>
          <w:lang w:val="ru-RU"/>
        </w:rPr>
        <w:t xml:space="preserve">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веб-сайте: </w:t>
      </w:r>
      <w:r w:rsidR="00D43DA8">
        <w:fldChar w:fldCharType="begin"/>
      </w:r>
      <w:r w:rsidR="00D43DA8" w:rsidRPr="00D43DA8">
        <w:rPr>
          <w:lang w:val="ru-RU"/>
        </w:rPr>
        <w:instrText xml:space="preserve"> </w:instrText>
      </w:r>
      <w:r w:rsidR="00D43DA8">
        <w:instrText>HYPERLINK</w:instrText>
      </w:r>
      <w:r w:rsidR="00D43DA8" w:rsidRPr="00D43DA8">
        <w:rPr>
          <w:lang w:val="ru-RU"/>
        </w:rPr>
        <w:instrText xml:space="preserve"> "</w:instrText>
      </w:r>
      <w:r w:rsidR="00D43DA8">
        <w:instrText>file</w:instrText>
      </w:r>
      <w:r w:rsidR="00D43DA8" w:rsidRPr="00D43DA8">
        <w:rPr>
          <w:lang w:val="ru-RU"/>
        </w:rPr>
        <w:instrText>:///\\\\</w:instrText>
      </w:r>
      <w:r w:rsidR="00D43DA8">
        <w:instrText>conf</w:instrText>
      </w:r>
      <w:r w:rsidR="00D43DA8" w:rsidRPr="00D43DA8">
        <w:rPr>
          <w:lang w:val="ru-RU"/>
        </w:rPr>
        <w:instrText>-</w:instrText>
      </w:r>
      <w:r w:rsidR="00D43DA8">
        <w:instrText>share</w:instrText>
      </w:r>
      <w:r w:rsidR="00D43DA8" w:rsidRPr="00D43DA8">
        <w:rPr>
          <w:lang w:val="ru-RU"/>
        </w:rPr>
        <w:instrText>1\\</w:instrText>
      </w:r>
      <w:r w:rsidR="00D43DA8">
        <w:instrText>LS</w:instrText>
      </w:r>
      <w:r w:rsidR="00D43DA8" w:rsidRPr="00D43DA8">
        <w:rPr>
          <w:lang w:val="ru-RU"/>
        </w:rPr>
        <w:instrText>\\</w:instrText>
      </w:r>
      <w:r w:rsidR="00D43DA8">
        <w:instrText>RUS</w:instrText>
      </w:r>
      <w:r w:rsidR="00D43DA8" w:rsidRPr="00D43DA8">
        <w:rPr>
          <w:lang w:val="ru-RU"/>
        </w:rPr>
        <w:instrText>\\</w:instrText>
      </w:r>
      <w:r w:rsidR="00D43DA8">
        <w:instrText>COMMON</w:instrText>
      </w:r>
      <w:r w:rsidR="00D43DA8" w:rsidRPr="00D43DA8">
        <w:rPr>
          <w:lang w:val="ru-RU"/>
        </w:rPr>
        <w:instrText>\\</w:instrText>
      </w:r>
      <w:r w:rsidR="00D43DA8">
        <w:instrText>MSWDocs</w:instrText>
      </w:r>
      <w:r w:rsidR="00D43DA8" w:rsidRPr="00D43DA8">
        <w:rPr>
          <w:lang w:val="ru-RU"/>
        </w:rPr>
        <w:instrText>\\_2</w:instrText>
      </w:r>
      <w:r w:rsidR="00D43DA8">
        <w:instrText>Semifinal</w:instrText>
      </w:r>
      <w:r w:rsidR="00D43DA8" w:rsidRPr="00D43DA8">
        <w:rPr>
          <w:lang w:val="ru-RU"/>
        </w:rPr>
        <w:instrText>\\</w:instrText>
      </w:r>
      <w:r w:rsidR="00D43DA8">
        <w:instrText>www</w:instrText>
      </w:r>
      <w:r w:rsidR="00D43DA8" w:rsidRPr="00D43DA8">
        <w:rPr>
          <w:lang w:val="ru-RU"/>
        </w:rPr>
        <w:instrText>.</w:instrText>
      </w:r>
      <w:r w:rsidR="00D43DA8">
        <w:instrText>unece</w:instrText>
      </w:r>
      <w:r w:rsidR="00D43DA8" w:rsidRPr="00D43DA8">
        <w:rPr>
          <w:lang w:val="ru-RU"/>
        </w:rPr>
        <w:instrText>.</w:instrText>
      </w:r>
      <w:r w:rsidR="00D43DA8">
        <w:instrText>org</w:instrText>
      </w:r>
      <w:r w:rsidR="00D43DA8" w:rsidRPr="00D43DA8">
        <w:rPr>
          <w:lang w:val="ru-RU"/>
        </w:rPr>
        <w:instrText>\\</w:instrText>
      </w:r>
      <w:r w:rsidR="00D43DA8">
        <w:instrText>meetings</w:instrText>
      </w:r>
      <w:r w:rsidR="00D43DA8" w:rsidRPr="00D43DA8">
        <w:rPr>
          <w:lang w:val="ru-RU"/>
        </w:rPr>
        <w:instrText>\\</w:instrText>
      </w:r>
      <w:r w:rsidR="00D43DA8">
        <w:instrText>practical</w:instrText>
      </w:r>
      <w:r w:rsidR="00D43DA8" w:rsidRPr="00D43DA8">
        <w:rPr>
          <w:lang w:val="ru-RU"/>
        </w:rPr>
        <w:instrText>.</w:instrText>
      </w:r>
      <w:r w:rsidR="00D43DA8">
        <w:instrText>htm</w:instrText>
      </w:r>
      <w:r w:rsidR="00D43DA8" w:rsidRPr="00D43DA8">
        <w:rPr>
          <w:lang w:val="ru-RU"/>
        </w:rPr>
        <w:instrText xml:space="preserve">" </w:instrText>
      </w:r>
      <w:r w:rsidR="00D43DA8">
        <w:fldChar w:fldCharType="separate"/>
      </w:r>
      <w:r w:rsidRPr="00607817">
        <w:rPr>
          <w:rStyle w:val="af"/>
          <w:color w:val="auto"/>
          <w:u w:val="none"/>
        </w:rPr>
        <w:t>www</w:t>
      </w:r>
      <w:r w:rsidRPr="00607817">
        <w:rPr>
          <w:rStyle w:val="af"/>
          <w:color w:val="auto"/>
          <w:u w:val="none"/>
          <w:lang w:val="ru-RU"/>
        </w:rPr>
        <w:t>.</w:t>
      </w:r>
      <w:proofErr w:type="spellStart"/>
      <w:r w:rsidRPr="00607817">
        <w:rPr>
          <w:rStyle w:val="af"/>
          <w:color w:val="auto"/>
          <w:u w:val="none"/>
        </w:rPr>
        <w:t>unece</w:t>
      </w:r>
      <w:proofErr w:type="spellEnd"/>
      <w:r w:rsidRPr="00607817">
        <w:rPr>
          <w:rStyle w:val="af"/>
          <w:color w:val="auto"/>
          <w:u w:val="none"/>
          <w:lang w:val="ru-RU"/>
        </w:rPr>
        <w:t>.</w:t>
      </w:r>
      <w:r w:rsidRPr="00607817">
        <w:rPr>
          <w:rStyle w:val="af"/>
          <w:color w:val="auto"/>
          <w:u w:val="none"/>
        </w:rPr>
        <w:t>org</w:t>
      </w:r>
      <w:r w:rsidRPr="00607817">
        <w:rPr>
          <w:rStyle w:val="af"/>
          <w:color w:val="auto"/>
          <w:u w:val="none"/>
          <w:lang w:val="ru-RU"/>
        </w:rPr>
        <w:t>/</w:t>
      </w:r>
      <w:r w:rsidR="00874F6C" w:rsidRPr="00874F6C">
        <w:rPr>
          <w:rStyle w:val="af"/>
          <w:color w:val="auto"/>
          <w:u w:val="none"/>
          <w:lang w:val="ru-RU"/>
        </w:rPr>
        <w:t xml:space="preserve"> </w:t>
      </w:r>
      <w:r w:rsidRPr="00607817">
        <w:rPr>
          <w:rStyle w:val="af"/>
          <w:color w:val="auto"/>
          <w:u w:val="none"/>
        </w:rPr>
        <w:t>meetings</w:t>
      </w:r>
      <w:r w:rsidRPr="00607817">
        <w:rPr>
          <w:rStyle w:val="af"/>
          <w:color w:val="auto"/>
          <w:u w:val="none"/>
          <w:lang w:val="ru-RU"/>
        </w:rPr>
        <w:t>/</w:t>
      </w:r>
      <w:r w:rsidRPr="00607817">
        <w:rPr>
          <w:rStyle w:val="af"/>
          <w:color w:val="auto"/>
          <w:u w:val="none"/>
        </w:rPr>
        <w:t>practical</w:t>
      </w:r>
      <w:r w:rsidRPr="00607817">
        <w:rPr>
          <w:rStyle w:val="af"/>
          <w:color w:val="auto"/>
          <w:u w:val="none"/>
          <w:lang w:val="ru-RU"/>
        </w:rPr>
        <w:t>.</w:t>
      </w:r>
      <w:proofErr w:type="spellStart"/>
      <w:r w:rsidRPr="00607817">
        <w:rPr>
          <w:rStyle w:val="af"/>
          <w:color w:val="auto"/>
          <w:u w:val="none"/>
        </w:rPr>
        <w:t>htm</w:t>
      </w:r>
      <w:proofErr w:type="spellEnd"/>
      <w:r w:rsidR="00D43DA8">
        <w:rPr>
          <w:rStyle w:val="af"/>
          <w:color w:val="auto"/>
          <w:u w:val="none"/>
        </w:rPr>
        <w:fldChar w:fldCharType="end"/>
      </w:r>
      <w:r w:rsidRPr="0060781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257D93" w:rsidRPr="005C138C">
      <w:t>TRANS/WP.29/GRE/2017/1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257D93" w:rsidRPr="005C138C">
      <w:t>TRANS/WP.29/GRE/2017/1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007B7D"/>
    <w:rsid w:val="000450D1"/>
    <w:rsid w:val="00060B0C"/>
    <w:rsid w:val="000B1FD5"/>
    <w:rsid w:val="000F2A4F"/>
    <w:rsid w:val="000F492D"/>
    <w:rsid w:val="00193116"/>
    <w:rsid w:val="001A34E9"/>
    <w:rsid w:val="001B5F6B"/>
    <w:rsid w:val="001F6963"/>
    <w:rsid w:val="00203F84"/>
    <w:rsid w:val="00257D93"/>
    <w:rsid w:val="00275188"/>
    <w:rsid w:val="0027790B"/>
    <w:rsid w:val="0028687D"/>
    <w:rsid w:val="002B091C"/>
    <w:rsid w:val="002B3702"/>
    <w:rsid w:val="002B3D40"/>
    <w:rsid w:val="002C1EE7"/>
    <w:rsid w:val="002D0CCB"/>
    <w:rsid w:val="003112C3"/>
    <w:rsid w:val="00345C79"/>
    <w:rsid w:val="00366A39"/>
    <w:rsid w:val="00391759"/>
    <w:rsid w:val="003A2DC1"/>
    <w:rsid w:val="003F6450"/>
    <w:rsid w:val="00415659"/>
    <w:rsid w:val="00473435"/>
    <w:rsid w:val="0048005C"/>
    <w:rsid w:val="004907AA"/>
    <w:rsid w:val="004D639B"/>
    <w:rsid w:val="004E242B"/>
    <w:rsid w:val="00544379"/>
    <w:rsid w:val="00566944"/>
    <w:rsid w:val="005A387F"/>
    <w:rsid w:val="005D51A9"/>
    <w:rsid w:val="005D56BF"/>
    <w:rsid w:val="00606A0F"/>
    <w:rsid w:val="00607817"/>
    <w:rsid w:val="00617A47"/>
    <w:rsid w:val="0062027E"/>
    <w:rsid w:val="00643644"/>
    <w:rsid w:val="00665D8D"/>
    <w:rsid w:val="006A7A3B"/>
    <w:rsid w:val="006B3E33"/>
    <w:rsid w:val="006B4647"/>
    <w:rsid w:val="006B6B57"/>
    <w:rsid w:val="006F49F1"/>
    <w:rsid w:val="007005EE"/>
    <w:rsid w:val="00705394"/>
    <w:rsid w:val="00727A63"/>
    <w:rsid w:val="00743F62"/>
    <w:rsid w:val="00760D3A"/>
    <w:rsid w:val="00773BA8"/>
    <w:rsid w:val="007A1F42"/>
    <w:rsid w:val="007D76DD"/>
    <w:rsid w:val="007E17E5"/>
    <w:rsid w:val="00802D50"/>
    <w:rsid w:val="008325ED"/>
    <w:rsid w:val="00846685"/>
    <w:rsid w:val="008512C1"/>
    <w:rsid w:val="008717E8"/>
    <w:rsid w:val="00874F6C"/>
    <w:rsid w:val="008B1AD6"/>
    <w:rsid w:val="008D01AE"/>
    <w:rsid w:val="008E0423"/>
    <w:rsid w:val="009141DC"/>
    <w:rsid w:val="009174A1"/>
    <w:rsid w:val="0092370A"/>
    <w:rsid w:val="00943062"/>
    <w:rsid w:val="009451DA"/>
    <w:rsid w:val="00980B8A"/>
    <w:rsid w:val="0098674D"/>
    <w:rsid w:val="00997ACA"/>
    <w:rsid w:val="00A03FB7"/>
    <w:rsid w:val="00A236A7"/>
    <w:rsid w:val="00A55C56"/>
    <w:rsid w:val="00A658DB"/>
    <w:rsid w:val="00A75A11"/>
    <w:rsid w:val="00A76A56"/>
    <w:rsid w:val="00A954BF"/>
    <w:rsid w:val="00A9606E"/>
    <w:rsid w:val="00AD7EAD"/>
    <w:rsid w:val="00B26F75"/>
    <w:rsid w:val="00B35A32"/>
    <w:rsid w:val="00B432C6"/>
    <w:rsid w:val="00B471C5"/>
    <w:rsid w:val="00B6474A"/>
    <w:rsid w:val="00B84990"/>
    <w:rsid w:val="00BD2942"/>
    <w:rsid w:val="00BE1742"/>
    <w:rsid w:val="00BF2F5A"/>
    <w:rsid w:val="00C42BF7"/>
    <w:rsid w:val="00C93684"/>
    <w:rsid w:val="00C968B2"/>
    <w:rsid w:val="00D1261C"/>
    <w:rsid w:val="00D26030"/>
    <w:rsid w:val="00D43DA8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7343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7343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42BF7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7343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7343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9E68-3A91-4FB3-81D2-2776F779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TPSRUS1</cp:lastModifiedBy>
  <cp:revision>2</cp:revision>
  <cp:lastPrinted>2017-02-01T09:00:00Z</cp:lastPrinted>
  <dcterms:created xsi:type="dcterms:W3CDTF">2017-02-01T09:33:00Z</dcterms:created>
  <dcterms:modified xsi:type="dcterms:W3CDTF">2017-02-01T09:33:00Z</dcterms:modified>
</cp:coreProperties>
</file>