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B66D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B66D1" w:rsidP="008B66D1">
            <w:pPr>
              <w:jc w:val="right"/>
            </w:pPr>
            <w:r w:rsidRPr="008B66D1">
              <w:rPr>
                <w:sz w:val="40"/>
              </w:rPr>
              <w:t>ECE</w:t>
            </w:r>
            <w:r>
              <w:t>/TRANS/WP.29/GRB/2017/3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B66D1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8B66D1" w:rsidRDefault="008B66D1" w:rsidP="008B66D1">
            <w:pPr>
              <w:spacing w:line="240" w:lineRule="exact"/>
            </w:pPr>
            <w:r>
              <w:t>15 juin 2017</w:t>
            </w:r>
          </w:p>
          <w:p w:rsidR="008B66D1" w:rsidRDefault="008B66D1" w:rsidP="008B66D1">
            <w:pPr>
              <w:spacing w:line="240" w:lineRule="exact"/>
            </w:pPr>
            <w:r>
              <w:t>Français</w:t>
            </w:r>
          </w:p>
          <w:p w:rsidR="008B66D1" w:rsidRPr="00DB58B5" w:rsidRDefault="008B66D1" w:rsidP="008B66D1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8B66D1" w:rsidRDefault="008B66D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8B66D1" w:rsidRDefault="008B66D1" w:rsidP="00F9573C">
      <w:pPr>
        <w:spacing w:before="120" w:after="120" w:line="240" w:lineRule="exact"/>
        <w:rPr>
          <w:b/>
        </w:rPr>
      </w:pPr>
      <w:r>
        <w:rPr>
          <w:b/>
        </w:rPr>
        <w:t>Groupe de travail du bruit</w:t>
      </w:r>
    </w:p>
    <w:p w:rsidR="008B66D1" w:rsidRDefault="008B66D1" w:rsidP="00F9573C">
      <w:pPr>
        <w:spacing w:before="120" w:line="240" w:lineRule="exact"/>
        <w:rPr>
          <w:b/>
        </w:rPr>
      </w:pPr>
      <w:r>
        <w:rPr>
          <w:b/>
        </w:rPr>
        <w:t>Soixante-sixième session</w:t>
      </w:r>
    </w:p>
    <w:p w:rsidR="008B66D1" w:rsidRDefault="008B66D1" w:rsidP="00F9573C">
      <w:pPr>
        <w:spacing w:line="240" w:lineRule="exact"/>
      </w:pPr>
      <w:r>
        <w:t>Genève, 4-6 septembre 2017</w:t>
      </w:r>
    </w:p>
    <w:p w:rsidR="008B66D1" w:rsidRDefault="008B66D1" w:rsidP="00F9573C">
      <w:pPr>
        <w:spacing w:line="240" w:lineRule="exact"/>
      </w:pPr>
      <w:r>
        <w:t>Point 1 de l’ordre du jour provisoire</w:t>
      </w:r>
    </w:p>
    <w:p w:rsidR="008B66D1" w:rsidRPr="008B66D1" w:rsidRDefault="008B66D1" w:rsidP="00F9573C">
      <w:pPr>
        <w:spacing w:line="240" w:lineRule="exact"/>
        <w:rPr>
          <w:b/>
        </w:rPr>
      </w:pPr>
      <w:r w:rsidRPr="008B66D1">
        <w:rPr>
          <w:b/>
        </w:rPr>
        <w:t>Adoption de l’ordre du jour</w:t>
      </w:r>
    </w:p>
    <w:p w:rsidR="00CC64C0" w:rsidRDefault="00CC64C0" w:rsidP="00CC64C0">
      <w:pPr>
        <w:pStyle w:val="HChG"/>
      </w:pPr>
      <w:r>
        <w:tab/>
      </w:r>
      <w:r>
        <w:tab/>
        <w:t xml:space="preserve">Ordre du jour provisoire annoté </w:t>
      </w:r>
      <w:r>
        <w:br/>
        <w:t>de la soixante-sixième session</w:t>
      </w:r>
      <w:r w:rsidRPr="00CC64C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Pr="00CC64C0">
        <w:rPr>
          <w:sz w:val="16"/>
          <w:szCs w:val="16"/>
          <w:vertAlign w:val="superscript"/>
        </w:rPr>
        <w:t>,</w:t>
      </w:r>
      <w:r w:rsidR="007B2450" w:rsidRPr="007B2450">
        <w:rPr>
          <w:b w:val="0"/>
          <w:sz w:val="16"/>
          <w:szCs w:val="16"/>
          <w:vertAlign w:val="superscript"/>
        </w:rPr>
        <w:t xml:space="preserve"> </w:t>
      </w:r>
      <w:r w:rsidR="007B2450" w:rsidRPr="007B2450">
        <w:rPr>
          <w:rStyle w:val="FootnoteReference"/>
          <w:b w:val="0"/>
          <w:sz w:val="20"/>
          <w:szCs w:val="16"/>
          <w:vertAlign w:val="baseline"/>
        </w:rPr>
        <w:footnoteReference w:customMarkFollows="1" w:id="3"/>
        <w:t>**</w:t>
      </w:r>
      <w:r w:rsidR="000909F0">
        <w:rPr>
          <w:b w:val="0"/>
          <w:sz w:val="16"/>
          <w:szCs w:val="16"/>
          <w:vertAlign w:val="superscript"/>
        </w:rPr>
        <w:t xml:space="preserve"> </w:t>
      </w:r>
    </w:p>
    <w:p w:rsidR="00CC64C0" w:rsidRDefault="007B2450" w:rsidP="007B2450">
      <w:pPr>
        <w:pStyle w:val="H56G"/>
      </w:pPr>
      <w:r>
        <w:tab/>
      </w:r>
      <w:r>
        <w:tab/>
      </w:r>
      <w:r w:rsidR="00CC64C0">
        <w:t>Qui se tiendra au Palais des Nations, à Genève,</w:t>
      </w:r>
      <w:r w:rsidR="009D34A6">
        <w:t xml:space="preserve"> du lundi 4 septembre 2017 à 14 </w:t>
      </w:r>
      <w:r w:rsidR="00CC64C0">
        <w:t>h</w:t>
      </w:r>
      <w:r w:rsidR="009D34A6">
        <w:t> </w:t>
      </w:r>
      <w:r w:rsidR="00CC64C0">
        <w:t xml:space="preserve">30 </w:t>
      </w:r>
      <w:r>
        <w:br/>
      </w:r>
      <w:r w:rsidR="00CC64C0">
        <w:t>au mercredi 6 septembre 2017</w:t>
      </w:r>
      <w:r w:rsidR="006757C3">
        <w:t xml:space="preserve"> à 17 </w:t>
      </w:r>
      <w:r>
        <w:t>h</w:t>
      </w:r>
      <w:r w:rsidR="006757C3">
        <w:t> </w:t>
      </w:r>
      <w:r>
        <w:t>30</w:t>
      </w:r>
    </w:p>
    <w:p w:rsidR="00CC64C0" w:rsidRPr="00FD773C" w:rsidRDefault="00CC64C0" w:rsidP="00FD773C">
      <w:pPr>
        <w:pStyle w:val="HChG"/>
      </w:pPr>
      <w:r>
        <w:br w:type="page"/>
      </w:r>
      <w:r w:rsidR="00FD773C">
        <w:lastRenderedPageBreak/>
        <w:tab/>
      </w:r>
      <w:r>
        <w:t>I.</w:t>
      </w:r>
      <w:r>
        <w:tab/>
        <w:t>Ordre du jour provisoire</w:t>
      </w:r>
    </w:p>
    <w:p w:rsidR="00CC64C0" w:rsidRPr="000F493E" w:rsidRDefault="00CC64C0" w:rsidP="00644135">
      <w:pPr>
        <w:pStyle w:val="SingleTxtG"/>
        <w:ind w:left="1701" w:hanging="567"/>
        <w:jc w:val="left"/>
      </w:pPr>
      <w:r>
        <w:t>1.</w:t>
      </w:r>
      <w:r>
        <w:tab/>
        <w:t>Adoption de l’ordre du jour.</w:t>
      </w:r>
    </w:p>
    <w:p w:rsidR="00CC64C0" w:rsidRDefault="00CC64C0" w:rsidP="00644135">
      <w:pPr>
        <w:pStyle w:val="SingleTxtG"/>
        <w:ind w:left="1701" w:hanging="567"/>
        <w:jc w:val="left"/>
      </w:pPr>
      <w:r>
        <w:t>2.</w:t>
      </w:r>
      <w:r>
        <w:tab/>
        <w:t xml:space="preserve">Règlement </w:t>
      </w:r>
      <w:r w:rsidR="00FD773C">
        <w:rPr>
          <w:rFonts w:eastAsia="MS Mincho"/>
        </w:rPr>
        <w:t>n</w:t>
      </w:r>
      <w:r w:rsidR="00FD773C">
        <w:rPr>
          <w:rFonts w:eastAsia="MS Mincho"/>
          <w:vertAlign w:val="superscript"/>
        </w:rPr>
        <w:t>o</w:t>
      </w:r>
      <w:r w:rsidR="00FD773C">
        <w:t> </w:t>
      </w:r>
      <w:r>
        <w:t>28 (Avertisseurs sonores).</w:t>
      </w:r>
    </w:p>
    <w:p w:rsidR="00CC64C0" w:rsidRPr="000F493E" w:rsidRDefault="00CC64C0" w:rsidP="00644135">
      <w:pPr>
        <w:pStyle w:val="SingleTxtG"/>
        <w:ind w:left="1701" w:hanging="567"/>
        <w:jc w:val="left"/>
      </w:pPr>
      <w:r>
        <w:t>3.</w:t>
      </w:r>
      <w:r>
        <w:tab/>
        <w:t xml:space="preserve">Règlement </w:t>
      </w:r>
      <w:r w:rsidR="00FD773C">
        <w:rPr>
          <w:rFonts w:eastAsia="MS Mincho"/>
        </w:rPr>
        <w:t>n</w:t>
      </w:r>
      <w:r w:rsidR="00FD773C">
        <w:rPr>
          <w:rFonts w:eastAsia="MS Mincho"/>
          <w:vertAlign w:val="superscript"/>
        </w:rPr>
        <w:t>o</w:t>
      </w:r>
      <w:r w:rsidR="00FD773C">
        <w:t> </w:t>
      </w:r>
      <w:r>
        <w:t>41 (Bruit émis par les motocycles) : Extension.</w:t>
      </w:r>
    </w:p>
    <w:p w:rsidR="00CC64C0" w:rsidRPr="000F493E" w:rsidRDefault="00CC64C0" w:rsidP="00644135">
      <w:pPr>
        <w:pStyle w:val="SingleTxtG"/>
        <w:keepNext/>
        <w:ind w:left="1701" w:hanging="567"/>
        <w:jc w:val="left"/>
      </w:pPr>
      <w:r>
        <w:t>4.</w:t>
      </w:r>
      <w:r>
        <w:tab/>
        <w:t xml:space="preserve">Règlement </w:t>
      </w:r>
      <w:r w:rsidR="00FD773C">
        <w:rPr>
          <w:rFonts w:eastAsia="MS Mincho"/>
        </w:rPr>
        <w:t>n</w:t>
      </w:r>
      <w:r w:rsidR="00FD773C">
        <w:rPr>
          <w:rFonts w:eastAsia="MS Mincho"/>
          <w:vertAlign w:val="superscript"/>
        </w:rPr>
        <w:t>o</w:t>
      </w:r>
      <w:r w:rsidR="00FD773C">
        <w:t> </w:t>
      </w:r>
      <w:r>
        <w:t>51 (Bruit des véhicules des catégories M et N) :</w:t>
      </w:r>
    </w:p>
    <w:p w:rsidR="00CC64C0" w:rsidRPr="000F493E" w:rsidRDefault="00CC64C0" w:rsidP="00644135">
      <w:pPr>
        <w:pStyle w:val="SingleTxtG"/>
        <w:ind w:left="2268" w:hanging="567"/>
        <w:jc w:val="left"/>
      </w:pPr>
      <w:r>
        <w:t>a)</w:t>
      </w:r>
      <w:r>
        <w:tab/>
        <w:t>Extension ;</w:t>
      </w:r>
    </w:p>
    <w:p w:rsidR="00CC64C0" w:rsidRPr="000F493E" w:rsidRDefault="00CC64C0" w:rsidP="00644135">
      <w:pPr>
        <w:pStyle w:val="SingleTxtG"/>
        <w:ind w:left="2268" w:hanging="567"/>
        <w:jc w:val="left"/>
      </w:pPr>
      <w:r>
        <w:t>b)</w:t>
      </w:r>
      <w:r>
        <w:tab/>
        <w:t>Prescriptions supplémentaires applicables aux émissions sonores.</w:t>
      </w:r>
    </w:p>
    <w:p w:rsidR="00CC64C0" w:rsidRPr="000F493E" w:rsidRDefault="00CC64C0" w:rsidP="00644135">
      <w:pPr>
        <w:pStyle w:val="SingleTxtG"/>
        <w:ind w:left="1701" w:hanging="567"/>
        <w:jc w:val="left"/>
      </w:pPr>
      <w:r>
        <w:t>5.</w:t>
      </w:r>
      <w:r>
        <w:tab/>
        <w:t xml:space="preserve">Règlement </w:t>
      </w:r>
      <w:r w:rsidR="00FD773C">
        <w:rPr>
          <w:rFonts w:eastAsia="MS Mincho"/>
        </w:rPr>
        <w:t>n</w:t>
      </w:r>
      <w:r w:rsidR="00FD773C">
        <w:rPr>
          <w:rFonts w:eastAsia="MS Mincho"/>
          <w:vertAlign w:val="superscript"/>
        </w:rPr>
        <w:t>o</w:t>
      </w:r>
      <w:r w:rsidR="00FD773C">
        <w:t> </w:t>
      </w:r>
      <w:r>
        <w:t>63 (Bruit émis par les cyclomoteurs).</w:t>
      </w:r>
    </w:p>
    <w:p w:rsidR="00CC64C0" w:rsidRPr="000F493E" w:rsidRDefault="00CC64C0" w:rsidP="00644135">
      <w:pPr>
        <w:pStyle w:val="SingleTxtG"/>
        <w:ind w:left="1701" w:hanging="567"/>
        <w:jc w:val="left"/>
      </w:pPr>
      <w:r>
        <w:t>6.</w:t>
      </w:r>
      <w:r>
        <w:tab/>
        <w:t xml:space="preserve">Règlement </w:t>
      </w:r>
      <w:r w:rsidR="00FD773C">
        <w:rPr>
          <w:rFonts w:eastAsia="MS Mincho"/>
        </w:rPr>
        <w:t>n</w:t>
      </w:r>
      <w:r w:rsidR="00FD773C">
        <w:rPr>
          <w:rFonts w:eastAsia="MS Mincho"/>
          <w:vertAlign w:val="superscript"/>
        </w:rPr>
        <w:t>o</w:t>
      </w:r>
      <w:r w:rsidR="00FD773C">
        <w:t> </w:t>
      </w:r>
      <w:r>
        <w:t xml:space="preserve">117 (Pneumatiques </w:t>
      </w:r>
      <w:r w:rsidR="00FC0029">
        <w:t>−</w:t>
      </w:r>
      <w:r>
        <w:t xml:space="preserve"> résistance au roulement, bruit de roulement et</w:t>
      </w:r>
      <w:r w:rsidR="00644135">
        <w:t> </w:t>
      </w:r>
      <w:r>
        <w:t>adhérence sur sol mouillé).</w:t>
      </w:r>
    </w:p>
    <w:p w:rsidR="00CC64C0" w:rsidRPr="000F493E" w:rsidRDefault="00CC64C0" w:rsidP="00644135">
      <w:pPr>
        <w:pStyle w:val="SingleTxtG"/>
        <w:ind w:left="1701" w:hanging="567"/>
        <w:jc w:val="left"/>
      </w:pPr>
      <w:r>
        <w:t>7.</w:t>
      </w:r>
      <w:r>
        <w:tab/>
        <w:t xml:space="preserve">Règlement </w:t>
      </w:r>
      <w:r w:rsidR="00FC0029">
        <w:rPr>
          <w:rFonts w:eastAsia="MS Mincho"/>
        </w:rPr>
        <w:t>n</w:t>
      </w:r>
      <w:r w:rsidR="00FC0029">
        <w:rPr>
          <w:rFonts w:eastAsia="MS Mincho"/>
          <w:vertAlign w:val="superscript"/>
        </w:rPr>
        <w:t>o</w:t>
      </w:r>
      <w:r w:rsidR="00FC0029">
        <w:t> </w:t>
      </w:r>
      <w:r>
        <w:t>138 (Véhicules à moteur silencieux).</w:t>
      </w:r>
    </w:p>
    <w:p w:rsidR="00CC64C0" w:rsidRDefault="00CC64C0" w:rsidP="00644135">
      <w:pPr>
        <w:pStyle w:val="SingleTxtG"/>
        <w:ind w:left="1701" w:hanging="567"/>
        <w:jc w:val="left"/>
      </w:pPr>
      <w:r>
        <w:t>8.</w:t>
      </w:r>
      <w:r>
        <w:tab/>
        <w:t xml:space="preserve">Projet de Règlement sur les avertisseurs de marche arrière. </w:t>
      </w:r>
    </w:p>
    <w:p w:rsidR="00CC64C0" w:rsidRPr="000F493E" w:rsidRDefault="00CC64C0" w:rsidP="00644135">
      <w:pPr>
        <w:pStyle w:val="SingleTxtG"/>
        <w:ind w:left="1701" w:hanging="567"/>
        <w:jc w:val="left"/>
      </w:pPr>
      <w:r>
        <w:t>9.</w:t>
      </w:r>
      <w:r>
        <w:tab/>
        <w:t>Amendements collectifs.</w:t>
      </w:r>
    </w:p>
    <w:p w:rsidR="00CC64C0" w:rsidRPr="000F493E" w:rsidRDefault="00CC64C0" w:rsidP="00644135">
      <w:pPr>
        <w:pStyle w:val="SingleTxtG"/>
        <w:ind w:left="1701" w:hanging="567"/>
        <w:jc w:val="left"/>
      </w:pPr>
      <w:r>
        <w:t>10.</w:t>
      </w:r>
      <w:r>
        <w:tab/>
        <w:t>Échange de renseignements sur les prescriptions nationales et internationales en matière de niveau sonore.</w:t>
      </w:r>
    </w:p>
    <w:p w:rsidR="00CC64C0" w:rsidRPr="000F493E" w:rsidRDefault="00CC64C0" w:rsidP="00644135">
      <w:pPr>
        <w:pStyle w:val="SingleTxtG"/>
        <w:ind w:left="1701" w:hanging="567"/>
        <w:jc w:val="left"/>
      </w:pPr>
      <w:r>
        <w:t>11.</w:t>
      </w:r>
      <w:r>
        <w:tab/>
        <w:t>Incidence du revêtement de la route sur le bruit de roulement des pneumatiques.</w:t>
      </w:r>
    </w:p>
    <w:p w:rsidR="00CC64C0" w:rsidRPr="000F493E" w:rsidRDefault="00CC64C0" w:rsidP="00644135">
      <w:pPr>
        <w:pStyle w:val="SingleTxtG"/>
        <w:ind w:left="1701" w:hanging="567"/>
        <w:jc w:val="left"/>
      </w:pPr>
      <w:r>
        <w:t>12.</w:t>
      </w:r>
      <w:r>
        <w:tab/>
        <w:t>Sigles et abréviations figurant dans les Règlements relevant de la responsabilité du</w:t>
      </w:r>
      <w:r w:rsidR="00644135">
        <w:t> </w:t>
      </w:r>
      <w:r>
        <w:t>Groupe de travail du bruit (GRB).</w:t>
      </w:r>
    </w:p>
    <w:p w:rsidR="00CC64C0" w:rsidRPr="000F493E" w:rsidRDefault="00CC64C0" w:rsidP="00644135">
      <w:pPr>
        <w:pStyle w:val="SingleTxtG"/>
        <w:ind w:left="1701" w:hanging="567"/>
        <w:jc w:val="left"/>
      </w:pPr>
      <w:r>
        <w:t>13.</w:t>
      </w:r>
      <w:r>
        <w:tab/>
        <w:t>Propositions d’amendements à la Résolution d’ensemble sur la construction des véhicules.</w:t>
      </w:r>
    </w:p>
    <w:p w:rsidR="00CC64C0" w:rsidRPr="000F493E" w:rsidRDefault="00CC64C0" w:rsidP="00644135">
      <w:pPr>
        <w:pStyle w:val="SingleTxtG"/>
        <w:ind w:left="1701" w:hanging="567"/>
        <w:jc w:val="left"/>
      </w:pPr>
      <w:r>
        <w:t>14.</w:t>
      </w:r>
      <w:r>
        <w:tab/>
        <w:t>Mise au point d’une homologation de type internationale de l’ensemble du véhicule (IWVTA) et participation des groupes de travail à cette mise au point.</w:t>
      </w:r>
    </w:p>
    <w:p w:rsidR="00CC64C0" w:rsidRPr="000F493E" w:rsidRDefault="00CC64C0" w:rsidP="00644135">
      <w:pPr>
        <w:pStyle w:val="SingleTxtG"/>
        <w:ind w:left="1701" w:hanging="567"/>
        <w:jc w:val="left"/>
      </w:pPr>
      <w:r>
        <w:t>15.</w:t>
      </w:r>
      <w:r>
        <w:tab/>
        <w:t xml:space="preserve">Points à retenir des sessions de mars et de juin 2017 </w:t>
      </w:r>
      <w:r w:rsidRPr="00C14ED7">
        <w:t>du WP.29.</w:t>
      </w:r>
    </w:p>
    <w:p w:rsidR="00CC64C0" w:rsidRPr="00EA3595" w:rsidRDefault="00CC64C0" w:rsidP="00644135">
      <w:pPr>
        <w:pStyle w:val="SingleTxtG"/>
        <w:ind w:left="1701" w:hanging="567"/>
        <w:jc w:val="left"/>
      </w:pPr>
      <w:r>
        <w:t>16.</w:t>
      </w:r>
      <w:r>
        <w:tab/>
        <w:t>Échange de vues sur les travaux futurs du GRB.</w:t>
      </w:r>
    </w:p>
    <w:p w:rsidR="00CC64C0" w:rsidRPr="00EA3595" w:rsidRDefault="00CC64C0" w:rsidP="00644135">
      <w:pPr>
        <w:pStyle w:val="SingleTxtG"/>
        <w:ind w:left="1701" w:hanging="567"/>
        <w:jc w:val="left"/>
      </w:pPr>
      <w:r>
        <w:t>17.</w:t>
      </w:r>
      <w:r>
        <w:tab/>
        <w:t>Questions diverses.</w:t>
      </w:r>
    </w:p>
    <w:p w:rsidR="00CC64C0" w:rsidRDefault="00CC64C0" w:rsidP="00644135">
      <w:pPr>
        <w:pStyle w:val="SingleTxtG"/>
        <w:ind w:left="1701" w:hanging="567"/>
        <w:jc w:val="left"/>
      </w:pPr>
      <w:r>
        <w:t>18.</w:t>
      </w:r>
      <w:r>
        <w:tab/>
        <w:t>Ordre du jour provisoire de la soixante-septième session.</w:t>
      </w:r>
    </w:p>
    <w:p w:rsidR="00CC64C0" w:rsidRPr="00EA3595" w:rsidRDefault="00CC64C0" w:rsidP="00644135">
      <w:pPr>
        <w:pStyle w:val="SingleTxtG"/>
        <w:ind w:left="1701" w:hanging="567"/>
        <w:jc w:val="left"/>
      </w:pPr>
      <w:r>
        <w:t>19.</w:t>
      </w:r>
      <w:r>
        <w:tab/>
        <w:t>Élection du Bureau.</w:t>
      </w:r>
    </w:p>
    <w:p w:rsidR="00CC64C0" w:rsidRDefault="00644135" w:rsidP="00644135">
      <w:pPr>
        <w:pStyle w:val="HChG"/>
      </w:pPr>
      <w:r>
        <w:tab/>
      </w:r>
      <w:r w:rsidR="00CC64C0">
        <w:t>II.</w:t>
      </w:r>
      <w:r w:rsidR="00CC64C0">
        <w:tab/>
        <w:t>Annotations</w:t>
      </w:r>
    </w:p>
    <w:p w:rsidR="00CC64C0" w:rsidRPr="000F493E" w:rsidRDefault="00644135" w:rsidP="00644135">
      <w:pPr>
        <w:pStyle w:val="H1G"/>
      </w:pPr>
      <w:r>
        <w:tab/>
      </w:r>
      <w:r w:rsidR="00CC64C0">
        <w:t>1.</w:t>
      </w:r>
      <w:r w:rsidR="00CC64C0">
        <w:tab/>
        <w:t>Adoption de l’ordre du jour</w:t>
      </w:r>
    </w:p>
    <w:p w:rsidR="00CC64C0" w:rsidRPr="000F493E" w:rsidRDefault="00CC64C0" w:rsidP="00644135">
      <w:pPr>
        <w:pStyle w:val="SingleTxtG"/>
        <w:ind w:firstLine="567"/>
      </w:pPr>
      <w:r w:rsidRPr="00D174DF">
        <w:rPr>
          <w:spacing w:val="-3"/>
        </w:rPr>
        <w:t>Conformément à l’</w:t>
      </w:r>
      <w:r w:rsidR="00644135" w:rsidRPr="00D174DF">
        <w:rPr>
          <w:spacing w:val="-3"/>
        </w:rPr>
        <w:t>article </w:t>
      </w:r>
      <w:r w:rsidRPr="00D174DF">
        <w:rPr>
          <w:spacing w:val="-3"/>
        </w:rPr>
        <w:t>7 du chapitre III du Règlement intérieur (TRANS/WP.29/690,</w:t>
      </w:r>
      <w:r>
        <w:t xml:space="preserve"> Amend.1 et Amend.2) du Forum mondial de l’harmonisation des Règlements concernant les véhicules (WP.29), le premier point de l’ordre du jour provisoire est l’adoption de l’ordre du jour.</w:t>
      </w:r>
    </w:p>
    <w:p w:rsidR="00CC64C0" w:rsidRPr="00614F39" w:rsidRDefault="00CC64C0" w:rsidP="00CC64C0">
      <w:pPr>
        <w:pStyle w:val="SingleTxtG"/>
        <w:spacing w:before="240" w:line="240" w:lineRule="exact"/>
        <w:rPr>
          <w:b/>
        </w:rPr>
      </w:pPr>
      <w:r w:rsidRPr="004A3F70">
        <w:rPr>
          <w:bCs/>
          <w:i/>
        </w:rPr>
        <w:t>Document(s)</w:t>
      </w:r>
      <w:r w:rsidR="004A3F70" w:rsidRPr="004A3F70">
        <w:rPr>
          <w:bCs/>
          <w:i/>
        </w:rPr>
        <w:t> </w:t>
      </w:r>
      <w:r w:rsidR="004A3F70" w:rsidRPr="004A3F70">
        <w:rPr>
          <w:bCs/>
        </w:rPr>
        <w:t>:</w:t>
      </w:r>
      <w:r w:rsidR="004A3F70">
        <w:rPr>
          <w:b/>
          <w:bCs/>
        </w:rPr>
        <w:tab/>
      </w:r>
      <w:r w:rsidR="004A3F70">
        <w:t>ECE/TRANS/WP.29/GRB/2017/3.</w:t>
      </w:r>
    </w:p>
    <w:p w:rsidR="00CC64C0" w:rsidRDefault="004A3F70" w:rsidP="004A3F70">
      <w:pPr>
        <w:pStyle w:val="H1G"/>
      </w:pPr>
      <w:r>
        <w:tab/>
      </w:r>
      <w:r w:rsidR="00CC64C0">
        <w:t>2.</w:t>
      </w:r>
      <w:r w:rsidR="00CC64C0">
        <w:tab/>
        <w:t xml:space="preserve">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="00CC64C0">
        <w:t>28 (Avertisseurs sonores)</w:t>
      </w:r>
    </w:p>
    <w:p w:rsidR="00CC64C0" w:rsidRDefault="00CC64C0" w:rsidP="004A3F70">
      <w:pPr>
        <w:pStyle w:val="SingleTxtG"/>
        <w:ind w:firstLine="567"/>
      </w:pPr>
      <w:r>
        <w:t xml:space="preserve">Le Groupe de travail examinera de nouvelles propositions, le cas échéant. </w:t>
      </w:r>
    </w:p>
    <w:p w:rsidR="00CC64C0" w:rsidRPr="00EA3595" w:rsidRDefault="00A72AAC" w:rsidP="00A72AAC">
      <w:pPr>
        <w:pStyle w:val="H1G"/>
      </w:pPr>
      <w:r>
        <w:lastRenderedPageBreak/>
        <w:tab/>
      </w:r>
      <w:r w:rsidR="00CC64C0">
        <w:t>3.</w:t>
      </w:r>
      <w:r w:rsidR="00CC64C0">
        <w:tab/>
        <w:t xml:space="preserve">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="00CC64C0">
        <w:t>41 (Bruit émis par les motocycles) : Extension</w:t>
      </w:r>
    </w:p>
    <w:p w:rsidR="00CC64C0" w:rsidRDefault="00CC64C0" w:rsidP="004A3F70">
      <w:pPr>
        <w:pStyle w:val="SingleTxtG"/>
        <w:ind w:firstLine="567"/>
      </w:pPr>
      <w:r>
        <w:t>Le GRB est invité à reprendre l’examen de la proposition de l’expert de l’Association internationale des constructeurs de motocycles (IMMA) visant à supprimer une description des véhicules de la catégorie L</w:t>
      </w:r>
      <w:r w:rsidRPr="00680162">
        <w:rPr>
          <w:vertAlign w:val="subscript"/>
        </w:rPr>
        <w:t>4</w:t>
      </w:r>
      <w:r>
        <w:t xml:space="preserve"> de l’annexe 3 du Règlement </w:t>
      </w:r>
      <w:r w:rsidR="005B3CE1">
        <w:rPr>
          <w:rFonts w:eastAsia="MS Mincho"/>
        </w:rPr>
        <w:t>n</w:t>
      </w:r>
      <w:r w:rsidR="005B3CE1">
        <w:rPr>
          <w:rFonts w:eastAsia="MS Mincho"/>
          <w:vertAlign w:val="superscript"/>
        </w:rPr>
        <w:t>o</w:t>
      </w:r>
      <w:r w:rsidR="005B3CE1">
        <w:t> </w:t>
      </w:r>
      <w:r>
        <w:t xml:space="preserve">41. </w:t>
      </w:r>
    </w:p>
    <w:p w:rsidR="00CC64C0" w:rsidRPr="00927EDF" w:rsidRDefault="00A72AAC" w:rsidP="00CC64C0">
      <w:pPr>
        <w:spacing w:before="240" w:line="240" w:lineRule="exact"/>
        <w:ind w:left="1134" w:right="1134"/>
        <w:jc w:val="both"/>
      </w:pPr>
      <w:r w:rsidRPr="004A3F70">
        <w:rPr>
          <w:bCs/>
          <w:i/>
        </w:rPr>
        <w:t>Document(s) </w:t>
      </w:r>
      <w:r w:rsidRPr="004A3F70">
        <w:rPr>
          <w:bCs/>
        </w:rPr>
        <w:t>:</w:t>
      </w:r>
      <w:r>
        <w:rPr>
          <w:b/>
          <w:bCs/>
        </w:rPr>
        <w:tab/>
      </w:r>
      <w:r w:rsidR="00CC64C0">
        <w:t>ECE/TRANS/WP.29/GRB/2017/4</w:t>
      </w:r>
      <w:r>
        <w:t>.</w:t>
      </w:r>
    </w:p>
    <w:p w:rsidR="00CC64C0" w:rsidRPr="000F493E" w:rsidRDefault="00A72AAC" w:rsidP="00A72AAC">
      <w:pPr>
        <w:pStyle w:val="H1G"/>
      </w:pPr>
      <w:r>
        <w:tab/>
      </w:r>
      <w:r w:rsidR="00CC64C0">
        <w:t>4.</w:t>
      </w:r>
      <w:r w:rsidR="00CC64C0">
        <w:tab/>
        <w:t xml:space="preserve">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="00CC64C0">
        <w:t>51 (Bruit des véhicules des catégories M et N)</w:t>
      </w:r>
    </w:p>
    <w:p w:rsidR="00CC64C0" w:rsidRPr="000F493E" w:rsidRDefault="00A72AAC" w:rsidP="00A72AAC">
      <w:pPr>
        <w:pStyle w:val="H23G"/>
      </w:pPr>
      <w:r>
        <w:tab/>
      </w:r>
      <w:r w:rsidR="00CC64C0">
        <w:t>a)</w:t>
      </w:r>
      <w:r w:rsidR="00CC64C0">
        <w:tab/>
        <w:t>Extension</w:t>
      </w:r>
    </w:p>
    <w:p w:rsidR="00CC64C0" w:rsidRDefault="00CC64C0" w:rsidP="004A3F70">
      <w:pPr>
        <w:pStyle w:val="SingleTxtG"/>
        <w:ind w:firstLine="567"/>
      </w:pPr>
      <w:r>
        <w:t xml:space="preserve">Le Groupe de travail examinera les propositions élaborées par un groupe d’experts chargé de mettre à jour et de réviser la série 03 d’amendements au Règlement </w:t>
      </w:r>
      <w:r w:rsidR="00A72AAC">
        <w:rPr>
          <w:rFonts w:eastAsia="MS Mincho"/>
        </w:rPr>
        <w:t>n</w:t>
      </w:r>
      <w:r w:rsidR="00A72AAC">
        <w:rPr>
          <w:rFonts w:eastAsia="MS Mincho"/>
          <w:vertAlign w:val="superscript"/>
        </w:rPr>
        <w:t>o </w:t>
      </w:r>
      <w:r>
        <w:t>51.</w:t>
      </w:r>
    </w:p>
    <w:p w:rsidR="00CC64C0" w:rsidRPr="00A01273" w:rsidRDefault="00A72AAC" w:rsidP="00CC64C0">
      <w:pPr>
        <w:pStyle w:val="SingleTxtG"/>
        <w:spacing w:before="240" w:after="0" w:line="240" w:lineRule="exact"/>
        <w:jc w:val="left"/>
      </w:pPr>
      <w:r w:rsidRPr="004A3F70">
        <w:rPr>
          <w:bCs/>
          <w:i/>
        </w:rPr>
        <w:t>Document(s) </w:t>
      </w:r>
      <w:r w:rsidRPr="004A3F70">
        <w:rPr>
          <w:bCs/>
        </w:rPr>
        <w:t>:</w:t>
      </w:r>
      <w:r>
        <w:rPr>
          <w:b/>
          <w:bCs/>
        </w:rPr>
        <w:tab/>
      </w:r>
      <w:r w:rsidR="00CC64C0">
        <w:t>ECE/TRANS/WP.29/GRB/2017/6</w:t>
      </w:r>
      <w:r>
        <w:t>.</w:t>
      </w:r>
    </w:p>
    <w:p w:rsidR="00CC64C0" w:rsidRPr="000F493E" w:rsidRDefault="00A72AAC" w:rsidP="00A72AAC">
      <w:pPr>
        <w:pStyle w:val="H23G"/>
      </w:pPr>
      <w:r>
        <w:tab/>
      </w:r>
      <w:r w:rsidR="00CC64C0">
        <w:t>b)</w:t>
      </w:r>
      <w:r w:rsidR="00CC64C0">
        <w:tab/>
        <w:t>Prescriptions supplémentaires applicables aux émissions sonores</w:t>
      </w:r>
    </w:p>
    <w:p w:rsidR="00CC64C0" w:rsidRDefault="00CC64C0" w:rsidP="004A3F70">
      <w:pPr>
        <w:pStyle w:val="SingleTxtG"/>
        <w:ind w:firstLine="567"/>
      </w:pPr>
      <w:r>
        <w:t>Le Groupe de travail examinera les propositions soumises par le groupe de travail informel des prescriptions supplémentaires applicables aux émissions sonores.</w:t>
      </w:r>
    </w:p>
    <w:p w:rsidR="00CC64C0" w:rsidRPr="00AF54CD" w:rsidRDefault="00C134D0" w:rsidP="00CC64C0">
      <w:pPr>
        <w:pStyle w:val="SingleTxtG"/>
        <w:spacing w:before="240" w:after="0" w:line="240" w:lineRule="exact"/>
        <w:jc w:val="left"/>
      </w:pPr>
      <w:r w:rsidRPr="004A3F70">
        <w:rPr>
          <w:bCs/>
          <w:i/>
        </w:rPr>
        <w:t>Document(s) </w:t>
      </w:r>
      <w:r w:rsidRPr="004A3F70">
        <w:rPr>
          <w:bCs/>
        </w:rPr>
        <w:t>:</w:t>
      </w:r>
      <w:r>
        <w:rPr>
          <w:b/>
          <w:bCs/>
        </w:rPr>
        <w:tab/>
      </w:r>
      <w:r w:rsidR="00CC64C0">
        <w:t>ECE/TRANS/WP.29/GRB/2017/5</w:t>
      </w:r>
      <w:r>
        <w:t>.</w:t>
      </w:r>
    </w:p>
    <w:p w:rsidR="00CC64C0" w:rsidRPr="000F493E" w:rsidRDefault="00C134D0" w:rsidP="00C134D0">
      <w:pPr>
        <w:pStyle w:val="H1G"/>
      </w:pPr>
      <w:r>
        <w:tab/>
      </w:r>
      <w:r w:rsidR="00CC64C0">
        <w:t>5.</w:t>
      </w:r>
      <w:r w:rsidR="00CC64C0">
        <w:tab/>
        <w:t xml:space="preserve">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="00CC64C0">
        <w:t>63 (Bruit émis par les cyclomoteurs)</w:t>
      </w:r>
    </w:p>
    <w:p w:rsidR="00CC64C0" w:rsidRDefault="00CC64C0" w:rsidP="004A3F70">
      <w:pPr>
        <w:pStyle w:val="SingleTxtG"/>
        <w:ind w:firstLine="567"/>
      </w:pPr>
      <w:r>
        <w:t>Le Groupe de travail reprendra l’examen des projets d’amendement concernant les cycles motorisés proposés par l’expert de la Commission européenne.</w:t>
      </w:r>
    </w:p>
    <w:p w:rsidR="00CC64C0" w:rsidRPr="009B0901" w:rsidRDefault="00C134D0" w:rsidP="005B3CE1">
      <w:pPr>
        <w:pStyle w:val="SingleTxtG"/>
      </w:pPr>
      <w:r w:rsidRPr="004A3F70">
        <w:rPr>
          <w:bCs/>
          <w:i/>
        </w:rPr>
        <w:t>Document(s) </w:t>
      </w:r>
      <w:r w:rsidRPr="004A3F70">
        <w:rPr>
          <w:bCs/>
        </w:rPr>
        <w:t>:</w:t>
      </w:r>
      <w:r>
        <w:rPr>
          <w:b/>
          <w:bCs/>
        </w:rPr>
        <w:tab/>
      </w:r>
      <w:r w:rsidR="005B3CE1">
        <w:t>d</w:t>
      </w:r>
      <w:r w:rsidR="00CC64C0">
        <w:t>ocument informel GRB-65-09</w:t>
      </w:r>
      <w:r>
        <w:t>.</w:t>
      </w:r>
    </w:p>
    <w:p w:rsidR="00CC64C0" w:rsidRPr="00EA3595" w:rsidRDefault="00C134D0" w:rsidP="00C134D0">
      <w:pPr>
        <w:pStyle w:val="H1G"/>
      </w:pPr>
      <w:r>
        <w:tab/>
      </w:r>
      <w:r w:rsidR="00CC64C0">
        <w:t>6.</w:t>
      </w:r>
      <w:r w:rsidR="00CC64C0">
        <w:tab/>
        <w:t xml:space="preserve">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="00CC64C0">
        <w:t xml:space="preserve">117 (Pneumatiques </w:t>
      </w:r>
      <w:r>
        <w:t>−</w:t>
      </w:r>
      <w:r w:rsidR="00CC64C0">
        <w:t xml:space="preserve"> résistance au roulement, </w:t>
      </w:r>
      <w:r>
        <w:br/>
      </w:r>
      <w:r w:rsidR="00CC64C0">
        <w:t>bruit de roulement et adhérence sur sol mouillé)</w:t>
      </w:r>
    </w:p>
    <w:p w:rsidR="00CC64C0" w:rsidRDefault="00CC64C0" w:rsidP="004A3F70">
      <w:pPr>
        <w:pStyle w:val="SingleTxtG"/>
        <w:ind w:firstLine="567"/>
      </w:pPr>
      <w:r>
        <w:t>Le Groupe de travail examinera de nouvelles propositions, le cas échéant.</w:t>
      </w:r>
      <w:r>
        <w:tab/>
      </w:r>
    </w:p>
    <w:p w:rsidR="00CC64C0" w:rsidRPr="00614F39" w:rsidRDefault="00CC64C0" w:rsidP="00CC64C0">
      <w:pPr>
        <w:pStyle w:val="H1G"/>
        <w:spacing w:before="240" w:line="240" w:lineRule="exact"/>
        <w:ind w:left="675" w:firstLine="0"/>
      </w:pPr>
      <w:r>
        <w:t>7.</w:t>
      </w:r>
      <w:r>
        <w:tab/>
      </w:r>
      <w:r>
        <w:rPr>
          <w:bCs/>
        </w:rPr>
        <w:t xml:space="preserve">Règlement </w:t>
      </w:r>
      <w:r w:rsidR="00C134D0" w:rsidRPr="00C134D0">
        <w:rPr>
          <w:rFonts w:eastAsia="MS Mincho"/>
          <w:bCs/>
        </w:rPr>
        <w:t>n</w:t>
      </w:r>
      <w:r w:rsidR="00C134D0" w:rsidRPr="00C134D0">
        <w:rPr>
          <w:rFonts w:eastAsia="MS Mincho"/>
          <w:bCs/>
          <w:vertAlign w:val="superscript"/>
        </w:rPr>
        <w:t>o</w:t>
      </w:r>
      <w:r w:rsidR="00C134D0">
        <w:rPr>
          <w:bCs/>
        </w:rPr>
        <w:t> </w:t>
      </w:r>
      <w:r>
        <w:rPr>
          <w:bCs/>
        </w:rPr>
        <w:t>138 (Véhicules à moteur silencieux)</w:t>
      </w:r>
    </w:p>
    <w:p w:rsidR="00CC64C0" w:rsidRDefault="00CC64C0" w:rsidP="004A3F70">
      <w:pPr>
        <w:pStyle w:val="SingleTxtG"/>
        <w:ind w:firstLine="567"/>
      </w:pPr>
      <w:r>
        <w:t>Le groupe de travail informel chargé du Règlement concernant les véhicules à moteur silencieux e</w:t>
      </w:r>
      <w:r w:rsidR="00C134D0">
        <w:t>t le groupe de travail informel</w:t>
      </w:r>
      <w:r>
        <w:t xml:space="preserve"> chargé de l’élaboration d’un Règlement technique mondial sur la question rendront compte de leurs activités. </w:t>
      </w:r>
    </w:p>
    <w:p w:rsidR="00CC64C0" w:rsidRDefault="00CC64C0" w:rsidP="004A3F70">
      <w:pPr>
        <w:pStyle w:val="SingleTxtG"/>
        <w:ind w:firstLine="567"/>
      </w:pPr>
      <w:r>
        <w:t xml:space="preserve">Le GRB est également invité à examiner une proposition de l’expert de l’Organisation internationale des constructeurs d’automobiles (OICA), visant à harmoniser la formulation des dispositions transitoires figurant dans la série 01 d’amendements au Règlement </w:t>
      </w:r>
      <w:r w:rsidR="00C134D0">
        <w:rPr>
          <w:rFonts w:eastAsia="MS Mincho"/>
        </w:rPr>
        <w:t>n</w:t>
      </w:r>
      <w:r w:rsidR="00C134D0">
        <w:rPr>
          <w:rFonts w:eastAsia="MS Mincho"/>
          <w:vertAlign w:val="superscript"/>
        </w:rPr>
        <w:t>o</w:t>
      </w:r>
      <w:r w:rsidR="00C134D0">
        <w:t> </w:t>
      </w:r>
      <w:r>
        <w:t>138.</w:t>
      </w:r>
    </w:p>
    <w:p w:rsidR="00CC64C0" w:rsidRPr="00614F39" w:rsidRDefault="005F43C4" w:rsidP="00CC64C0">
      <w:pPr>
        <w:spacing w:before="240" w:line="240" w:lineRule="exact"/>
        <w:ind w:left="1134" w:right="1134"/>
        <w:jc w:val="both"/>
      </w:pPr>
      <w:r w:rsidRPr="004A3F70">
        <w:rPr>
          <w:bCs/>
          <w:i/>
        </w:rPr>
        <w:t>Document(s) </w:t>
      </w:r>
      <w:r w:rsidRPr="004A3F70">
        <w:rPr>
          <w:bCs/>
        </w:rPr>
        <w:t>:</w:t>
      </w:r>
      <w:r>
        <w:rPr>
          <w:b/>
          <w:bCs/>
        </w:rPr>
        <w:tab/>
      </w:r>
      <w:r w:rsidR="00CC64C0">
        <w:t>ECE/TRANS/WP.29/GRB/2017/7</w:t>
      </w:r>
      <w:r>
        <w:t>.</w:t>
      </w:r>
    </w:p>
    <w:p w:rsidR="00CC64C0" w:rsidRPr="00614F39" w:rsidRDefault="005F43C4" w:rsidP="005F43C4">
      <w:pPr>
        <w:pStyle w:val="H1G"/>
      </w:pPr>
      <w:r>
        <w:tab/>
      </w:r>
      <w:r w:rsidR="00CC64C0">
        <w:t>8.</w:t>
      </w:r>
      <w:r w:rsidR="00CC64C0">
        <w:tab/>
        <w:t>Projet de Règlement sur les avertisseurs de marche arrière</w:t>
      </w:r>
    </w:p>
    <w:p w:rsidR="00CC64C0" w:rsidRDefault="00CC64C0" w:rsidP="004A3F70">
      <w:pPr>
        <w:pStyle w:val="SingleTxtG"/>
        <w:ind w:firstLine="567"/>
      </w:pPr>
      <w:r>
        <w:t>À sa session précédente, le GRB a estimé qu’il convenait d’élaborer un nouveau Règlement sur les avertisseurs de marche arrière et que les principales questions à examiner seraient son champ d’application (catégories de véhicules), l’existence éventuelle d’une commande de mise en pause et la composition du signal sonore (niveaux et fréquences). Le</w:t>
      </w:r>
      <w:r w:rsidR="005F43C4">
        <w:t> </w:t>
      </w:r>
      <w:r>
        <w:t>GRB a décidé qu’il n’était pas nécessaire de créer un nouveau groupe de travail informel et que la rédaction initiale du projet serait confiée à un petit groupe de parties intéressées.</w:t>
      </w:r>
    </w:p>
    <w:p w:rsidR="00CC64C0" w:rsidRDefault="00CC64C0" w:rsidP="004A3F70">
      <w:pPr>
        <w:pStyle w:val="SingleTxtG"/>
        <w:ind w:firstLine="567"/>
      </w:pPr>
      <w:r>
        <w:t xml:space="preserve">Dans ce contexte, le GRB sera informé des progrès réalisés dans l’élaboration d’un nouveau projet de Règlement. </w:t>
      </w:r>
    </w:p>
    <w:p w:rsidR="00CC64C0" w:rsidRPr="009B0901" w:rsidRDefault="005F43C4" w:rsidP="00CC64C0">
      <w:pPr>
        <w:spacing w:before="240" w:line="240" w:lineRule="exact"/>
        <w:ind w:left="1134" w:right="1134"/>
        <w:jc w:val="both"/>
      </w:pPr>
      <w:r w:rsidRPr="004A3F70">
        <w:rPr>
          <w:bCs/>
          <w:i/>
        </w:rPr>
        <w:t>Document(s) </w:t>
      </w:r>
      <w:r w:rsidRPr="004A3F70">
        <w:rPr>
          <w:bCs/>
        </w:rPr>
        <w:t>:</w:t>
      </w:r>
      <w:r>
        <w:rPr>
          <w:b/>
          <w:bCs/>
        </w:rPr>
        <w:tab/>
      </w:r>
      <w:r w:rsidR="00CC64C0">
        <w:t>ECE/TRANS/WP.29/GRB/63, par. 3 et 4</w:t>
      </w:r>
      <w:r>
        <w:t>.</w:t>
      </w:r>
    </w:p>
    <w:p w:rsidR="00CC64C0" w:rsidRPr="000F493E" w:rsidRDefault="005F43C4" w:rsidP="005F43C4">
      <w:pPr>
        <w:pStyle w:val="H1G"/>
      </w:pPr>
      <w:r>
        <w:tab/>
      </w:r>
      <w:r w:rsidR="00CC64C0">
        <w:t>9.</w:t>
      </w:r>
      <w:r w:rsidR="00CC64C0">
        <w:tab/>
        <w:t>Amendements collectifs</w:t>
      </w:r>
    </w:p>
    <w:p w:rsidR="00CC64C0" w:rsidRDefault="00CC64C0" w:rsidP="004A3F70">
      <w:pPr>
        <w:pStyle w:val="SingleTxtG"/>
        <w:ind w:firstLine="567"/>
      </w:pPr>
      <w:r>
        <w:t>Le Groupe de travail examinera de nouvelles</w:t>
      </w:r>
      <w:r w:rsidR="005F43C4">
        <w:t xml:space="preserve"> propositions, le cas échéant.</w:t>
      </w:r>
    </w:p>
    <w:p w:rsidR="00CC64C0" w:rsidRPr="000F493E" w:rsidRDefault="005F43C4" w:rsidP="005F43C4">
      <w:pPr>
        <w:pStyle w:val="H1G"/>
      </w:pPr>
      <w:r>
        <w:tab/>
      </w:r>
      <w:r w:rsidR="00CC64C0">
        <w:t>10.</w:t>
      </w:r>
      <w:r w:rsidR="00CC64C0">
        <w:tab/>
        <w:t xml:space="preserve">Échange de renseignements sur les prescriptions nationales </w:t>
      </w:r>
      <w:r>
        <w:br/>
      </w:r>
      <w:r w:rsidR="00CC64C0">
        <w:t>et internationales en matière de niveau sonore</w:t>
      </w:r>
    </w:p>
    <w:p w:rsidR="00CC64C0" w:rsidRDefault="00CC64C0" w:rsidP="004A3F70">
      <w:pPr>
        <w:pStyle w:val="SingleTxtG"/>
        <w:ind w:firstLine="567"/>
      </w:pPr>
      <w:r>
        <w:t>Le GRB poursuivra l’échange de vues sur l’élaboration de législations nationales ou régionales et de prescriptions internationales en matière de niveau sonore.</w:t>
      </w:r>
    </w:p>
    <w:p w:rsidR="00CC64C0" w:rsidRPr="000F493E" w:rsidRDefault="005F43C4" w:rsidP="005F43C4">
      <w:pPr>
        <w:pStyle w:val="H1G"/>
      </w:pPr>
      <w:r>
        <w:tab/>
      </w:r>
      <w:r w:rsidR="00CC64C0">
        <w:t>11.</w:t>
      </w:r>
      <w:r w:rsidR="00CC64C0">
        <w:tab/>
        <w:t>Incidence du revêtement de la route sur le bruit de roulement</w:t>
      </w:r>
      <w:r w:rsidR="005B3CE1">
        <w:t xml:space="preserve"> </w:t>
      </w:r>
      <w:r w:rsidR="005B3CE1">
        <w:br/>
        <w:t>des pneumatiques</w:t>
      </w:r>
    </w:p>
    <w:p w:rsidR="00CC64C0" w:rsidRDefault="00CC64C0" w:rsidP="004A3F70">
      <w:pPr>
        <w:pStyle w:val="SingleTxtG"/>
        <w:ind w:firstLine="567"/>
      </w:pPr>
      <w:r>
        <w:t xml:space="preserve">Le GRB se souviendra du projet de labellisation des revêtements routiers présenté par l’expert des Pays-Bas à sa dernière session. </w:t>
      </w:r>
    </w:p>
    <w:p w:rsidR="00CC64C0" w:rsidRPr="009B0901" w:rsidRDefault="005F43C4" w:rsidP="00CC64C0">
      <w:pPr>
        <w:pStyle w:val="SingleTxtG"/>
        <w:spacing w:before="240" w:after="0" w:line="240" w:lineRule="exact"/>
        <w:jc w:val="left"/>
      </w:pPr>
      <w:r w:rsidRPr="004A3F70">
        <w:rPr>
          <w:bCs/>
          <w:i/>
        </w:rPr>
        <w:t>Document(s) </w:t>
      </w:r>
      <w:r w:rsidRPr="004A3F70">
        <w:rPr>
          <w:bCs/>
        </w:rPr>
        <w:t>:</w:t>
      </w:r>
      <w:r>
        <w:rPr>
          <w:b/>
          <w:bCs/>
        </w:rPr>
        <w:tab/>
      </w:r>
      <w:r w:rsidR="00CC64C0">
        <w:t>ECE/TRANS/WP.29/GRB/63, par. 24</w:t>
      </w:r>
      <w:r>
        <w:t>.</w:t>
      </w:r>
    </w:p>
    <w:p w:rsidR="00CC64C0" w:rsidRPr="000F493E" w:rsidRDefault="005F43C4" w:rsidP="005F43C4">
      <w:pPr>
        <w:pStyle w:val="H1G"/>
      </w:pPr>
      <w:r>
        <w:tab/>
      </w:r>
      <w:r w:rsidR="00CC64C0">
        <w:t>12.</w:t>
      </w:r>
      <w:r w:rsidR="00CC64C0">
        <w:tab/>
        <w:t xml:space="preserve">Sigles et abréviations figurant dans les Règlements relevant </w:t>
      </w:r>
      <w:r>
        <w:br/>
      </w:r>
      <w:r w:rsidR="00CC64C0">
        <w:t>de la responsabilité du Groupe de travail du bruit</w:t>
      </w:r>
      <w:r w:rsidR="005B3CE1">
        <w:t xml:space="preserve"> (GRB)</w:t>
      </w:r>
    </w:p>
    <w:p w:rsidR="00CC64C0" w:rsidRDefault="00CC64C0" w:rsidP="004A3F70">
      <w:pPr>
        <w:pStyle w:val="SingleTxtG"/>
        <w:ind w:firstLine="567"/>
      </w:pPr>
      <w:r>
        <w:t>Le GRB souhaitera peut-être établir une liste des nouveaux sigles et abréviations figurant dans les Règlements relevant de sa responsabilité.</w:t>
      </w:r>
    </w:p>
    <w:p w:rsidR="00CC64C0" w:rsidRPr="00EA3595" w:rsidRDefault="00B839E8" w:rsidP="00CC64C0">
      <w:pPr>
        <w:pStyle w:val="H1G"/>
        <w:keepNext w:val="0"/>
        <w:keepLines w:val="0"/>
        <w:spacing w:before="240" w:line="240" w:lineRule="exact"/>
      </w:pPr>
      <w:r>
        <w:tab/>
      </w:r>
      <w:r w:rsidR="00CC64C0">
        <w:t>13.</w:t>
      </w:r>
      <w:r w:rsidR="00CC64C0">
        <w:tab/>
      </w:r>
      <w:r w:rsidR="00CC64C0">
        <w:rPr>
          <w:bCs/>
        </w:rPr>
        <w:t xml:space="preserve">Propositions d’amendements à la Résolution d’ensemble </w:t>
      </w:r>
      <w:r>
        <w:rPr>
          <w:bCs/>
        </w:rPr>
        <w:br/>
      </w:r>
      <w:r w:rsidR="00CC64C0">
        <w:rPr>
          <w:bCs/>
        </w:rPr>
        <w:t>sur la construction des véhicules</w:t>
      </w:r>
    </w:p>
    <w:p w:rsidR="00CC64C0" w:rsidRDefault="00CC64C0" w:rsidP="004A3F70">
      <w:pPr>
        <w:pStyle w:val="SingleTxtG"/>
        <w:ind w:firstLine="567"/>
        <w:rPr>
          <w:bCs/>
        </w:rPr>
      </w:pPr>
      <w:r>
        <w:t xml:space="preserve">Le Groupe de travail se souviendra de la proposition de l’expert de la Fédération de Russie visant à changer l’unité de mesure de la masse des véhicules en passant de la tonne au kilogramme. </w:t>
      </w:r>
    </w:p>
    <w:p w:rsidR="00CC64C0" w:rsidRPr="00B91017" w:rsidRDefault="00B839E8" w:rsidP="00B839E8">
      <w:pPr>
        <w:pStyle w:val="SingleTxtG"/>
        <w:spacing w:before="240" w:line="240" w:lineRule="exact"/>
        <w:ind w:left="2835" w:hanging="1701"/>
        <w:jc w:val="left"/>
        <w:rPr>
          <w:bCs/>
        </w:rPr>
      </w:pPr>
      <w:r w:rsidRPr="004A3F70">
        <w:rPr>
          <w:bCs/>
          <w:i/>
        </w:rPr>
        <w:t>Document(s) </w:t>
      </w:r>
      <w:r w:rsidRPr="004A3F70">
        <w:rPr>
          <w:bCs/>
        </w:rPr>
        <w:t>:</w:t>
      </w:r>
      <w:r>
        <w:rPr>
          <w:b/>
          <w:bCs/>
        </w:rPr>
        <w:tab/>
      </w:r>
      <w:r w:rsidR="00CC64C0">
        <w:t xml:space="preserve">ECE/TRANS/WP.29/78/Rev.4 ; </w:t>
      </w:r>
      <w:r>
        <w:br/>
      </w:r>
      <w:r w:rsidR="00CC64C0">
        <w:t xml:space="preserve">document informel GRB-65-03-Rev.1. </w:t>
      </w:r>
    </w:p>
    <w:p w:rsidR="00CC64C0" w:rsidRPr="00EA3595" w:rsidRDefault="00B839E8" w:rsidP="00B839E8">
      <w:pPr>
        <w:pStyle w:val="H1G"/>
      </w:pPr>
      <w:r>
        <w:tab/>
      </w:r>
      <w:r w:rsidR="00CC64C0">
        <w:t>14.</w:t>
      </w:r>
      <w:r w:rsidR="00CC64C0">
        <w:tab/>
        <w:t xml:space="preserve">Mise au point d’une homologation de type internationale de l’ensemble du véhicule (IWVTA) et participation des groupes de travail </w:t>
      </w:r>
      <w:r>
        <w:br/>
        <w:t>à cette mise au point</w:t>
      </w:r>
    </w:p>
    <w:p w:rsidR="00CC64C0" w:rsidRPr="000F493E" w:rsidRDefault="00CC64C0" w:rsidP="004A3F70">
      <w:pPr>
        <w:pStyle w:val="SingleTxtG"/>
        <w:ind w:firstLine="567"/>
      </w:pPr>
      <w:r>
        <w:t>Le GRB voudra peut-être examiner cette question à la lumière des discussions ayant eu lieu aux sessions de mars et juin 2017 du WP.29.</w:t>
      </w:r>
    </w:p>
    <w:p w:rsidR="00CC64C0" w:rsidRPr="000F493E" w:rsidRDefault="00B839E8" w:rsidP="00B839E8">
      <w:pPr>
        <w:pStyle w:val="H1G"/>
      </w:pPr>
      <w:r>
        <w:tab/>
      </w:r>
      <w:r w:rsidR="00CC64C0">
        <w:t>15.</w:t>
      </w:r>
      <w:r w:rsidR="00CC64C0">
        <w:tab/>
        <w:t>Points à retenir des session</w:t>
      </w:r>
      <w:r w:rsidR="005B3CE1">
        <w:t>s de mars et juin 2017 du WP.29</w:t>
      </w:r>
    </w:p>
    <w:p w:rsidR="00CC64C0" w:rsidRPr="007C763B" w:rsidRDefault="00CC64C0" w:rsidP="004A3F70">
      <w:pPr>
        <w:pStyle w:val="SingleTxtG"/>
        <w:ind w:firstLine="567"/>
        <w:rPr>
          <w:b/>
        </w:rPr>
      </w:pPr>
      <w:r w:rsidRPr="007C763B">
        <w:t>Le Groupe de travail sera informé par le secrétariat des faits marquants de la session du WP.29 de novembre 2016 sur des questions qui le concer</w:t>
      </w:r>
      <w:r w:rsidR="004A3F70">
        <w:t>nent et des questions communes.</w:t>
      </w:r>
    </w:p>
    <w:p w:rsidR="00CC64C0" w:rsidRPr="00EA3595" w:rsidRDefault="00751810" w:rsidP="00751810">
      <w:pPr>
        <w:pStyle w:val="H1G"/>
      </w:pPr>
      <w:r>
        <w:tab/>
      </w:r>
      <w:r w:rsidR="00CC64C0" w:rsidRPr="007C763B">
        <w:t>16.</w:t>
      </w:r>
      <w:r w:rsidR="00CC64C0" w:rsidRPr="007C763B">
        <w:tab/>
      </w:r>
      <w:r w:rsidR="00CC64C0">
        <w:t>Échange de vues sur les travaux futurs du GRB</w:t>
      </w:r>
    </w:p>
    <w:p w:rsidR="00CC64C0" w:rsidRPr="00EA3595" w:rsidRDefault="00CC64C0" w:rsidP="004A3F70">
      <w:pPr>
        <w:pStyle w:val="SingleTxtG"/>
        <w:ind w:firstLine="567"/>
      </w:pPr>
      <w:r>
        <w:t>Le Groupe de travail souhaitera sans doute reprendre l’examen des questions à inclure dans ses travaux futurs.</w:t>
      </w:r>
    </w:p>
    <w:p w:rsidR="00CC64C0" w:rsidRDefault="00751810" w:rsidP="00CC64C0">
      <w:pPr>
        <w:pStyle w:val="SingleTxtG"/>
        <w:spacing w:before="240" w:after="0" w:line="240" w:lineRule="exact"/>
        <w:jc w:val="left"/>
      </w:pPr>
      <w:r w:rsidRPr="004A3F70">
        <w:rPr>
          <w:bCs/>
          <w:i/>
        </w:rPr>
        <w:t>Document(s) </w:t>
      </w:r>
      <w:r w:rsidRPr="004A3F70">
        <w:rPr>
          <w:bCs/>
        </w:rPr>
        <w:t>:</w:t>
      </w:r>
      <w:r>
        <w:rPr>
          <w:b/>
          <w:bCs/>
        </w:rPr>
        <w:tab/>
      </w:r>
      <w:r w:rsidR="005B3CE1">
        <w:t>d</w:t>
      </w:r>
      <w:r w:rsidR="00CC64C0">
        <w:t>ocument informel GRB-65-15.</w:t>
      </w:r>
    </w:p>
    <w:p w:rsidR="00CC64C0" w:rsidRPr="00EA3595" w:rsidRDefault="00751810" w:rsidP="00751810">
      <w:pPr>
        <w:pStyle w:val="H1G"/>
      </w:pPr>
      <w:r>
        <w:tab/>
      </w:r>
      <w:r w:rsidR="00CC64C0">
        <w:t>17.</w:t>
      </w:r>
      <w:r w:rsidR="00CC64C0">
        <w:tab/>
        <w:t>Questions diverses</w:t>
      </w:r>
    </w:p>
    <w:p w:rsidR="00CC64C0" w:rsidRPr="000F493E" w:rsidRDefault="00CC64C0" w:rsidP="004A3F70">
      <w:pPr>
        <w:pStyle w:val="SingleTxtG"/>
        <w:ind w:firstLine="567"/>
      </w:pPr>
      <w:r>
        <w:t>Le GRB souhaitera peut-être examiner d’autres questions, si nécessaire.</w:t>
      </w:r>
    </w:p>
    <w:p w:rsidR="00CC64C0" w:rsidRPr="00EA3595" w:rsidRDefault="00751810" w:rsidP="00751810">
      <w:pPr>
        <w:pStyle w:val="H1G"/>
      </w:pPr>
      <w:r>
        <w:tab/>
      </w:r>
      <w:r w:rsidR="00CC64C0">
        <w:t>18.</w:t>
      </w:r>
      <w:r w:rsidR="00CC64C0">
        <w:tab/>
        <w:t>Ordre du jour provisoire de la soixante-septième session</w:t>
      </w:r>
    </w:p>
    <w:p w:rsidR="00CC64C0" w:rsidRDefault="00CC64C0" w:rsidP="004A3F70">
      <w:pPr>
        <w:pStyle w:val="SingleTxtG"/>
        <w:ind w:firstLine="567"/>
      </w:pPr>
      <w:r>
        <w:t xml:space="preserve">Le Groupe de travail est invité à donner des indications concernant l’ordre du jour provisoire de la prochaine session qui </w:t>
      </w:r>
      <w:r w:rsidR="00751810">
        <w:t>devrait se tenir à Genève du 24 janvier 2018 à partir de 14 h </w:t>
      </w:r>
      <w:r>
        <w:t>30 au 26 janvier 2018 à 17</w:t>
      </w:r>
      <w:r w:rsidR="00751810">
        <w:t> </w:t>
      </w:r>
      <w:r>
        <w:t>h</w:t>
      </w:r>
      <w:r w:rsidR="00751810">
        <w:t> </w:t>
      </w:r>
      <w:r>
        <w:t>30</w:t>
      </w:r>
      <w:r w:rsidR="00751810">
        <w:t>.</w:t>
      </w:r>
    </w:p>
    <w:p w:rsidR="00CC64C0" w:rsidRPr="00F769AF" w:rsidRDefault="00751810" w:rsidP="00751810">
      <w:pPr>
        <w:pStyle w:val="H1G"/>
      </w:pPr>
      <w:r>
        <w:tab/>
      </w:r>
      <w:r w:rsidR="00CC64C0">
        <w:t>19.</w:t>
      </w:r>
      <w:r w:rsidR="00CC64C0">
        <w:tab/>
        <w:t>Élection du Bureau</w:t>
      </w:r>
    </w:p>
    <w:p w:rsidR="00F9573C" w:rsidRDefault="00CC64C0" w:rsidP="004A3F70">
      <w:pPr>
        <w:pStyle w:val="SingleTxtG"/>
        <w:ind w:firstLine="567"/>
      </w:pPr>
      <w:r w:rsidRPr="00E05F57">
        <w:rPr>
          <w:spacing w:val="-2"/>
        </w:rPr>
        <w:t>Conformément à l’</w:t>
      </w:r>
      <w:r w:rsidR="00751810" w:rsidRPr="00E05F57">
        <w:rPr>
          <w:spacing w:val="-2"/>
        </w:rPr>
        <w:t>article </w:t>
      </w:r>
      <w:r w:rsidRPr="00E05F57">
        <w:rPr>
          <w:spacing w:val="-2"/>
        </w:rPr>
        <w:t>37 du Règlement intérieur (TRANS/WP.29/690 et Amend.1),</w:t>
      </w:r>
      <w:r>
        <w:t xml:space="preserve"> le GRB élira le Président et le Vice-Président pour les sessions prévues en 2017.</w:t>
      </w:r>
    </w:p>
    <w:p w:rsidR="002F299F" w:rsidRPr="002F299F" w:rsidRDefault="002F299F" w:rsidP="002F299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F299F" w:rsidRPr="002F299F" w:rsidSect="008B66D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BF" w:rsidRDefault="006A65BF" w:rsidP="00F95C08">
      <w:pPr>
        <w:spacing w:line="240" w:lineRule="auto"/>
      </w:pPr>
    </w:p>
  </w:endnote>
  <w:endnote w:type="continuationSeparator" w:id="0">
    <w:p w:rsidR="006A65BF" w:rsidRPr="00AC3823" w:rsidRDefault="006A65BF" w:rsidP="00AC3823">
      <w:pPr>
        <w:pStyle w:val="Footer"/>
      </w:pPr>
    </w:p>
  </w:endnote>
  <w:endnote w:type="continuationNotice" w:id="1">
    <w:p w:rsidR="006A65BF" w:rsidRDefault="006A65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D1" w:rsidRPr="008B66D1" w:rsidRDefault="008B66D1" w:rsidP="008B66D1">
    <w:pPr>
      <w:pStyle w:val="Footer"/>
      <w:tabs>
        <w:tab w:val="right" w:pos="9638"/>
      </w:tabs>
    </w:pPr>
    <w:r w:rsidRPr="008B66D1">
      <w:rPr>
        <w:b/>
        <w:sz w:val="18"/>
      </w:rPr>
      <w:fldChar w:fldCharType="begin"/>
    </w:r>
    <w:r w:rsidRPr="008B66D1">
      <w:rPr>
        <w:b/>
        <w:sz w:val="18"/>
      </w:rPr>
      <w:instrText xml:space="preserve"> PAGE  \* MERGEFORMAT </w:instrText>
    </w:r>
    <w:r w:rsidRPr="008B66D1">
      <w:rPr>
        <w:b/>
        <w:sz w:val="18"/>
      </w:rPr>
      <w:fldChar w:fldCharType="separate"/>
    </w:r>
    <w:r w:rsidR="008C317B">
      <w:rPr>
        <w:b/>
        <w:noProof/>
        <w:sz w:val="18"/>
      </w:rPr>
      <w:t>4</w:t>
    </w:r>
    <w:r w:rsidRPr="008B66D1">
      <w:rPr>
        <w:b/>
        <w:sz w:val="18"/>
      </w:rPr>
      <w:fldChar w:fldCharType="end"/>
    </w:r>
    <w:r>
      <w:rPr>
        <w:b/>
        <w:sz w:val="18"/>
      </w:rPr>
      <w:tab/>
    </w:r>
    <w:r>
      <w:t>GE.17-09840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D1" w:rsidRPr="008B66D1" w:rsidRDefault="008B66D1" w:rsidP="008B66D1">
    <w:pPr>
      <w:pStyle w:val="Footer"/>
      <w:tabs>
        <w:tab w:val="right" w:pos="9638"/>
      </w:tabs>
      <w:rPr>
        <w:b/>
        <w:sz w:val="18"/>
      </w:rPr>
    </w:pPr>
    <w:r>
      <w:t>GE.17-09840</w:t>
    </w:r>
    <w:r>
      <w:tab/>
    </w:r>
    <w:r w:rsidRPr="008B66D1">
      <w:rPr>
        <w:b/>
        <w:sz w:val="18"/>
      </w:rPr>
      <w:fldChar w:fldCharType="begin"/>
    </w:r>
    <w:r w:rsidRPr="008B66D1">
      <w:rPr>
        <w:b/>
        <w:sz w:val="18"/>
      </w:rPr>
      <w:instrText xml:space="preserve"> PAGE  \* MERGEFORMAT </w:instrText>
    </w:r>
    <w:r w:rsidRPr="008B66D1">
      <w:rPr>
        <w:b/>
        <w:sz w:val="18"/>
      </w:rPr>
      <w:fldChar w:fldCharType="separate"/>
    </w:r>
    <w:r w:rsidR="008C317B">
      <w:rPr>
        <w:b/>
        <w:noProof/>
        <w:sz w:val="18"/>
      </w:rPr>
      <w:t>5</w:t>
    </w:r>
    <w:r w:rsidRPr="008B66D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8B66D1" w:rsidRDefault="008B66D1" w:rsidP="008B66D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17-09840  (F)</w:t>
    </w:r>
    <w:r w:rsidR="0024185E">
      <w:rPr>
        <w:sz w:val="20"/>
      </w:rPr>
      <w:t xml:space="preserve">    120717    120717</w:t>
    </w:r>
    <w:r>
      <w:rPr>
        <w:sz w:val="20"/>
      </w:rPr>
      <w:br/>
    </w:r>
    <w:r w:rsidRPr="008B66D1">
      <w:rPr>
        <w:rFonts w:ascii="C39T30Lfz" w:hAnsi="C39T30Lfz"/>
        <w:sz w:val="56"/>
      </w:rPr>
      <w:t></w:t>
    </w:r>
    <w:r w:rsidRPr="008B66D1">
      <w:rPr>
        <w:rFonts w:ascii="C39T30Lfz" w:hAnsi="C39T30Lfz"/>
        <w:sz w:val="56"/>
      </w:rPr>
      <w:t></w:t>
    </w:r>
    <w:r w:rsidRPr="008B66D1">
      <w:rPr>
        <w:rFonts w:ascii="C39T30Lfz" w:hAnsi="C39T30Lfz"/>
        <w:sz w:val="56"/>
      </w:rPr>
      <w:t></w:t>
    </w:r>
    <w:r w:rsidRPr="008B66D1">
      <w:rPr>
        <w:rFonts w:ascii="C39T30Lfz" w:hAnsi="C39T30Lfz"/>
        <w:sz w:val="56"/>
      </w:rPr>
      <w:t></w:t>
    </w:r>
    <w:r w:rsidRPr="008B66D1">
      <w:rPr>
        <w:rFonts w:ascii="C39T30Lfz" w:hAnsi="C39T30Lfz"/>
        <w:sz w:val="56"/>
      </w:rPr>
      <w:t></w:t>
    </w:r>
    <w:r w:rsidRPr="008B66D1">
      <w:rPr>
        <w:rFonts w:ascii="C39T30Lfz" w:hAnsi="C39T30Lfz"/>
        <w:sz w:val="56"/>
      </w:rPr>
      <w:t></w:t>
    </w:r>
    <w:r w:rsidRPr="008B66D1">
      <w:rPr>
        <w:rFonts w:ascii="C39T30Lfz" w:hAnsi="C39T30Lfz"/>
        <w:sz w:val="56"/>
      </w:rPr>
      <w:t></w:t>
    </w:r>
    <w:r w:rsidRPr="008B66D1">
      <w:rPr>
        <w:rFonts w:ascii="C39T30Lfz" w:hAnsi="C39T30Lfz"/>
        <w:sz w:val="56"/>
      </w:rPr>
      <w:t></w:t>
    </w:r>
    <w:r w:rsidRPr="008B66D1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B/2017/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7/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BF" w:rsidRPr="00AC3823" w:rsidRDefault="006A65B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A65BF" w:rsidRPr="00AC3823" w:rsidRDefault="006A65B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A65BF" w:rsidRPr="00AC3823" w:rsidRDefault="006A65BF">
      <w:pPr>
        <w:spacing w:line="240" w:lineRule="auto"/>
        <w:rPr>
          <w:sz w:val="2"/>
          <w:szCs w:val="2"/>
        </w:rPr>
      </w:pPr>
    </w:p>
  </w:footnote>
  <w:footnote w:id="2">
    <w:p w:rsidR="00CC64C0" w:rsidRPr="00CA1B4E" w:rsidRDefault="00CC64C0" w:rsidP="00CC64C0">
      <w:pPr>
        <w:pStyle w:val="FootnoteText"/>
      </w:pPr>
      <w:r>
        <w:tab/>
        <w:t xml:space="preserve">* </w:t>
      </w:r>
      <w:r>
        <w:tab/>
        <w:t xml:space="preserve">Pour des raisons d’économie, les représentants sont priés de se rendre </w:t>
      </w:r>
      <w:proofErr w:type="spellStart"/>
      <w:r>
        <w:t>a</w:t>
      </w:r>
      <w:proofErr w:type="spellEnd"/>
      <w:r>
        <w:t xml:space="preserve">̀ la session munis de leurs exemplaires de tous les documents pertinents. Aucun document ne sera </w:t>
      </w:r>
      <w:r w:rsidR="00CF0B7D">
        <w:t>distribué</w:t>
      </w:r>
      <w:r>
        <w:t xml:space="preserve"> en salle de </w:t>
      </w:r>
      <w:r w:rsidR="00CF0B7D">
        <w:t>ré</w:t>
      </w:r>
      <w:r>
        <w:t>union. Avant la session, les documents peuvent être téléchargés à partir du site Web de la Division des transports durables de la CEE (www.unece.org/trans/main/wp29/wp29wgs/wp29grb/grbage.html). À</w:t>
      </w:r>
      <w:r w:rsidR="0024185E">
        <w:t> </w:t>
      </w:r>
      <w:r>
        <w:t>titre exceptionnel, ils peuvent également être obtenus par courrier électronique (grb@unece.org). Durant la session, les documents officiels peuvent être obtenus auprès de la Section de la distribution des documents de l’ONUG (bureau C.337 au 3</w:t>
      </w:r>
      <w:r w:rsidRPr="005B3CE1">
        <w:rPr>
          <w:vertAlign w:val="superscript"/>
        </w:rPr>
        <w:t>e</w:t>
      </w:r>
      <w:r w:rsidR="005B3CE1">
        <w:t> </w:t>
      </w:r>
      <w:r>
        <w:t>étage du Palais des Nations). Pour les versions traduites de ces documents officiels, les représentants pourront accéder au système de diffusion électronique des documents (ODS)</w:t>
      </w:r>
      <w:r w:rsidRPr="00E70837">
        <w:t xml:space="preserve"> en accès public</w:t>
      </w:r>
      <w:r>
        <w:t xml:space="preserve"> à l’adresse suivante : http://documents.un.org.</w:t>
      </w:r>
    </w:p>
  </w:footnote>
  <w:footnote w:id="3">
    <w:p w:rsidR="007B2450" w:rsidRPr="007B2450" w:rsidRDefault="007B2450">
      <w:pPr>
        <w:pStyle w:val="FootnoteText"/>
      </w:pPr>
      <w:r>
        <w:rPr>
          <w:rStyle w:val="FootnoteReference"/>
        </w:rPr>
        <w:tab/>
      </w:r>
      <w:r w:rsidRPr="007B2450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t xml:space="preserve">Les représentants sont priés de remplir le formulaire d’inscription disponible sur le site Web de la CEE (https://www2.unece.org/uncdb/app/ext/meeting-registration?id=Ko3ILY). À leur arrivée au Palais des Nations, ils doivent retirer un badge à la Section de la sécurité et de la sûreté, située au Portail de </w:t>
      </w:r>
      <w:proofErr w:type="spellStart"/>
      <w:r>
        <w:t>Pregny</w:t>
      </w:r>
      <w:proofErr w:type="spellEnd"/>
      <w:r>
        <w:t xml:space="preserve"> (14, avenue de la Paix). En cas</w:t>
      </w:r>
      <w:r w:rsidR="0024185E">
        <w:t xml:space="preserve"> de difficulté</w:t>
      </w:r>
      <w:r w:rsidR="00CF0B7D">
        <w:t>, ils sont invité</w:t>
      </w:r>
      <w:r w:rsidR="0024185E">
        <w:t>s</w:t>
      </w:r>
      <w:r>
        <w:t xml:space="preserve"> </w:t>
      </w:r>
      <w:proofErr w:type="spellStart"/>
      <w:r>
        <w:t>a</w:t>
      </w:r>
      <w:proofErr w:type="spellEnd"/>
      <w:r>
        <w:t xml:space="preserve">̀ contacter le </w:t>
      </w:r>
      <w:r w:rsidR="0024185E">
        <w:t>secrétariat</w:t>
      </w:r>
      <w:r>
        <w:t xml:space="preserve"> par </w:t>
      </w:r>
      <w:r w:rsidR="0024185E">
        <w:t>téléphone</w:t>
      </w:r>
      <w:r>
        <w:t xml:space="preserve"> (poste 74323). Un plan du Palais des Nations et d’autres renseignements utiles sont disponibles à l’adresse http://www.unece.org/fr/info/events/informations-pratiques-pour-les-delegues.html.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D1" w:rsidRPr="008B66D1" w:rsidRDefault="008C317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B3CE1">
      <w:t>ECE/TRANS/WP.29/GRB/2017/3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D1" w:rsidRPr="008B66D1" w:rsidRDefault="008C317B" w:rsidP="008B66D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B3CE1">
      <w:t>ECE/TRANS/WP.29/GRB/2017/3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BF"/>
    <w:rsid w:val="00017F94"/>
    <w:rsid w:val="00023842"/>
    <w:rsid w:val="000334F9"/>
    <w:rsid w:val="00045FEB"/>
    <w:rsid w:val="0006132C"/>
    <w:rsid w:val="0007796D"/>
    <w:rsid w:val="000909F0"/>
    <w:rsid w:val="000B7790"/>
    <w:rsid w:val="000C1719"/>
    <w:rsid w:val="00111F2F"/>
    <w:rsid w:val="0014365E"/>
    <w:rsid w:val="00143C66"/>
    <w:rsid w:val="00176178"/>
    <w:rsid w:val="001F525A"/>
    <w:rsid w:val="00223272"/>
    <w:rsid w:val="0024185E"/>
    <w:rsid w:val="0024779E"/>
    <w:rsid w:val="00257168"/>
    <w:rsid w:val="002744B8"/>
    <w:rsid w:val="002832AC"/>
    <w:rsid w:val="002D7C93"/>
    <w:rsid w:val="002F299F"/>
    <w:rsid w:val="00305801"/>
    <w:rsid w:val="003916DE"/>
    <w:rsid w:val="00441C3B"/>
    <w:rsid w:val="00446FE5"/>
    <w:rsid w:val="00452396"/>
    <w:rsid w:val="004837D8"/>
    <w:rsid w:val="004A3F70"/>
    <w:rsid w:val="004E468C"/>
    <w:rsid w:val="005505B7"/>
    <w:rsid w:val="00573BE5"/>
    <w:rsid w:val="00586ED3"/>
    <w:rsid w:val="00596AA9"/>
    <w:rsid w:val="005B3CE1"/>
    <w:rsid w:val="005F43C4"/>
    <w:rsid w:val="00644135"/>
    <w:rsid w:val="006757C3"/>
    <w:rsid w:val="006A65BF"/>
    <w:rsid w:val="0071601D"/>
    <w:rsid w:val="00751810"/>
    <w:rsid w:val="007A62E6"/>
    <w:rsid w:val="007B2450"/>
    <w:rsid w:val="007F20FA"/>
    <w:rsid w:val="0080684C"/>
    <w:rsid w:val="00871C75"/>
    <w:rsid w:val="008776DC"/>
    <w:rsid w:val="008B66D1"/>
    <w:rsid w:val="008C317B"/>
    <w:rsid w:val="009446C0"/>
    <w:rsid w:val="009705C8"/>
    <w:rsid w:val="009C1CF4"/>
    <w:rsid w:val="009D34A6"/>
    <w:rsid w:val="009F6B74"/>
    <w:rsid w:val="00A30353"/>
    <w:rsid w:val="00A72AAC"/>
    <w:rsid w:val="00AC3823"/>
    <w:rsid w:val="00AE323C"/>
    <w:rsid w:val="00AF0CB5"/>
    <w:rsid w:val="00B00181"/>
    <w:rsid w:val="00B00B0D"/>
    <w:rsid w:val="00B765F7"/>
    <w:rsid w:val="00B839E8"/>
    <w:rsid w:val="00BA0CA9"/>
    <w:rsid w:val="00C02897"/>
    <w:rsid w:val="00C134D0"/>
    <w:rsid w:val="00C97039"/>
    <w:rsid w:val="00CC64C0"/>
    <w:rsid w:val="00CF0B7D"/>
    <w:rsid w:val="00D174DF"/>
    <w:rsid w:val="00D3439C"/>
    <w:rsid w:val="00DB1831"/>
    <w:rsid w:val="00DD3BFD"/>
    <w:rsid w:val="00DF6678"/>
    <w:rsid w:val="00E05F57"/>
    <w:rsid w:val="00E85C74"/>
    <w:rsid w:val="00EA6547"/>
    <w:rsid w:val="00EF2E22"/>
    <w:rsid w:val="00F35BAF"/>
    <w:rsid w:val="00F660DF"/>
    <w:rsid w:val="00F94664"/>
    <w:rsid w:val="00F9573C"/>
    <w:rsid w:val="00F95C08"/>
    <w:rsid w:val="00FC0029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CC64C0"/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CC64C0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1162</Words>
  <Characters>6628</Characters>
  <Application>Microsoft Office Word</Application>
  <DocSecurity>4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ECE/TRANS/WP.29/GRB/2017/3</vt:lpstr>
      <vt:lpstr>ECE/TRANS/WP.29/GRB/2017/3</vt:lpstr>
    </vt:vector>
  </TitlesOfParts>
  <Company>DCM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ECE/TRANS/WP.29/GRB/2017/3</dc:title>
  <dc:creator>Nath VITTOZ</dc:creator>
  <cp:lastModifiedBy>Benedicte Boudol</cp:lastModifiedBy>
  <cp:revision>2</cp:revision>
  <cp:lastPrinted>2017-07-12T09:14:00Z</cp:lastPrinted>
  <dcterms:created xsi:type="dcterms:W3CDTF">2017-07-18T07:30:00Z</dcterms:created>
  <dcterms:modified xsi:type="dcterms:W3CDTF">2017-07-18T07:30:00Z</dcterms:modified>
</cp:coreProperties>
</file>