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F103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F1039" w:rsidP="003F1039">
            <w:pPr>
              <w:jc w:val="right"/>
            </w:pPr>
            <w:r w:rsidRPr="003F1039">
              <w:rPr>
                <w:sz w:val="40"/>
              </w:rPr>
              <w:t>ECE</w:t>
            </w:r>
            <w:r>
              <w:t>/TRANS/WP.29/GRB/2017/8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F1039" w:rsidP="00C97039">
            <w:pPr>
              <w:spacing w:before="240"/>
            </w:pPr>
            <w:r>
              <w:t>Distr. générale</w:t>
            </w:r>
          </w:p>
          <w:p w:rsidR="003F1039" w:rsidRDefault="00EC4C12" w:rsidP="003F1039">
            <w:pPr>
              <w:spacing w:line="240" w:lineRule="exact"/>
            </w:pPr>
            <w:r>
              <w:t>20 juin 2017</w:t>
            </w:r>
          </w:p>
          <w:p w:rsidR="003F1039" w:rsidRDefault="003F1039" w:rsidP="003F1039">
            <w:pPr>
              <w:spacing w:line="240" w:lineRule="exact"/>
            </w:pPr>
            <w:r>
              <w:t>Français</w:t>
            </w:r>
          </w:p>
          <w:p w:rsidR="003F1039" w:rsidRPr="00DB58B5" w:rsidRDefault="003F1039" w:rsidP="003F103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5632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C4C12" w:rsidRDefault="00EC4C1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85632D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EC4C12" w:rsidRDefault="00EC4C12" w:rsidP="00F9573C">
      <w:pPr>
        <w:spacing w:before="120" w:after="120" w:line="240" w:lineRule="exact"/>
        <w:rPr>
          <w:b/>
        </w:rPr>
      </w:pPr>
      <w:r>
        <w:rPr>
          <w:b/>
        </w:rPr>
        <w:t>Groupe de travail du bruit</w:t>
      </w:r>
    </w:p>
    <w:p w:rsidR="00EC4C12" w:rsidRDefault="00EC4C12" w:rsidP="00F9573C">
      <w:pPr>
        <w:spacing w:before="120" w:line="240" w:lineRule="exact"/>
        <w:rPr>
          <w:b/>
        </w:rPr>
      </w:pPr>
      <w:r>
        <w:rPr>
          <w:b/>
        </w:rPr>
        <w:t>Soixante-sixième session</w:t>
      </w:r>
    </w:p>
    <w:p w:rsidR="00EC4C12" w:rsidRDefault="00EC4C12" w:rsidP="00F9573C">
      <w:pPr>
        <w:spacing w:line="240" w:lineRule="exact"/>
      </w:pPr>
      <w:r>
        <w:t>Genève, 4-6 septembre 2017</w:t>
      </w:r>
    </w:p>
    <w:p w:rsidR="00EC4C12" w:rsidRDefault="00EC4C12" w:rsidP="00F9573C">
      <w:pPr>
        <w:spacing w:line="240" w:lineRule="exact"/>
      </w:pPr>
      <w:r>
        <w:t>Point 4 a) de l</w:t>
      </w:r>
      <w:r w:rsidR="0085632D">
        <w:t>’</w:t>
      </w:r>
      <w:r>
        <w:t>ordre du jour provisoire</w:t>
      </w:r>
    </w:p>
    <w:p w:rsidR="0066144C" w:rsidRPr="00EC4C12" w:rsidRDefault="00EC4C12" w:rsidP="00EC4C12">
      <w:pPr>
        <w:rPr>
          <w:b/>
          <w:lang w:val="fr-FR"/>
        </w:rPr>
      </w:pPr>
      <w:r>
        <w:rPr>
          <w:b/>
          <w:lang w:val="fr-FR"/>
        </w:rPr>
        <w:t xml:space="preserve">Règlement </w:t>
      </w:r>
      <w:r w:rsidRPr="00EC4C12">
        <w:rPr>
          <w:rFonts w:eastAsia="MS Mincho"/>
          <w:b/>
          <w:lang w:val="fr-FR"/>
        </w:rPr>
        <w:t>n</w:t>
      </w:r>
      <w:r w:rsidRPr="00EC4C12">
        <w:rPr>
          <w:rFonts w:eastAsia="MS Mincho"/>
          <w:b/>
          <w:vertAlign w:val="superscript"/>
          <w:lang w:val="fr-FR"/>
        </w:rPr>
        <w:t>o</w:t>
      </w:r>
      <w:r>
        <w:rPr>
          <w:b/>
          <w:lang w:val="fr-FR"/>
        </w:rPr>
        <w:t xml:space="preserve"> </w:t>
      </w:r>
      <w:r w:rsidR="0081009D" w:rsidRPr="00EC4C12">
        <w:rPr>
          <w:b/>
          <w:lang w:val="fr-FR"/>
        </w:rPr>
        <w:t xml:space="preserve">51 (Bruit des véhicules </w:t>
      </w:r>
      <w:r>
        <w:rPr>
          <w:b/>
          <w:lang w:val="fr-FR"/>
        </w:rPr>
        <w:br/>
      </w:r>
      <w:r w:rsidR="0081009D" w:rsidRPr="00EC4C12">
        <w:rPr>
          <w:b/>
          <w:lang w:val="fr-FR"/>
        </w:rPr>
        <w:t>des catégories M et N) :</w:t>
      </w:r>
      <w:r w:rsidRPr="00EC4C12">
        <w:rPr>
          <w:b/>
          <w:lang w:val="fr-FR"/>
        </w:rPr>
        <w:t xml:space="preserve"> </w:t>
      </w:r>
      <w:r w:rsidR="0081009D" w:rsidRPr="00EC4C12">
        <w:rPr>
          <w:b/>
          <w:lang w:val="fr-FR"/>
        </w:rPr>
        <w:t>Extension</w:t>
      </w:r>
    </w:p>
    <w:p w:rsidR="0066144C" w:rsidRPr="00EC4C12" w:rsidRDefault="00EC4C12" w:rsidP="00EC4C1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81009D" w:rsidRPr="00EC4C12">
        <w:rPr>
          <w:lang w:val="fr-FR"/>
        </w:rPr>
        <w:t xml:space="preserve">Proposition de complément 3 à la série 03 </w:t>
      </w:r>
      <w:r>
        <w:rPr>
          <w:lang w:val="fr-FR"/>
        </w:rPr>
        <w:br/>
        <w:t>d</w:t>
      </w:r>
      <w:r w:rsidR="0085632D">
        <w:rPr>
          <w:lang w:val="fr-FR"/>
        </w:rPr>
        <w:t>’</w:t>
      </w:r>
      <w:r>
        <w:rPr>
          <w:lang w:val="fr-FR"/>
        </w:rPr>
        <w:t xml:space="preserve">amendements au Règlement </w:t>
      </w:r>
      <w:r w:rsidRPr="00EC4C12">
        <w:rPr>
          <w:rFonts w:eastAsia="MS Mincho"/>
          <w:lang w:val="fr-FR"/>
        </w:rPr>
        <w:t>n</w:t>
      </w:r>
      <w:r w:rsidRPr="00EC4C12">
        <w:rPr>
          <w:rFonts w:eastAsia="MS Mincho"/>
          <w:vertAlign w:val="superscript"/>
          <w:lang w:val="fr-FR"/>
        </w:rPr>
        <w:t>o</w:t>
      </w:r>
      <w:r w:rsidR="0081009D" w:rsidRPr="00EC4C12">
        <w:rPr>
          <w:lang w:val="fr-FR"/>
        </w:rPr>
        <w:t xml:space="preserve"> 51</w:t>
      </w:r>
    </w:p>
    <w:p w:rsidR="0066144C" w:rsidRPr="00EC4C12" w:rsidRDefault="00EC4C12" w:rsidP="00EC4C12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81009D" w:rsidRPr="00EC4C12">
        <w:rPr>
          <w:lang w:val="fr-FR"/>
        </w:rPr>
        <w:t>Communication de l</w:t>
      </w:r>
      <w:r w:rsidR="0085632D">
        <w:rPr>
          <w:lang w:val="fr-FR"/>
        </w:rPr>
        <w:t>’</w:t>
      </w:r>
      <w:r w:rsidR="0081009D" w:rsidRPr="00EC4C12">
        <w:rPr>
          <w:lang w:val="fr-FR"/>
        </w:rPr>
        <w:t>expert de l</w:t>
      </w:r>
      <w:r w:rsidR="0085632D">
        <w:rPr>
          <w:lang w:val="fr-FR"/>
        </w:rPr>
        <w:t>’</w:t>
      </w:r>
      <w:r w:rsidR="0081009D" w:rsidRPr="00EC4C12">
        <w:rPr>
          <w:lang w:val="fr-FR"/>
        </w:rPr>
        <w:t xml:space="preserve">Organisation internationale </w:t>
      </w:r>
      <w:r>
        <w:rPr>
          <w:lang w:val="fr-FR"/>
        </w:rPr>
        <w:br/>
      </w:r>
      <w:r w:rsidR="0081009D" w:rsidRPr="00EC4C12">
        <w:rPr>
          <w:lang w:val="fr-FR"/>
        </w:rPr>
        <w:t>de normalisation</w:t>
      </w:r>
      <w:r w:rsidRPr="00EC4C1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66144C" w:rsidRDefault="00EC4C12" w:rsidP="00EC4C12">
      <w:pPr>
        <w:pStyle w:val="SingleTxtG"/>
        <w:rPr>
          <w:lang w:val="fr-FR"/>
        </w:rPr>
      </w:pPr>
      <w:r>
        <w:rPr>
          <w:lang w:val="fr-FR"/>
        </w:rPr>
        <w:tab/>
      </w:r>
      <w:r w:rsidR="0081009D" w:rsidRPr="00EC4C12">
        <w:rPr>
          <w:lang w:val="fr-FR"/>
        </w:rPr>
        <w:t>Le texte ci-après, établi par l</w:t>
      </w:r>
      <w:r w:rsidR="0085632D">
        <w:rPr>
          <w:lang w:val="fr-FR"/>
        </w:rPr>
        <w:t>’</w:t>
      </w:r>
      <w:r w:rsidR="0081009D" w:rsidRPr="00EC4C12">
        <w:rPr>
          <w:lang w:val="fr-FR"/>
        </w:rPr>
        <w:t>expert de l</w:t>
      </w:r>
      <w:r w:rsidR="0085632D">
        <w:rPr>
          <w:lang w:val="fr-FR"/>
        </w:rPr>
        <w:t>’</w:t>
      </w:r>
      <w:r w:rsidR="0081009D" w:rsidRPr="00EC4C12">
        <w:rPr>
          <w:lang w:val="fr-FR"/>
        </w:rPr>
        <w:t>Organisation internationale de normalisation (ISO), vise à mettre à jour et à réviser la série 0</w:t>
      </w:r>
      <w:r>
        <w:rPr>
          <w:lang w:val="fr-FR"/>
        </w:rPr>
        <w:t>3 d</w:t>
      </w:r>
      <w:r w:rsidR="0085632D">
        <w:rPr>
          <w:lang w:val="fr-FR"/>
        </w:rPr>
        <w:t>’</w:t>
      </w:r>
      <w:r>
        <w:rPr>
          <w:lang w:val="fr-FR"/>
        </w:rPr>
        <w:t xml:space="preserve">amendements au Règlement </w:t>
      </w:r>
      <w:r w:rsidRPr="00EC4C12">
        <w:rPr>
          <w:rFonts w:eastAsia="MS Mincho"/>
          <w:lang w:val="fr-FR"/>
        </w:rPr>
        <w:t>n</w:t>
      </w:r>
      <w:r w:rsidRPr="00EC4C12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="0081009D" w:rsidRPr="00EC4C12">
        <w:rPr>
          <w:lang w:val="fr-FR"/>
        </w:rPr>
        <w:t>51. Les modifications qu</w:t>
      </w:r>
      <w:r w:rsidR="0085632D">
        <w:rPr>
          <w:lang w:val="fr-FR"/>
        </w:rPr>
        <w:t>’</w:t>
      </w:r>
      <w:r w:rsidR="0081009D" w:rsidRPr="00EC4C12">
        <w:rPr>
          <w:lang w:val="fr-FR"/>
        </w:rPr>
        <w:t>il est proposé d</w:t>
      </w:r>
      <w:r w:rsidR="0085632D">
        <w:rPr>
          <w:lang w:val="fr-FR"/>
        </w:rPr>
        <w:t>’</w:t>
      </w:r>
      <w:r w:rsidR="0081009D" w:rsidRPr="00EC4C12">
        <w:rPr>
          <w:lang w:val="fr-FR"/>
        </w:rPr>
        <w:t>apporter au texte actuel du Règlement figurent en caractères gras pour les ajouts et biffés pour les suppressions.</w:t>
      </w:r>
    </w:p>
    <w:p w:rsidR="0066144C" w:rsidRPr="00EC4C12" w:rsidRDefault="00EC4C12" w:rsidP="00EC4C12">
      <w:pPr>
        <w:pStyle w:val="HCh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  <w:t>I.</w:t>
      </w:r>
      <w:r w:rsidR="0081009D" w:rsidRPr="00EC4C12">
        <w:rPr>
          <w:lang w:val="fr-FR"/>
        </w:rPr>
        <w:tab/>
        <w:t>Proposition</w:t>
      </w:r>
    </w:p>
    <w:p w:rsidR="0066144C" w:rsidRPr="00EC4C12" w:rsidRDefault="0081009D" w:rsidP="00EC4C12">
      <w:pPr>
        <w:pStyle w:val="SingleTxtG"/>
        <w:rPr>
          <w:i/>
          <w:lang w:val="fr-FR"/>
        </w:rPr>
      </w:pPr>
      <w:r w:rsidRPr="00EC4C12">
        <w:rPr>
          <w:i/>
          <w:lang w:val="fr-FR"/>
        </w:rPr>
        <w:t xml:space="preserve">Annexe 3, </w:t>
      </w:r>
    </w:p>
    <w:p w:rsidR="0066144C" w:rsidRPr="00EC4C12" w:rsidRDefault="0081009D" w:rsidP="00EC4C12">
      <w:pPr>
        <w:pStyle w:val="SingleTxtG"/>
        <w:rPr>
          <w:lang w:val="fr-FR"/>
        </w:rPr>
      </w:pPr>
      <w:r w:rsidRPr="00EC4C12">
        <w:rPr>
          <w:i/>
          <w:lang w:val="fr-FR"/>
        </w:rPr>
        <w:t>Paragraphe 1</w:t>
      </w:r>
      <w:r w:rsidRPr="00CF6C33">
        <w:rPr>
          <w:lang w:val="fr-FR"/>
        </w:rPr>
        <w:t xml:space="preserve">, </w:t>
      </w:r>
      <w:r w:rsidRPr="00EC4C12">
        <w:rPr>
          <w:lang w:val="fr-FR"/>
        </w:rPr>
        <w:t xml:space="preserve">modifier comme suit : </w:t>
      </w:r>
    </w:p>
    <w:p w:rsidR="0066144C" w:rsidRPr="00EC4C12" w:rsidRDefault="0081009D" w:rsidP="00EC4C12">
      <w:pPr>
        <w:pStyle w:val="SingleTxtG"/>
        <w:tabs>
          <w:tab w:val="left" w:pos="2268"/>
        </w:tabs>
        <w:rPr>
          <w:lang w:val="fr-FR"/>
        </w:rPr>
      </w:pPr>
      <w:r w:rsidRPr="00EC4C12">
        <w:rPr>
          <w:lang w:val="fr-FR"/>
        </w:rPr>
        <w:t>« 1.</w:t>
      </w:r>
      <w:r w:rsidRPr="00EC4C12">
        <w:rPr>
          <w:lang w:val="fr-FR"/>
        </w:rPr>
        <w:tab/>
      </w:r>
      <w:r w:rsidRPr="00EC4C12">
        <w:rPr>
          <w:lang w:val="fr-FR"/>
        </w:rPr>
        <w:tab/>
        <w:t>Appareils de mesure</w:t>
      </w:r>
    </w:p>
    <w:p w:rsidR="0066144C" w:rsidRPr="00EC4C12" w:rsidRDefault="0081009D" w:rsidP="00EC4C12">
      <w:pPr>
        <w:pStyle w:val="SingleTxtG"/>
        <w:tabs>
          <w:tab w:val="left" w:pos="2268"/>
        </w:tabs>
        <w:rPr>
          <w:lang w:val="fr-FR"/>
        </w:rPr>
      </w:pPr>
      <w:r w:rsidRPr="00EC4C12">
        <w:rPr>
          <w:lang w:val="fr-FR"/>
        </w:rPr>
        <w:t>1.1</w:t>
      </w:r>
      <w:r w:rsidRPr="00EC4C12">
        <w:rPr>
          <w:lang w:val="fr-FR"/>
        </w:rPr>
        <w:tab/>
      </w:r>
      <w:r w:rsidRPr="00EC4C12">
        <w:rPr>
          <w:lang w:val="fr-FR"/>
        </w:rPr>
        <w:tab/>
        <w:t>Mesures acoustiques</w:t>
      </w:r>
    </w:p>
    <w:p w:rsidR="0066144C" w:rsidRPr="00EC4C12" w:rsidRDefault="00EC4C12" w:rsidP="00EC4C12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ab/>
      </w:r>
      <w:r w:rsidR="0081009D" w:rsidRPr="00EC4C12">
        <w:rPr>
          <w:lang w:val="fr-FR"/>
        </w:rPr>
        <w:t>L</w:t>
      </w:r>
      <w:r w:rsidR="0085632D">
        <w:rPr>
          <w:lang w:val="fr-FR"/>
        </w:rPr>
        <w:t>’</w:t>
      </w:r>
      <w:r w:rsidR="0081009D" w:rsidRPr="00EC4C12">
        <w:rPr>
          <w:lang w:val="fr-FR"/>
        </w:rPr>
        <w:t>appareil utilisé pour mesurer le niveau sonore doit être un sonomètre de précision ou un appareil de mesure équivalent satisfaisant aux prescriptions applicables aux instruments de la classe 1 (ainsi que le pare-vent recommandé, le cas échéant). Ces prescriptions sont énoncées dans la publication 61672-1:2002</w:t>
      </w:r>
      <w:r w:rsidR="00803052">
        <w:rPr>
          <w:lang w:val="fr-FR"/>
        </w:rPr>
        <w:t> </w:t>
      </w:r>
      <w:r w:rsidR="0081009D" w:rsidRPr="00EC4C12">
        <w:rPr>
          <w:lang w:val="fr-FR"/>
        </w:rPr>
        <w:t>: “Sonomètres de précision”, deuxième édition, de la Commission électrotechnique internationale (CEI).</w:t>
      </w:r>
    </w:p>
    <w:p w:rsidR="0066144C" w:rsidRPr="00EC4C12" w:rsidRDefault="00EC4C12" w:rsidP="00EC4C12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>
        <w:rPr>
          <w:b/>
          <w:lang w:val="fr-FR"/>
        </w:rPr>
        <w:tab/>
      </w:r>
      <w:r w:rsidR="0081009D" w:rsidRPr="00EC4C12">
        <w:rPr>
          <w:b/>
          <w:lang w:val="fr-FR"/>
        </w:rPr>
        <w:t>Pour les essais en intérieur, lorsque l</w:t>
      </w:r>
      <w:r w:rsidR="0085632D">
        <w:rPr>
          <w:b/>
          <w:lang w:val="fr-FR"/>
        </w:rPr>
        <w:t>’</w:t>
      </w:r>
      <w:r w:rsidR="0081009D" w:rsidRPr="00EC4C12">
        <w:rPr>
          <w:b/>
          <w:lang w:val="fr-FR"/>
        </w:rPr>
        <w:t>on ne peut formuler aucune affirmation ou conclusion générale concernant la conformité du sonomètre par rapport à chacun des canaux du réseau (par exemple lorsque les algorithmes de simulation du niveau du bruit de passage appliquent une pondération fréquentielle ou temporelle), l</w:t>
      </w:r>
      <w:r w:rsidR="0085632D">
        <w:rPr>
          <w:b/>
          <w:lang w:val="fr-FR"/>
        </w:rPr>
        <w:t>’</w:t>
      </w:r>
      <w:r w:rsidR="0081009D" w:rsidRPr="00EC4C12">
        <w:rPr>
          <w:b/>
          <w:lang w:val="fr-FR"/>
        </w:rPr>
        <w:t>on simule un passage à une vitesse constante de 50 km/h tout en émettant un signal sonore continu sur tous les canaux du réseau. Le niveau sonore pondéré A simulé est consigné, et l</w:t>
      </w:r>
      <w:r w:rsidR="0085632D">
        <w:rPr>
          <w:b/>
          <w:lang w:val="fr-FR"/>
        </w:rPr>
        <w:t>’</w:t>
      </w:r>
      <w:r w:rsidR="0081009D" w:rsidRPr="00EC4C12">
        <w:rPr>
          <w:b/>
          <w:lang w:val="fr-FR"/>
        </w:rPr>
        <w:t>écart par rapport à un signal sonore de référence est déterminé conformément aux prescriptions de la norme CEI 61672-3.</w:t>
      </w:r>
    </w:p>
    <w:p w:rsidR="0066144C" w:rsidRPr="00EC4C12" w:rsidRDefault="00EC4C12" w:rsidP="00EC4C12">
      <w:pPr>
        <w:pStyle w:val="SingleTxtG"/>
        <w:tabs>
          <w:tab w:val="left" w:pos="2268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81009D" w:rsidRPr="00EC4C12">
        <w:rPr>
          <w:lang w:val="fr-FR"/>
        </w:rPr>
        <w:t xml:space="preserve">… ». </w:t>
      </w:r>
    </w:p>
    <w:p w:rsidR="0066144C" w:rsidRPr="00EC4C12" w:rsidRDefault="0081009D" w:rsidP="00EC4C12">
      <w:pPr>
        <w:pStyle w:val="SingleTxtG"/>
        <w:rPr>
          <w:i/>
          <w:lang w:val="fr-FR"/>
        </w:rPr>
      </w:pPr>
      <w:r w:rsidRPr="00EC4C12">
        <w:rPr>
          <w:i/>
          <w:lang w:val="fr-FR"/>
        </w:rPr>
        <w:t>Paragraphe 1.2</w:t>
      </w:r>
      <w:r w:rsidRPr="00EC4C12">
        <w:rPr>
          <w:lang w:val="fr-FR"/>
        </w:rPr>
        <w:t>,</w:t>
      </w:r>
      <w:r w:rsidRPr="00EC4C12">
        <w:rPr>
          <w:i/>
          <w:lang w:val="fr-FR"/>
        </w:rPr>
        <w:t xml:space="preserve"> </w:t>
      </w:r>
      <w:r w:rsidRPr="00EC4C12">
        <w:rPr>
          <w:lang w:val="fr-FR"/>
        </w:rPr>
        <w:t xml:space="preserve">modifier comme suit : </w:t>
      </w:r>
    </w:p>
    <w:p w:rsidR="0066144C" w:rsidRPr="00EC4C12" w:rsidRDefault="0081009D" w:rsidP="00EC4C12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EC4C12">
        <w:rPr>
          <w:lang w:val="fr-FR"/>
        </w:rPr>
        <w:t>« 1.2</w:t>
      </w:r>
      <w:r w:rsidRPr="00EC4C12">
        <w:rPr>
          <w:lang w:val="fr-FR"/>
        </w:rPr>
        <w:tab/>
      </w:r>
      <w:r w:rsidRPr="00EC4C12">
        <w:rPr>
          <w:lang w:val="fr-FR"/>
        </w:rPr>
        <w:tab/>
        <w:t>Étalonnage de la totalité du système de mesure acoustique pour la série de mesures</w:t>
      </w:r>
    </w:p>
    <w:p w:rsidR="0066144C" w:rsidRPr="00EC4C12" w:rsidRDefault="00EC4C12" w:rsidP="00EC4C12">
      <w:pPr>
        <w:pStyle w:val="SingleTxtG"/>
        <w:tabs>
          <w:tab w:val="left" w:pos="2268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03EA4">
        <w:rPr>
          <w:lang w:val="fr-FR"/>
        </w:rPr>
        <w:t>…</w:t>
      </w:r>
    </w:p>
    <w:p w:rsidR="0066144C" w:rsidRPr="00EC4C12" w:rsidRDefault="00EC4C12" w:rsidP="00EC4C12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>
        <w:rPr>
          <w:b/>
          <w:lang w:val="fr-FR"/>
        </w:rPr>
        <w:tab/>
      </w:r>
      <w:r w:rsidR="0081009D" w:rsidRPr="00EC4C12">
        <w:rPr>
          <w:b/>
          <w:lang w:val="fr-FR"/>
        </w:rPr>
        <w:t>Pour les essais en intérieur,</w:t>
      </w:r>
      <w:r w:rsidR="00903EA4">
        <w:rPr>
          <w:b/>
          <w:lang w:val="fr-FR"/>
        </w:rPr>
        <w:t xml:space="preserve"> </w:t>
      </w:r>
      <w:r w:rsidR="0081009D" w:rsidRPr="00EC4C12">
        <w:rPr>
          <w:b/>
          <w:lang w:val="fr-FR"/>
        </w:rPr>
        <w:t>le système de mesure doit être vérifié dans sa totalité au début et à la fin d</w:t>
      </w:r>
      <w:r w:rsidR="0085632D">
        <w:rPr>
          <w:b/>
          <w:lang w:val="fr-FR"/>
        </w:rPr>
        <w:t>’</w:t>
      </w:r>
      <w:r w:rsidR="0081009D" w:rsidRPr="00EC4C12">
        <w:rPr>
          <w:b/>
          <w:lang w:val="fr-FR"/>
        </w:rPr>
        <w:t xml:space="preserve">une suite de séries de mesures. </w:t>
      </w:r>
    </w:p>
    <w:p w:rsidR="0066144C" w:rsidRPr="00EC4C12" w:rsidRDefault="00EC4C12" w:rsidP="00EC4C12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>
        <w:rPr>
          <w:b/>
          <w:lang w:val="fr-FR"/>
        </w:rPr>
        <w:tab/>
      </w:r>
      <w:r w:rsidR="0081009D" w:rsidRPr="00EC4C12">
        <w:rPr>
          <w:b/>
          <w:lang w:val="fr-FR"/>
        </w:rPr>
        <w:t>Il est recommandé que le fournisseur du matériel fournisse une méthode d</w:t>
      </w:r>
      <w:r w:rsidR="0085632D">
        <w:rPr>
          <w:b/>
          <w:lang w:val="fr-FR"/>
        </w:rPr>
        <w:t>’</w:t>
      </w:r>
      <w:r w:rsidR="0081009D" w:rsidRPr="00EC4C12">
        <w:rPr>
          <w:b/>
          <w:lang w:val="fr-FR"/>
        </w:rPr>
        <w:t>étalonnage conforme (telle l</w:t>
      </w:r>
      <w:r w:rsidR="0085632D">
        <w:rPr>
          <w:b/>
          <w:lang w:val="fr-FR"/>
        </w:rPr>
        <w:t>’</w:t>
      </w:r>
      <w:r w:rsidR="0081009D" w:rsidRPr="00EC4C12">
        <w:rPr>
          <w:b/>
          <w:lang w:val="fr-FR"/>
        </w:rPr>
        <w:t>étalonnage électrique) qui, le cas échéant, sera</w:t>
      </w:r>
      <w:r w:rsidR="00903EA4">
        <w:rPr>
          <w:b/>
          <w:lang w:val="fr-FR"/>
        </w:rPr>
        <w:t xml:space="preserve"> </w:t>
      </w:r>
      <w:r w:rsidR="0081009D" w:rsidRPr="00EC4C12">
        <w:rPr>
          <w:b/>
          <w:lang w:val="fr-FR"/>
        </w:rPr>
        <w:t>appliquée</w:t>
      </w:r>
      <w:r w:rsidR="00903EA4">
        <w:rPr>
          <w:b/>
          <w:lang w:val="fr-FR"/>
        </w:rPr>
        <w:t xml:space="preserve"> </w:t>
      </w:r>
      <w:r w:rsidR="0081009D" w:rsidRPr="00EC4C12">
        <w:rPr>
          <w:b/>
          <w:lang w:val="fr-FR"/>
        </w:rPr>
        <w:t>dans le logiciel de mesure utilisé. L</w:t>
      </w:r>
      <w:r w:rsidR="0085632D">
        <w:rPr>
          <w:b/>
          <w:lang w:val="fr-FR"/>
        </w:rPr>
        <w:t>’</w:t>
      </w:r>
      <w:r w:rsidR="0081009D" w:rsidRPr="00EC4C12">
        <w:rPr>
          <w:b/>
          <w:lang w:val="fr-FR"/>
        </w:rPr>
        <w:t>éventuelle fonction de localisation de la source du bruit des algorithmes de simulation doit être désactivée pour les essais. </w:t>
      </w:r>
      <w:r w:rsidR="0081009D" w:rsidRPr="00EC4C12">
        <w:rPr>
          <w:lang w:val="fr-FR"/>
        </w:rPr>
        <w:t>».</w:t>
      </w:r>
    </w:p>
    <w:p w:rsidR="0066144C" w:rsidRPr="00EC4C12" w:rsidRDefault="0081009D" w:rsidP="00EC4C12">
      <w:pPr>
        <w:pStyle w:val="SingleTxtG"/>
        <w:rPr>
          <w:i/>
          <w:lang w:val="fr-FR"/>
        </w:rPr>
      </w:pPr>
      <w:r w:rsidRPr="00EC4C12">
        <w:rPr>
          <w:i/>
          <w:lang w:val="fr-FR"/>
        </w:rPr>
        <w:t>Paragraphe 2.1</w:t>
      </w:r>
      <w:r w:rsidRPr="00EC4C12">
        <w:rPr>
          <w:lang w:val="fr-FR"/>
        </w:rPr>
        <w:t>,</w:t>
      </w:r>
      <w:r w:rsidRPr="00EC4C12">
        <w:rPr>
          <w:i/>
          <w:lang w:val="fr-FR"/>
        </w:rPr>
        <w:t xml:space="preserve"> </w:t>
      </w:r>
      <w:r w:rsidRPr="00EC4C12">
        <w:rPr>
          <w:lang w:val="fr-FR"/>
        </w:rPr>
        <w:t xml:space="preserve">modifier comme suit : </w:t>
      </w:r>
    </w:p>
    <w:p w:rsidR="0066144C" w:rsidRPr="00EC4C12" w:rsidRDefault="0081009D" w:rsidP="00EC4C12">
      <w:pPr>
        <w:pStyle w:val="SingleTxtG"/>
        <w:tabs>
          <w:tab w:val="left" w:pos="2268"/>
        </w:tabs>
        <w:rPr>
          <w:lang w:val="fr-FR"/>
        </w:rPr>
      </w:pPr>
      <w:r w:rsidRPr="00EC4C12">
        <w:rPr>
          <w:lang w:val="fr-FR"/>
        </w:rPr>
        <w:t>« 2.1</w:t>
      </w:r>
      <w:r w:rsidRPr="00EC4C12">
        <w:rPr>
          <w:lang w:val="fr-FR"/>
        </w:rPr>
        <w:tab/>
      </w:r>
      <w:r w:rsidRPr="00EC4C12">
        <w:rPr>
          <w:lang w:val="fr-FR"/>
        </w:rPr>
        <w:tab/>
        <w:t>Terrain d</w:t>
      </w:r>
      <w:r w:rsidR="0085632D">
        <w:rPr>
          <w:lang w:val="fr-FR"/>
        </w:rPr>
        <w:t>’</w:t>
      </w:r>
      <w:r w:rsidRPr="00EC4C12">
        <w:rPr>
          <w:lang w:val="fr-FR"/>
        </w:rPr>
        <w:t xml:space="preserve">essai et conditions ambiantes pour les essais </w:t>
      </w:r>
    </w:p>
    <w:p w:rsidR="0066144C" w:rsidRPr="00EC4C12" w:rsidRDefault="00EC4C12" w:rsidP="00EC4C12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>
        <w:rPr>
          <w:b/>
          <w:lang w:val="fr-FR"/>
        </w:rPr>
        <w:tab/>
      </w:r>
      <w:r w:rsidR="0081009D" w:rsidRPr="00EC4C12">
        <w:rPr>
          <w:b/>
          <w:lang w:val="fr-FR"/>
        </w:rPr>
        <w:t>Les spécifications relatives au terrain d</w:t>
      </w:r>
      <w:r w:rsidR="0085632D">
        <w:rPr>
          <w:b/>
          <w:lang w:val="fr-FR"/>
        </w:rPr>
        <w:t>’</w:t>
      </w:r>
      <w:r w:rsidR="0081009D" w:rsidRPr="00EC4C12">
        <w:rPr>
          <w:b/>
          <w:lang w:val="fr-FR"/>
        </w:rPr>
        <w:t>essai permettent de créer l</w:t>
      </w:r>
      <w:r w:rsidR="0085632D">
        <w:rPr>
          <w:b/>
          <w:lang w:val="fr-FR"/>
        </w:rPr>
        <w:t>’</w:t>
      </w:r>
      <w:r w:rsidR="0081009D" w:rsidRPr="00EC4C12">
        <w:rPr>
          <w:b/>
          <w:lang w:val="fr-FR"/>
        </w:rPr>
        <w:t>environnement acoustique requis afin de réaliser les essais prescrits dans le présent Règlement. Les environnements d</w:t>
      </w:r>
      <w:r w:rsidR="0085632D">
        <w:rPr>
          <w:b/>
          <w:lang w:val="fr-FR"/>
        </w:rPr>
        <w:t>’</w:t>
      </w:r>
      <w:r w:rsidR="0081009D" w:rsidRPr="00EC4C12">
        <w:rPr>
          <w:b/>
          <w:lang w:val="fr-FR"/>
        </w:rPr>
        <w:t>essai extérieurs et intérieurs qui satisfont aux spécifications du Règlement constituent des environnements acoustiques équivalents et permettent d</w:t>
      </w:r>
      <w:r w:rsidR="0085632D">
        <w:rPr>
          <w:b/>
          <w:lang w:val="fr-FR"/>
        </w:rPr>
        <w:t>’</w:t>
      </w:r>
      <w:r w:rsidR="0081009D" w:rsidRPr="00EC4C12">
        <w:rPr>
          <w:b/>
          <w:lang w:val="fr-FR"/>
        </w:rPr>
        <w:t>obtenir des résultats également valables.</w:t>
      </w:r>
    </w:p>
    <w:p w:rsidR="0066144C" w:rsidRPr="00EC4C12" w:rsidRDefault="0081009D" w:rsidP="00EC4C12">
      <w:pPr>
        <w:pStyle w:val="SingleTxtG"/>
        <w:tabs>
          <w:tab w:val="left" w:pos="2268"/>
        </w:tabs>
        <w:rPr>
          <w:b/>
          <w:lang w:val="fr-FR"/>
        </w:rPr>
      </w:pPr>
      <w:r w:rsidRPr="00EC4C12">
        <w:rPr>
          <w:b/>
          <w:lang w:val="fr-FR"/>
        </w:rPr>
        <w:t>2.1.1</w:t>
      </w:r>
      <w:r w:rsidRPr="00EC4C12">
        <w:rPr>
          <w:b/>
          <w:lang w:val="fr-FR"/>
        </w:rPr>
        <w:tab/>
      </w:r>
      <w:r w:rsidRPr="00EC4C12">
        <w:rPr>
          <w:b/>
          <w:lang w:val="fr-FR"/>
        </w:rPr>
        <w:tab/>
        <w:t>Terrain d</w:t>
      </w:r>
      <w:r w:rsidR="0085632D">
        <w:rPr>
          <w:b/>
          <w:lang w:val="fr-FR"/>
        </w:rPr>
        <w:t>’</w:t>
      </w:r>
      <w:r w:rsidRPr="00EC4C12">
        <w:rPr>
          <w:b/>
          <w:lang w:val="fr-FR"/>
        </w:rPr>
        <w:t>essai extérieur</w:t>
      </w:r>
    </w:p>
    <w:p w:rsidR="0066144C" w:rsidRPr="00EC4C12" w:rsidRDefault="0085632D" w:rsidP="0085632D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ab/>
      </w:r>
      <w:r w:rsidR="0081009D" w:rsidRPr="00EC4C12">
        <w:rPr>
          <w:lang w:val="fr-FR"/>
        </w:rPr>
        <w:t>La surface et les dimensions</w:t>
      </w:r>
      <w:r w:rsidR="00903EA4">
        <w:rPr>
          <w:lang w:val="fr-FR"/>
        </w:rPr>
        <w:t xml:space="preserve"> </w:t>
      </w:r>
      <w:r w:rsidR="0081009D" w:rsidRPr="00EC4C12">
        <w:rPr>
          <w:lang w:val="fr-FR"/>
        </w:rPr>
        <w:t>du terrain d</w:t>
      </w:r>
      <w:r>
        <w:rPr>
          <w:lang w:val="fr-FR"/>
        </w:rPr>
        <w:t>’</w:t>
      </w:r>
      <w:r w:rsidR="0081009D" w:rsidRPr="00EC4C12">
        <w:rPr>
          <w:lang w:val="fr-FR"/>
        </w:rPr>
        <w:t>essai doivent être conformes à la norme ISO 10844:2014.</w:t>
      </w:r>
    </w:p>
    <w:p w:rsidR="0066144C" w:rsidRPr="00EC4C12" w:rsidRDefault="0081009D" w:rsidP="00903EA4">
      <w:pPr>
        <w:pStyle w:val="SingleTxtG"/>
        <w:keepNext/>
        <w:tabs>
          <w:tab w:val="left" w:pos="2268"/>
        </w:tabs>
        <w:rPr>
          <w:b/>
          <w:lang w:val="fr-FR"/>
        </w:rPr>
      </w:pPr>
      <w:r w:rsidRPr="00EC4C12">
        <w:rPr>
          <w:b/>
          <w:lang w:val="fr-FR"/>
        </w:rPr>
        <w:lastRenderedPageBreak/>
        <w:t xml:space="preserve">2.1.2 </w:t>
      </w:r>
      <w:r w:rsidRPr="00EC4C12">
        <w:rPr>
          <w:b/>
          <w:lang w:val="fr-FR"/>
        </w:rPr>
        <w:tab/>
      </w:r>
      <w:r w:rsidRPr="00EC4C12">
        <w:rPr>
          <w:b/>
          <w:lang w:val="fr-FR"/>
        </w:rPr>
        <w:tab/>
        <w:t>Terrain d</w:t>
      </w:r>
      <w:r w:rsidR="0085632D">
        <w:rPr>
          <w:b/>
          <w:lang w:val="fr-FR"/>
        </w:rPr>
        <w:t>’</w:t>
      </w:r>
      <w:r w:rsidRPr="00EC4C12">
        <w:rPr>
          <w:b/>
          <w:lang w:val="fr-FR"/>
        </w:rPr>
        <w:t>essai intérieur</w:t>
      </w:r>
    </w:p>
    <w:p w:rsidR="0066144C" w:rsidRPr="00EC4C12" w:rsidRDefault="0085632D" w:rsidP="00903EA4">
      <w:pPr>
        <w:pStyle w:val="SingleTxtG"/>
        <w:keepNext/>
        <w:tabs>
          <w:tab w:val="left" w:pos="2268"/>
        </w:tabs>
        <w:ind w:left="2268" w:hanging="1134"/>
        <w:rPr>
          <w:b/>
          <w:lang w:val="fr-FR"/>
        </w:rPr>
      </w:pPr>
      <w:r>
        <w:rPr>
          <w:b/>
          <w:lang w:val="fr-FR"/>
        </w:rPr>
        <w:tab/>
      </w:r>
      <w:r w:rsidR="0081009D" w:rsidRPr="00EC4C12">
        <w:rPr>
          <w:b/>
          <w:lang w:val="fr-FR"/>
        </w:rPr>
        <w:t>Le terrain d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essai intérieur doit satisf</w:t>
      </w:r>
      <w:r w:rsidR="00CF6C33">
        <w:rPr>
          <w:b/>
          <w:lang w:val="fr-FR"/>
        </w:rPr>
        <w:t>aire aux prescriptions ci-après :</w:t>
      </w:r>
    </w:p>
    <w:p w:rsidR="0066144C" w:rsidRPr="00EC4C12" w:rsidRDefault="0085632D" w:rsidP="00BC36BA">
      <w:pPr>
        <w:pStyle w:val="SingleTxtG"/>
        <w:tabs>
          <w:tab w:val="left" w:pos="2268"/>
        </w:tabs>
        <w:ind w:left="2835" w:hanging="1701"/>
        <w:rPr>
          <w:b/>
          <w:lang w:val="fr-FR"/>
        </w:rPr>
      </w:pPr>
      <w:r>
        <w:rPr>
          <w:b/>
          <w:lang w:val="fr-FR"/>
        </w:rPr>
        <w:tab/>
      </w:r>
      <w:r w:rsidR="00BC36BA">
        <w:rPr>
          <w:b/>
          <w:lang w:val="fr-FR"/>
        </w:rPr>
        <w:t>a)</w:t>
      </w:r>
      <w:r w:rsidR="00BC36BA">
        <w:rPr>
          <w:b/>
          <w:lang w:val="fr-FR"/>
        </w:rPr>
        <w:tab/>
      </w:r>
      <w:r w:rsidR="0081009D" w:rsidRPr="00EC4C12">
        <w:rPr>
          <w:b/>
          <w:lang w:val="fr-FR"/>
        </w:rPr>
        <w:t>Les dimensions</w:t>
      </w:r>
      <w:r w:rsidR="00903EA4">
        <w:rPr>
          <w:b/>
          <w:lang w:val="fr-FR"/>
        </w:rPr>
        <w:t xml:space="preserve"> </w:t>
      </w:r>
      <w:r w:rsidR="0081009D" w:rsidRPr="00EC4C12">
        <w:rPr>
          <w:b/>
          <w:lang w:val="fr-FR"/>
        </w:rPr>
        <w:t>du local d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essai sont données au paragraphe 7.2 de la norme ISO 362-3:2016. Toutes les dimensions du local peuvent être ajustées afin de satisfaire aux exigences d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application pour les objets soumis aux essais, conformément au paragraphe 4 de l</w:t>
      </w:r>
      <w:r>
        <w:rPr>
          <w:b/>
          <w:lang w:val="fr-FR"/>
        </w:rPr>
        <w:t>’</w:t>
      </w:r>
      <w:r w:rsidR="00BC36BA">
        <w:rPr>
          <w:b/>
          <w:lang w:val="fr-FR"/>
        </w:rPr>
        <w:t>annexe 8 ;</w:t>
      </w:r>
    </w:p>
    <w:p w:rsidR="0066144C" w:rsidRPr="00EC4C12" w:rsidRDefault="00BC36BA" w:rsidP="00BC36BA">
      <w:pPr>
        <w:pStyle w:val="SingleTxtG"/>
        <w:tabs>
          <w:tab w:val="left" w:pos="2268"/>
        </w:tabs>
        <w:ind w:left="2835" w:hanging="1701"/>
        <w:rPr>
          <w:b/>
          <w:lang w:val="fr-FR"/>
        </w:rPr>
      </w:pPr>
      <w:r>
        <w:rPr>
          <w:b/>
          <w:lang w:val="fr-FR"/>
        </w:rPr>
        <w:tab/>
        <w:t>b)</w:t>
      </w:r>
      <w:r>
        <w:rPr>
          <w:b/>
          <w:lang w:val="fr-FR"/>
        </w:rPr>
        <w:tab/>
      </w:r>
      <w:r w:rsidR="0081009D" w:rsidRPr="00EC4C12">
        <w:rPr>
          <w:b/>
          <w:lang w:val="fr-FR"/>
        </w:rPr>
        <w:t>L</w:t>
      </w:r>
      <w:r w:rsidR="0085632D">
        <w:rPr>
          <w:b/>
          <w:lang w:val="fr-FR"/>
        </w:rPr>
        <w:t>’</w:t>
      </w:r>
      <w:r w:rsidR="0081009D" w:rsidRPr="00EC4C12">
        <w:rPr>
          <w:b/>
          <w:lang w:val="fr-FR"/>
        </w:rPr>
        <w:t>installation d</w:t>
      </w:r>
      <w:r w:rsidR="0085632D">
        <w:rPr>
          <w:b/>
          <w:lang w:val="fr-FR"/>
        </w:rPr>
        <w:t>’</w:t>
      </w:r>
      <w:r w:rsidR="0081009D" w:rsidRPr="00EC4C12">
        <w:rPr>
          <w:b/>
          <w:lang w:val="fr-FR"/>
        </w:rPr>
        <w:t>essai doit satisfaire au</w:t>
      </w:r>
      <w:r w:rsidR="00803F61">
        <w:rPr>
          <w:b/>
          <w:lang w:val="fr-FR"/>
        </w:rPr>
        <w:t>x prescriptions de la norme ISO </w:t>
      </w:r>
      <w:r w:rsidR="0081009D" w:rsidRPr="00EC4C12">
        <w:rPr>
          <w:b/>
          <w:lang w:val="fr-FR"/>
        </w:rPr>
        <w:t>26101:2012, les critères de conformité et de mesure étant adaptés à la méthode d</w:t>
      </w:r>
      <w:r w:rsidR="0085632D">
        <w:rPr>
          <w:b/>
          <w:lang w:val="fr-FR"/>
        </w:rPr>
        <w:t>’</w:t>
      </w:r>
      <w:r w:rsidR="0081009D" w:rsidRPr="00EC4C12">
        <w:rPr>
          <w:b/>
          <w:lang w:val="fr-FR"/>
        </w:rPr>
        <w:t>essai considérée, comme indiqué au paragraphe 7</w:t>
      </w:r>
      <w:r>
        <w:rPr>
          <w:b/>
          <w:lang w:val="fr-FR"/>
        </w:rPr>
        <w:t>.3 de la norme ISO 362-3:2016 ;</w:t>
      </w:r>
    </w:p>
    <w:p w:rsidR="0066144C" w:rsidRPr="00EC4C12" w:rsidRDefault="0085632D" w:rsidP="00BC36BA">
      <w:pPr>
        <w:pStyle w:val="SingleTxtG"/>
        <w:tabs>
          <w:tab w:val="left" w:pos="2268"/>
        </w:tabs>
        <w:ind w:left="2835" w:hanging="1701"/>
        <w:rPr>
          <w:b/>
          <w:lang w:val="fr-FR"/>
        </w:rPr>
      </w:pPr>
      <w:r>
        <w:rPr>
          <w:b/>
          <w:lang w:val="fr-FR"/>
        </w:rPr>
        <w:tab/>
      </w:r>
      <w:r w:rsidR="00BC36BA">
        <w:rPr>
          <w:b/>
          <w:lang w:val="fr-FR"/>
        </w:rPr>
        <w:t>c)</w:t>
      </w:r>
      <w:r w:rsidR="00BC36BA">
        <w:rPr>
          <w:b/>
          <w:lang w:val="fr-FR"/>
        </w:rPr>
        <w:tab/>
      </w:r>
      <w:r w:rsidR="0081009D" w:rsidRPr="00EC4C12">
        <w:rPr>
          <w:b/>
          <w:lang w:val="fr-FR"/>
        </w:rPr>
        <w:t xml:space="preserve">Les caractéristiques du sol sont décrites au paragraphe </w:t>
      </w:r>
      <w:r w:rsidR="00BC36BA">
        <w:rPr>
          <w:b/>
          <w:lang w:val="fr-FR"/>
        </w:rPr>
        <w:t>7.4 de la norme ISO 362-3:2016 ;</w:t>
      </w:r>
    </w:p>
    <w:p w:rsidR="0066144C" w:rsidRPr="00EC4C12" w:rsidRDefault="0085632D" w:rsidP="00BC36BA">
      <w:pPr>
        <w:pStyle w:val="SingleTxtG"/>
        <w:tabs>
          <w:tab w:val="left" w:pos="2268"/>
        </w:tabs>
        <w:ind w:left="2835" w:hanging="1701"/>
        <w:rPr>
          <w:b/>
          <w:lang w:val="fr-FR"/>
        </w:rPr>
      </w:pPr>
      <w:r>
        <w:rPr>
          <w:b/>
          <w:lang w:val="fr-FR"/>
        </w:rPr>
        <w:tab/>
      </w:r>
      <w:r w:rsidR="00CF6C33">
        <w:rPr>
          <w:b/>
          <w:lang w:val="fr-FR"/>
        </w:rPr>
        <w:t>d</w:t>
      </w:r>
      <w:r w:rsidR="00BC36BA">
        <w:rPr>
          <w:b/>
          <w:lang w:val="fr-FR"/>
        </w:rPr>
        <w:t>)</w:t>
      </w:r>
      <w:r w:rsidR="00BC36BA">
        <w:rPr>
          <w:b/>
          <w:lang w:val="fr-FR"/>
        </w:rPr>
        <w:tab/>
      </w:r>
      <w:r w:rsidR="0081009D" w:rsidRPr="00EC4C12">
        <w:rPr>
          <w:b/>
          <w:lang w:val="fr-FR"/>
        </w:rPr>
        <w:t>Les prescriptions relatives au refroidissement, à la ventilation et à la gestion des gaz d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 xml:space="preserve">échappement sont énoncées au paragraphe </w:t>
      </w:r>
      <w:r w:rsidR="00BC36BA">
        <w:rPr>
          <w:b/>
          <w:lang w:val="fr-FR"/>
        </w:rPr>
        <w:t>7.5 de la norme ISO 362-3:2016 ;</w:t>
      </w:r>
    </w:p>
    <w:p w:rsidR="0066144C" w:rsidRPr="00EC4C12" w:rsidRDefault="0085632D" w:rsidP="00BC36BA">
      <w:pPr>
        <w:pStyle w:val="SingleTxtG"/>
        <w:tabs>
          <w:tab w:val="left" w:pos="2268"/>
        </w:tabs>
        <w:ind w:left="2835" w:hanging="1701"/>
        <w:rPr>
          <w:b/>
          <w:lang w:val="fr-FR"/>
        </w:rPr>
      </w:pPr>
      <w:r>
        <w:rPr>
          <w:b/>
          <w:lang w:val="fr-FR"/>
        </w:rPr>
        <w:tab/>
      </w:r>
      <w:r w:rsidR="00BC36BA">
        <w:rPr>
          <w:b/>
          <w:lang w:val="fr-FR"/>
        </w:rPr>
        <w:t>e)</w:t>
      </w:r>
      <w:r w:rsidR="00BC36BA">
        <w:rPr>
          <w:b/>
          <w:lang w:val="fr-FR"/>
        </w:rPr>
        <w:tab/>
      </w:r>
      <w:r w:rsidR="0081009D" w:rsidRPr="00EC4C12">
        <w:rPr>
          <w:b/>
          <w:lang w:val="fr-FR"/>
        </w:rPr>
        <w:t>Les prescriptions relatives au dynamomètre sont énoncées au paragraph</w:t>
      </w:r>
      <w:r w:rsidR="00BC36BA">
        <w:rPr>
          <w:b/>
          <w:lang w:val="fr-FR"/>
        </w:rPr>
        <w:t>e 8 de la norme ISO 362-3:2016 ;</w:t>
      </w:r>
    </w:p>
    <w:p w:rsidR="0066144C" w:rsidRPr="00EC4C12" w:rsidRDefault="0085632D" w:rsidP="00BC36BA">
      <w:pPr>
        <w:pStyle w:val="SingleTxtG"/>
        <w:tabs>
          <w:tab w:val="left" w:pos="2268"/>
        </w:tabs>
        <w:ind w:left="2835" w:hanging="1701"/>
        <w:rPr>
          <w:b/>
          <w:lang w:val="fr-FR"/>
        </w:rPr>
      </w:pPr>
      <w:r>
        <w:rPr>
          <w:b/>
          <w:lang w:val="fr-FR"/>
        </w:rPr>
        <w:tab/>
      </w:r>
      <w:r w:rsidR="00BC36BA">
        <w:rPr>
          <w:b/>
          <w:lang w:val="fr-FR"/>
        </w:rPr>
        <w:t>f)</w:t>
      </w:r>
      <w:r w:rsidR="00BC36BA">
        <w:rPr>
          <w:b/>
          <w:lang w:val="fr-FR"/>
        </w:rPr>
        <w:tab/>
      </w:r>
      <w:r w:rsidR="0081009D" w:rsidRPr="00EC4C12">
        <w:rPr>
          <w:b/>
          <w:lang w:val="fr-FR"/>
        </w:rPr>
        <w:t>Le dispositif de</w:t>
      </w:r>
      <w:r w:rsidR="00903EA4">
        <w:rPr>
          <w:b/>
          <w:lang w:val="fr-FR"/>
        </w:rPr>
        <w:t xml:space="preserve"> </w:t>
      </w:r>
      <w:r w:rsidR="0081009D" w:rsidRPr="00EC4C12">
        <w:rPr>
          <w:b/>
          <w:lang w:val="fr-FR"/>
        </w:rPr>
        <w:t>maintien du véhicule est décrit au paragraphe 9.3 de la norme ISO 362-3:2016.</w:t>
      </w:r>
    </w:p>
    <w:p w:rsidR="0066144C" w:rsidRPr="00EC4C12" w:rsidRDefault="0081009D" w:rsidP="00EC4C12">
      <w:pPr>
        <w:pStyle w:val="SingleTxtG"/>
        <w:tabs>
          <w:tab w:val="left" w:pos="2268"/>
        </w:tabs>
        <w:rPr>
          <w:b/>
          <w:lang w:val="fr-FR"/>
        </w:rPr>
      </w:pPr>
      <w:r w:rsidRPr="00EC4C12">
        <w:rPr>
          <w:b/>
          <w:lang w:val="fr-FR"/>
        </w:rPr>
        <w:t>2.1.3</w:t>
      </w:r>
      <w:r w:rsidRPr="00EC4C12">
        <w:rPr>
          <w:b/>
          <w:lang w:val="fr-FR"/>
        </w:rPr>
        <w:tab/>
      </w:r>
      <w:r w:rsidRPr="00EC4C12">
        <w:rPr>
          <w:b/>
          <w:lang w:val="fr-FR"/>
        </w:rPr>
        <w:tab/>
        <w:t>Conditions ambiantes</w:t>
      </w:r>
    </w:p>
    <w:p w:rsidR="0066144C" w:rsidRPr="00EC4C12" w:rsidRDefault="0085632D" w:rsidP="0085632D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ab/>
      </w:r>
      <w:r w:rsidR="0081009D" w:rsidRPr="00EC4C12">
        <w:rPr>
          <w:lang w:val="fr-FR"/>
        </w:rPr>
        <w:t>La surface du terrain doit être dégagée de neige poudreuse, d</w:t>
      </w:r>
      <w:r>
        <w:rPr>
          <w:lang w:val="fr-FR"/>
        </w:rPr>
        <w:t>’</w:t>
      </w:r>
      <w:r w:rsidR="0081009D" w:rsidRPr="00EC4C12">
        <w:rPr>
          <w:lang w:val="fr-FR"/>
        </w:rPr>
        <w:t>herbes hautes, de terre meuble ou de cendres. Aucun obstacle ne doit pouvoir perturber le champ acoustique au voisinage du microphone et de la source sonore. L</w:t>
      </w:r>
      <w:r>
        <w:rPr>
          <w:lang w:val="fr-FR"/>
        </w:rPr>
        <w:t>’</w:t>
      </w:r>
      <w:r w:rsidR="0081009D" w:rsidRPr="00EC4C12">
        <w:rPr>
          <w:lang w:val="fr-FR"/>
        </w:rPr>
        <w:t>observateur chargé de faire les mesures doit se placer de façon à ne pas fausser les valeurs indiquées par l</w:t>
      </w:r>
      <w:r>
        <w:rPr>
          <w:lang w:val="fr-FR"/>
        </w:rPr>
        <w:t>’</w:t>
      </w:r>
      <w:r w:rsidR="0081009D" w:rsidRPr="00EC4C12">
        <w:rPr>
          <w:lang w:val="fr-FR"/>
        </w:rPr>
        <w:t>instrument de mesure.</w:t>
      </w:r>
    </w:p>
    <w:p w:rsidR="0066144C" w:rsidRPr="00EC4C12" w:rsidRDefault="0085632D" w:rsidP="0085632D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ab/>
      </w:r>
      <w:r w:rsidR="0081009D" w:rsidRPr="00EC4C12">
        <w:rPr>
          <w:lang w:val="fr-FR"/>
        </w:rPr>
        <w:t>…</w:t>
      </w:r>
    </w:p>
    <w:p w:rsidR="0066144C" w:rsidRPr="00EC4C12" w:rsidRDefault="0085632D" w:rsidP="0085632D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>
        <w:rPr>
          <w:b/>
          <w:lang w:val="fr-FR"/>
        </w:rPr>
        <w:tab/>
      </w:r>
      <w:r w:rsidR="0081009D" w:rsidRPr="00EC4C12">
        <w:rPr>
          <w:b/>
          <w:lang w:val="fr-FR"/>
        </w:rPr>
        <w:t>Pour les essais en intérieur, le bruit ambiant correspond aux émissions sonores générées par le banc à rouleaux, le système d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aération et le système d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échappement. </w:t>
      </w:r>
      <w:r w:rsidR="0081009D" w:rsidRPr="0085632D">
        <w:rPr>
          <w:lang w:val="fr-FR"/>
        </w:rPr>
        <w:t>».</w:t>
      </w:r>
    </w:p>
    <w:p w:rsidR="0066144C" w:rsidRPr="00EC4C12" w:rsidRDefault="0081009D" w:rsidP="00EC4C12">
      <w:pPr>
        <w:pStyle w:val="SingleTxtG"/>
        <w:rPr>
          <w:lang w:val="fr-FR"/>
        </w:rPr>
      </w:pPr>
      <w:r w:rsidRPr="00EC4C12">
        <w:rPr>
          <w:i/>
          <w:lang w:val="fr-FR"/>
        </w:rPr>
        <w:t>Paragraphe 2.2.1</w:t>
      </w:r>
      <w:r w:rsidRPr="00903EA4">
        <w:rPr>
          <w:lang w:val="fr-FR"/>
        </w:rPr>
        <w:t xml:space="preserve">, </w:t>
      </w:r>
      <w:r w:rsidRPr="00EC4C12">
        <w:rPr>
          <w:lang w:val="fr-FR"/>
        </w:rPr>
        <w:t xml:space="preserve">modifier comme suit : </w:t>
      </w:r>
    </w:p>
    <w:p w:rsidR="0066144C" w:rsidRPr="00EC4C12" w:rsidRDefault="0081009D" w:rsidP="00EC4C12">
      <w:pPr>
        <w:pStyle w:val="SingleTxtG"/>
        <w:tabs>
          <w:tab w:val="left" w:pos="2268"/>
        </w:tabs>
        <w:rPr>
          <w:lang w:val="fr-FR"/>
        </w:rPr>
      </w:pPr>
      <w:r w:rsidRPr="00EC4C12">
        <w:rPr>
          <w:lang w:val="fr-FR"/>
        </w:rPr>
        <w:t>« 2.2.1</w:t>
      </w:r>
      <w:r w:rsidRPr="00EC4C12">
        <w:rPr>
          <w:lang w:val="fr-FR"/>
        </w:rPr>
        <w:tab/>
        <w:t xml:space="preserve">… </w:t>
      </w:r>
    </w:p>
    <w:p w:rsidR="0066144C" w:rsidRPr="00EC4C12" w:rsidRDefault="0085632D" w:rsidP="0085632D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ab/>
      </w:r>
      <w:r w:rsidR="0081009D" w:rsidRPr="00EC4C12">
        <w:rPr>
          <w:lang w:val="fr-FR"/>
        </w:rPr>
        <w:t>Les mesures doivent être faites sur des véhicules dont la masse d</w:t>
      </w:r>
      <w:r>
        <w:rPr>
          <w:lang w:val="fr-FR"/>
        </w:rPr>
        <w:t>’</w:t>
      </w:r>
      <w:r w:rsidR="0081009D" w:rsidRPr="00EC4C12">
        <w:rPr>
          <w:lang w:val="fr-FR"/>
        </w:rPr>
        <w:t>essai m</w:t>
      </w:r>
      <w:r w:rsidR="0081009D" w:rsidRPr="00EC4C12">
        <w:rPr>
          <w:vertAlign w:val="subscript"/>
          <w:lang w:val="fr-FR"/>
        </w:rPr>
        <w:t>t</w:t>
      </w:r>
      <w:r w:rsidR="0081009D" w:rsidRPr="00EC4C12">
        <w:rPr>
          <w:lang w:val="fr-FR"/>
        </w:rPr>
        <w:t xml:space="preserve"> est définie conformément au tableau ci-dessous.</w:t>
      </w:r>
    </w:p>
    <w:p w:rsidR="0066144C" w:rsidRPr="00EC4C12" w:rsidRDefault="0085632D" w:rsidP="0085632D">
      <w:pPr>
        <w:pStyle w:val="SingleTxtG"/>
        <w:tabs>
          <w:tab w:val="left" w:pos="2268"/>
        </w:tabs>
        <w:ind w:left="2268" w:hanging="1134"/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 w:rsidR="0081009D" w:rsidRPr="00EC4C12">
        <w:rPr>
          <w:b/>
          <w:bCs/>
          <w:lang w:val="fr-FR"/>
        </w:rPr>
        <w:t>Lorsque l</w:t>
      </w:r>
      <w:r>
        <w:rPr>
          <w:b/>
          <w:bCs/>
          <w:lang w:val="fr-FR"/>
        </w:rPr>
        <w:t>’</w:t>
      </w:r>
      <w:r w:rsidR="0081009D" w:rsidRPr="00EC4C12">
        <w:rPr>
          <w:b/>
          <w:bCs/>
          <w:lang w:val="fr-FR"/>
        </w:rPr>
        <w:t>essai est réalisé en intérieur, la masse d</w:t>
      </w:r>
      <w:r>
        <w:rPr>
          <w:b/>
          <w:bCs/>
          <w:lang w:val="fr-FR"/>
        </w:rPr>
        <w:t>’</w:t>
      </w:r>
      <w:r w:rsidR="0081009D" w:rsidRPr="00EC4C12">
        <w:rPr>
          <w:b/>
          <w:bCs/>
          <w:lang w:val="fr-FR"/>
        </w:rPr>
        <w:t xml:space="preserve">essai </w:t>
      </w:r>
      <w:r w:rsidR="0081009D" w:rsidRPr="00EC4C12">
        <w:rPr>
          <w:b/>
          <w:bCs/>
          <w:i/>
          <w:lang w:val="fr-FR"/>
        </w:rPr>
        <w:t>m</w:t>
      </w:r>
      <w:r w:rsidR="0081009D" w:rsidRPr="00EC4C12">
        <w:rPr>
          <w:b/>
          <w:bCs/>
          <w:i/>
          <w:vertAlign w:val="subscript"/>
          <w:lang w:val="fr-FR"/>
        </w:rPr>
        <w:t>t</w:t>
      </w:r>
      <w:r w:rsidR="0081009D" w:rsidRPr="00EC4C12">
        <w:rPr>
          <w:b/>
          <w:bCs/>
          <w:lang w:val="fr-FR"/>
        </w:rPr>
        <w:t xml:space="preserve"> est la masse qui doit être prise en compte par le système de contrôle du banc à rouleaux. La masse effective du véhicule n</w:t>
      </w:r>
      <w:r>
        <w:rPr>
          <w:b/>
          <w:bCs/>
          <w:lang w:val="fr-FR"/>
        </w:rPr>
        <w:t>’</w:t>
      </w:r>
      <w:r w:rsidR="0081009D" w:rsidRPr="00EC4C12">
        <w:rPr>
          <w:b/>
          <w:bCs/>
          <w:lang w:val="fr-FR"/>
        </w:rPr>
        <w:t>a pas d</w:t>
      </w:r>
      <w:r>
        <w:rPr>
          <w:b/>
          <w:bCs/>
          <w:lang w:val="fr-FR"/>
        </w:rPr>
        <w:t>’</w:t>
      </w:r>
      <w:r w:rsidR="0081009D" w:rsidRPr="00EC4C12">
        <w:rPr>
          <w:b/>
          <w:bCs/>
          <w:lang w:val="fr-FR"/>
        </w:rPr>
        <w:t>incidence sur les résultats, et il est permis de charger le véhicule autant que de besoin pour prévenir tout glissement des pneumatiques sur le banc à rouleaux. Pour détecter un glissement excessif, il est recommandé de contrôler le ratio entre le régime de rotation du moteur et la vitesse du véhicule entre la phase d</w:t>
      </w:r>
      <w:r>
        <w:rPr>
          <w:b/>
          <w:bCs/>
          <w:lang w:val="fr-FR"/>
        </w:rPr>
        <w:t>’</w:t>
      </w:r>
      <w:r w:rsidR="0081009D" w:rsidRPr="00EC4C12">
        <w:rPr>
          <w:b/>
          <w:bCs/>
          <w:lang w:val="fr-FR"/>
        </w:rPr>
        <w:t>accélération et la phase à vitesse constante. Pour prévenir les glissements, il est possible d</w:t>
      </w:r>
      <w:r>
        <w:rPr>
          <w:b/>
          <w:bCs/>
          <w:lang w:val="fr-FR"/>
        </w:rPr>
        <w:t>’</w:t>
      </w:r>
      <w:r w:rsidR="0081009D" w:rsidRPr="00EC4C12">
        <w:rPr>
          <w:b/>
          <w:bCs/>
          <w:lang w:val="fr-FR"/>
        </w:rPr>
        <w:t>augmenter la charge sur les essieux.</w:t>
      </w:r>
      <w:r w:rsidR="00903EA4">
        <w:rPr>
          <w:b/>
          <w:bCs/>
          <w:lang w:val="fr-FR"/>
        </w:rPr>
        <w:t xml:space="preserve"> </w:t>
      </w:r>
    </w:p>
    <w:p w:rsidR="0066144C" w:rsidRPr="00EC4C12" w:rsidRDefault="0085632D" w:rsidP="00EC4C12">
      <w:pPr>
        <w:pStyle w:val="SingleTxtG"/>
        <w:tabs>
          <w:tab w:val="left" w:pos="2268"/>
        </w:tabs>
        <w:rPr>
          <w:lang w:val="fr-FR"/>
        </w:rPr>
      </w:pPr>
      <w:r>
        <w:rPr>
          <w:lang w:val="fr-FR"/>
        </w:rPr>
        <w:tab/>
      </w:r>
      <w:r w:rsidR="0081009D" w:rsidRPr="00EC4C12">
        <w:rPr>
          <w:lang w:val="fr-FR"/>
        </w:rPr>
        <w:t>… ».</w:t>
      </w:r>
    </w:p>
    <w:p w:rsidR="0066144C" w:rsidRPr="00EC4C12" w:rsidRDefault="0081009D" w:rsidP="00903EA4">
      <w:pPr>
        <w:pStyle w:val="SingleTxtG"/>
        <w:keepNext/>
        <w:tabs>
          <w:tab w:val="left" w:pos="2268"/>
        </w:tabs>
        <w:rPr>
          <w:i/>
          <w:lang w:val="fr-FR"/>
        </w:rPr>
      </w:pPr>
      <w:r w:rsidRPr="00EC4C12">
        <w:rPr>
          <w:i/>
          <w:lang w:val="fr-FR"/>
        </w:rPr>
        <w:t>Paragraphe 2.2.2</w:t>
      </w:r>
      <w:r w:rsidRPr="0085632D">
        <w:rPr>
          <w:lang w:val="fr-FR"/>
        </w:rPr>
        <w:t>,</w:t>
      </w:r>
      <w:r w:rsidRPr="00EC4C12">
        <w:rPr>
          <w:i/>
          <w:lang w:val="fr-FR"/>
        </w:rPr>
        <w:t xml:space="preserve"> </w:t>
      </w:r>
      <w:r w:rsidRPr="00EC4C12">
        <w:rPr>
          <w:lang w:val="fr-FR"/>
        </w:rPr>
        <w:t xml:space="preserve">modifier comme suit : </w:t>
      </w:r>
    </w:p>
    <w:p w:rsidR="0066144C" w:rsidRPr="00EC4C12" w:rsidRDefault="0081009D" w:rsidP="00903EA4">
      <w:pPr>
        <w:pStyle w:val="SingleTxtG"/>
        <w:keepNext/>
        <w:tabs>
          <w:tab w:val="left" w:pos="2268"/>
        </w:tabs>
        <w:rPr>
          <w:lang w:val="fr-FR"/>
        </w:rPr>
      </w:pPr>
      <w:r w:rsidRPr="00EC4C12">
        <w:rPr>
          <w:lang w:val="fr-FR"/>
        </w:rPr>
        <w:t>« 2.2.2</w:t>
      </w:r>
      <w:r w:rsidRPr="00EC4C12">
        <w:rPr>
          <w:lang w:val="fr-FR"/>
        </w:rPr>
        <w:tab/>
        <w:t xml:space="preserve">… </w:t>
      </w:r>
    </w:p>
    <w:p w:rsidR="0066144C" w:rsidRPr="00EC4C12" w:rsidRDefault="0085632D" w:rsidP="007E6E20">
      <w:pPr>
        <w:pStyle w:val="SingleTxtG"/>
        <w:keepNext/>
        <w:keepLines/>
        <w:tabs>
          <w:tab w:val="left" w:pos="2268"/>
        </w:tabs>
        <w:ind w:left="2268" w:hanging="1134"/>
        <w:rPr>
          <w:b/>
          <w:lang w:val="fr-FR"/>
        </w:rPr>
      </w:pPr>
      <w:r>
        <w:rPr>
          <w:b/>
          <w:lang w:val="fr-FR"/>
        </w:rPr>
        <w:tab/>
      </w:r>
      <w:r w:rsidR="0081009D" w:rsidRPr="00EC4C12">
        <w:rPr>
          <w:b/>
          <w:lang w:val="fr-FR"/>
        </w:rPr>
        <w:t>Lorsque l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essai est réalisé en intérieur, le bruit de roulement pneumatique/route est évalué séparément sur la piste d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essai avec les pneumatiques prescrits,</w:t>
      </w:r>
      <w:r w:rsidR="00903EA4">
        <w:rPr>
          <w:b/>
          <w:lang w:val="fr-FR"/>
        </w:rPr>
        <w:t xml:space="preserve"> </w:t>
      </w:r>
      <w:r w:rsidR="0081009D" w:rsidRPr="00EC4C12">
        <w:rPr>
          <w:b/>
          <w:lang w:val="fr-FR"/>
        </w:rPr>
        <w:t>conformément au présent paragraphe. Le bruit du groupe motopropulseur est évalué séparément sur le banc à rouleaux, à l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aide de pneumatiques et d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autres moyens de réduction du bruit permettant de produire un bruit de roulement pneumatique/route qui n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influe pas sur le résultat de la mesure. </w:t>
      </w:r>
      <w:r w:rsidR="0081009D" w:rsidRPr="0085632D">
        <w:rPr>
          <w:lang w:val="fr-FR"/>
        </w:rPr>
        <w:t xml:space="preserve">». </w:t>
      </w:r>
    </w:p>
    <w:p w:rsidR="0066144C" w:rsidRPr="00EC4C12" w:rsidRDefault="0081009D" w:rsidP="00EC4C12">
      <w:pPr>
        <w:pStyle w:val="SingleTxtG"/>
        <w:rPr>
          <w:lang w:val="fr-FR"/>
        </w:rPr>
      </w:pPr>
      <w:r w:rsidRPr="00EC4C12">
        <w:rPr>
          <w:i/>
          <w:lang w:val="fr-FR"/>
        </w:rPr>
        <w:t>Paragraphe 3</w:t>
      </w:r>
      <w:r w:rsidRPr="0085632D">
        <w:rPr>
          <w:lang w:val="fr-FR"/>
        </w:rPr>
        <w:t>,</w:t>
      </w:r>
      <w:r w:rsidRPr="00EC4C12">
        <w:rPr>
          <w:i/>
          <w:lang w:val="fr-FR"/>
        </w:rPr>
        <w:t xml:space="preserve"> </w:t>
      </w:r>
      <w:r w:rsidRPr="00EC4C12">
        <w:rPr>
          <w:lang w:val="fr-FR"/>
        </w:rPr>
        <w:t xml:space="preserve">modifier comme suit : </w:t>
      </w:r>
    </w:p>
    <w:p w:rsidR="0066144C" w:rsidRPr="00EC4C12" w:rsidRDefault="0081009D" w:rsidP="00EC4C12">
      <w:pPr>
        <w:pStyle w:val="SingleTxtG"/>
        <w:tabs>
          <w:tab w:val="left" w:pos="2268"/>
        </w:tabs>
        <w:rPr>
          <w:lang w:val="fr-FR"/>
        </w:rPr>
      </w:pPr>
      <w:r w:rsidRPr="00EC4C12">
        <w:rPr>
          <w:lang w:val="fr-FR"/>
        </w:rPr>
        <w:t xml:space="preserve">« 3. </w:t>
      </w:r>
      <w:r w:rsidRPr="00EC4C12">
        <w:rPr>
          <w:lang w:val="fr-FR"/>
        </w:rPr>
        <w:tab/>
      </w:r>
      <w:r w:rsidRPr="00EC4C12">
        <w:rPr>
          <w:lang w:val="fr-FR"/>
        </w:rPr>
        <w:tab/>
        <w:t>Méthodes d</w:t>
      </w:r>
      <w:r w:rsidR="0085632D">
        <w:rPr>
          <w:lang w:val="fr-FR"/>
        </w:rPr>
        <w:t>’</w:t>
      </w:r>
      <w:r w:rsidRPr="00EC4C12">
        <w:rPr>
          <w:lang w:val="fr-FR"/>
        </w:rPr>
        <w:t>essai</w:t>
      </w:r>
    </w:p>
    <w:p w:rsidR="0066144C" w:rsidRPr="00EC4C12" w:rsidRDefault="0085632D" w:rsidP="0085632D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>
        <w:rPr>
          <w:b/>
          <w:lang w:val="fr-FR"/>
        </w:rPr>
        <w:tab/>
      </w:r>
      <w:r w:rsidR="0081009D" w:rsidRPr="00EC4C12">
        <w:rPr>
          <w:b/>
          <w:lang w:val="fr-FR"/>
        </w:rPr>
        <w:t>Pour chaque type d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essai, le véhicule peut être soumis à essai à l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intérieur comme à l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 xml:space="preserve">extérieur. Le service technique peut demander un essai en </w:t>
      </w:r>
      <w:r>
        <w:rPr>
          <w:b/>
          <w:lang w:val="fr-FR"/>
        </w:rPr>
        <w:t xml:space="preserve">extérieur. </w:t>
      </w:r>
    </w:p>
    <w:p w:rsidR="0066144C" w:rsidRPr="00EC4C12" w:rsidRDefault="0085632D" w:rsidP="0085632D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>
        <w:rPr>
          <w:b/>
          <w:lang w:val="fr-FR"/>
        </w:rPr>
        <w:tab/>
      </w:r>
      <w:r w:rsidR="0081009D" w:rsidRPr="00EC4C12">
        <w:rPr>
          <w:b/>
          <w:lang w:val="fr-FR"/>
        </w:rPr>
        <w:t xml:space="preserve">Les essais en extérieur doivent être réalisés conformément au paragraphe 3.1. </w:t>
      </w:r>
    </w:p>
    <w:p w:rsidR="0066144C" w:rsidRPr="00EC4C12" w:rsidRDefault="0085632D" w:rsidP="0085632D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>
        <w:rPr>
          <w:b/>
          <w:lang w:val="fr-FR"/>
        </w:rPr>
        <w:tab/>
      </w:r>
      <w:r w:rsidR="0081009D" w:rsidRPr="00EC4C12">
        <w:rPr>
          <w:b/>
          <w:lang w:val="fr-FR"/>
        </w:rPr>
        <w:t>Les essais en intérieur doivent être réalisés en se conformant aux dispositions du paragraphe 3.1 et aux</w:t>
      </w:r>
      <w:r>
        <w:rPr>
          <w:b/>
          <w:lang w:val="fr-FR"/>
        </w:rPr>
        <w:t xml:space="preserve"> spécifications de la norme ISO </w:t>
      </w:r>
      <w:r w:rsidR="0081009D" w:rsidRPr="00EC4C12">
        <w:rPr>
          <w:b/>
          <w:lang w:val="fr-FR"/>
        </w:rPr>
        <w:t>362-3:2016, variante A. Afin que la méthode d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essai en intérieur permette d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obtenir des résultats qui se situent dans une plage de précision acceptable prédéfinie, la preuve de la validité de la méthode doit être apportée au service technique conformément au paragraphe 1 de l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annexe 8. La variante A combine un essai en intérieur (bruit du groupe motopropulseur) et un essai en extérieur (bruit de roulement pneumatique/route).</w:t>
      </w:r>
    </w:p>
    <w:p w:rsidR="0066144C" w:rsidRPr="00EC4C12" w:rsidRDefault="0085632D" w:rsidP="0085632D">
      <w:pPr>
        <w:pStyle w:val="SingleTxtG"/>
        <w:tabs>
          <w:tab w:val="left" w:pos="2268"/>
        </w:tabs>
        <w:rPr>
          <w:lang w:val="fr-FR"/>
        </w:rPr>
      </w:pPr>
      <w:r>
        <w:rPr>
          <w:lang w:val="fr-FR"/>
        </w:rPr>
        <w:tab/>
      </w:r>
      <w:r w:rsidR="0081009D" w:rsidRPr="00EC4C12">
        <w:rPr>
          <w:lang w:val="fr-FR"/>
        </w:rPr>
        <w:t>…</w:t>
      </w:r>
      <w:r w:rsidR="007E6E20">
        <w:rPr>
          <w:lang w:val="fr-FR"/>
        </w:rPr>
        <w:t> ».</w:t>
      </w:r>
    </w:p>
    <w:p w:rsidR="0066144C" w:rsidRPr="00EC4C12" w:rsidRDefault="0081009D" w:rsidP="00EC4C12">
      <w:pPr>
        <w:pStyle w:val="SingleTxtG"/>
        <w:rPr>
          <w:lang w:val="fr-FR"/>
        </w:rPr>
      </w:pPr>
      <w:r w:rsidRPr="00EC4C12">
        <w:rPr>
          <w:i/>
          <w:lang w:val="fr-FR"/>
        </w:rPr>
        <w:t>Paragraphe 3.1.1</w:t>
      </w:r>
      <w:r w:rsidRPr="00BC36BA">
        <w:rPr>
          <w:lang w:val="fr-FR"/>
        </w:rPr>
        <w:t>,</w:t>
      </w:r>
      <w:r w:rsidRPr="00EC4C12">
        <w:rPr>
          <w:i/>
          <w:lang w:val="fr-FR"/>
        </w:rPr>
        <w:t xml:space="preserve"> </w:t>
      </w:r>
      <w:r w:rsidRPr="00EC4C12">
        <w:rPr>
          <w:lang w:val="fr-FR"/>
        </w:rPr>
        <w:t xml:space="preserve">modifier comme suit : </w:t>
      </w:r>
    </w:p>
    <w:p w:rsidR="0066144C" w:rsidRPr="00EC4C12" w:rsidRDefault="0081009D" w:rsidP="00EC4C12">
      <w:pPr>
        <w:pStyle w:val="SingleTxtG"/>
        <w:tabs>
          <w:tab w:val="left" w:pos="2268"/>
        </w:tabs>
        <w:rPr>
          <w:lang w:val="fr-FR"/>
        </w:rPr>
      </w:pPr>
      <w:r w:rsidRPr="00EC4C12">
        <w:rPr>
          <w:lang w:val="fr-FR"/>
        </w:rPr>
        <w:t>« 3.1.1</w:t>
      </w:r>
      <w:r w:rsidRPr="00EC4C12">
        <w:rPr>
          <w:lang w:val="fr-FR"/>
        </w:rPr>
        <w:tab/>
        <w:t>Conditions générales d</w:t>
      </w:r>
      <w:r w:rsidR="0085632D">
        <w:rPr>
          <w:lang w:val="fr-FR"/>
        </w:rPr>
        <w:t>’</w:t>
      </w:r>
      <w:r w:rsidRPr="00EC4C12">
        <w:rPr>
          <w:lang w:val="fr-FR"/>
        </w:rPr>
        <w:t>essai</w:t>
      </w:r>
    </w:p>
    <w:p w:rsidR="0066144C" w:rsidRPr="00EC4C12" w:rsidRDefault="0085632D" w:rsidP="0085632D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b/>
          <w:lang w:val="fr-FR"/>
        </w:rPr>
        <w:tab/>
      </w:r>
      <w:r w:rsidR="0081009D" w:rsidRPr="00EC4C12">
        <w:rPr>
          <w:b/>
          <w:lang w:val="fr-FR"/>
        </w:rPr>
        <w:t>Pour les essais en extérieur,</w:t>
      </w:r>
      <w:r w:rsidR="0081009D" w:rsidRPr="00EC4C12">
        <w:rPr>
          <w:lang w:val="fr-FR"/>
        </w:rPr>
        <w:t xml:space="preserve"> deux lignes, AA</w:t>
      </w:r>
      <w:r>
        <w:rPr>
          <w:lang w:val="fr-FR"/>
        </w:rPr>
        <w:t>’</w:t>
      </w:r>
      <w:r w:rsidR="0081009D" w:rsidRPr="00EC4C12">
        <w:rPr>
          <w:lang w:val="fr-FR"/>
        </w:rPr>
        <w:t xml:space="preserve"> et BB</w:t>
      </w:r>
      <w:r>
        <w:rPr>
          <w:lang w:val="fr-FR"/>
        </w:rPr>
        <w:t>’</w:t>
      </w:r>
      <w:r w:rsidR="0081009D" w:rsidRPr="00EC4C12">
        <w:rPr>
          <w:lang w:val="fr-FR"/>
        </w:rPr>
        <w:t>, parallèles à la ligne PP</w:t>
      </w:r>
      <w:r>
        <w:rPr>
          <w:lang w:val="fr-FR"/>
        </w:rPr>
        <w:t>’</w:t>
      </w:r>
      <w:r w:rsidR="0081009D" w:rsidRPr="00EC4C12">
        <w:rPr>
          <w:lang w:val="fr-FR"/>
        </w:rPr>
        <w:t xml:space="preserve"> et situées respectivement 10 m ±</w:t>
      </w:r>
      <w:r w:rsidR="00BC36BA">
        <w:rPr>
          <w:lang w:val="fr-FR"/>
        </w:rPr>
        <w:t xml:space="preserve"> </w:t>
      </w:r>
      <w:r w:rsidR="0081009D" w:rsidRPr="00EC4C12">
        <w:rPr>
          <w:lang w:val="fr-FR"/>
        </w:rPr>
        <w:t>0,05 m en avant et 10 m ±</w:t>
      </w:r>
      <w:r w:rsidR="00BC36BA">
        <w:rPr>
          <w:lang w:val="fr-FR"/>
        </w:rPr>
        <w:t xml:space="preserve"> </w:t>
      </w:r>
      <w:r w:rsidR="0081009D" w:rsidRPr="00EC4C12">
        <w:rPr>
          <w:lang w:val="fr-FR"/>
        </w:rPr>
        <w:t>0,05 m en arrière de la ligne PP</w:t>
      </w:r>
      <w:r>
        <w:rPr>
          <w:lang w:val="fr-FR"/>
        </w:rPr>
        <w:t>’</w:t>
      </w:r>
      <w:r w:rsidR="0081009D" w:rsidRPr="00EC4C12">
        <w:rPr>
          <w:lang w:val="fr-FR"/>
        </w:rPr>
        <w:t>, sont tracées sur la piste d</w:t>
      </w:r>
      <w:r>
        <w:rPr>
          <w:lang w:val="fr-FR"/>
        </w:rPr>
        <w:t>’</w:t>
      </w:r>
      <w:r w:rsidR="0081009D" w:rsidRPr="00EC4C12">
        <w:rPr>
          <w:lang w:val="fr-FR"/>
        </w:rPr>
        <w:t>essai.</w:t>
      </w:r>
    </w:p>
    <w:p w:rsidR="0066144C" w:rsidRPr="00EC4C12" w:rsidRDefault="0085632D" w:rsidP="0085632D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>
        <w:rPr>
          <w:b/>
          <w:lang w:val="fr-FR"/>
        </w:rPr>
        <w:tab/>
      </w:r>
      <w:r w:rsidR="0081009D" w:rsidRPr="00EC4C12">
        <w:rPr>
          <w:b/>
          <w:lang w:val="fr-FR"/>
        </w:rPr>
        <w:t>Pour les essais en intérieur, la ligne virtuelle AA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 xml:space="preserve"> indique le début de la piste d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essai, la ligne PP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, l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emplacement virtuel des deux microphones de captation du bruit de passage et la ligne BB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, la fin de la piste d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essai. La vitesse du véhicule simulée au droit de la ligne AA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 xml:space="preserve"> (V</w:t>
      </w:r>
      <w:r w:rsidR="0081009D" w:rsidRPr="00EC4C12">
        <w:rPr>
          <w:b/>
          <w:vertAlign w:val="subscript"/>
          <w:lang w:val="fr-FR"/>
        </w:rPr>
        <w:t>AA</w:t>
      </w:r>
      <w:r>
        <w:rPr>
          <w:b/>
          <w:vertAlign w:val="subscript"/>
          <w:lang w:val="fr-FR"/>
        </w:rPr>
        <w:t>’</w:t>
      </w:r>
      <w:r w:rsidR="0081009D" w:rsidRPr="00EC4C12">
        <w:rPr>
          <w:b/>
          <w:lang w:val="fr-FR"/>
        </w:rPr>
        <w:t>) et la vitesse du véhicule simulée au droit de la ligne PP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 xml:space="preserve"> (V</w:t>
      </w:r>
      <w:r w:rsidR="0081009D" w:rsidRPr="00EC4C12">
        <w:rPr>
          <w:b/>
          <w:vertAlign w:val="subscript"/>
          <w:lang w:val="fr-FR"/>
        </w:rPr>
        <w:t>PP</w:t>
      </w:r>
      <w:r>
        <w:rPr>
          <w:b/>
          <w:vertAlign w:val="subscript"/>
          <w:lang w:val="fr-FR"/>
        </w:rPr>
        <w:t>’</w:t>
      </w:r>
      <w:r w:rsidR="0081009D" w:rsidRPr="00EC4C12">
        <w:rPr>
          <w:b/>
          <w:lang w:val="fr-FR"/>
        </w:rPr>
        <w:t>) correspondent à la vitesse du rouleau lorsque le point de référence du véhicule franchit la ligne virtuelle AA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 xml:space="preserve"> et la ligne virtuelle PP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, respectivement. La vitesse du véhicule simulée au droit de la ligne BB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 xml:space="preserve"> (V</w:t>
      </w:r>
      <w:r w:rsidR="0081009D" w:rsidRPr="00EC4C12">
        <w:rPr>
          <w:b/>
          <w:vertAlign w:val="subscript"/>
          <w:lang w:val="fr-FR"/>
        </w:rPr>
        <w:t>BB</w:t>
      </w:r>
      <w:r>
        <w:rPr>
          <w:b/>
          <w:vertAlign w:val="subscript"/>
          <w:lang w:val="fr-FR"/>
        </w:rPr>
        <w:t>’</w:t>
      </w:r>
      <w:r w:rsidR="0081009D" w:rsidRPr="00EC4C12">
        <w:rPr>
          <w:b/>
          <w:lang w:val="fr-FR"/>
        </w:rPr>
        <w:t>) correspond à la vitesse relevée lorsque l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arrière du véhicule fra</w:t>
      </w:r>
      <w:r>
        <w:rPr>
          <w:b/>
          <w:lang w:val="fr-FR"/>
        </w:rPr>
        <w:t xml:space="preserve">nchit la ligne virtuelle BB’. </w:t>
      </w:r>
    </w:p>
    <w:p w:rsidR="0066144C" w:rsidRPr="00EC4C12" w:rsidRDefault="0085632D" w:rsidP="0085632D">
      <w:pPr>
        <w:pStyle w:val="SingleTxtG"/>
        <w:tabs>
          <w:tab w:val="left" w:pos="2268"/>
        </w:tabs>
        <w:rPr>
          <w:lang w:val="fr-FR"/>
        </w:rPr>
      </w:pPr>
      <w:r>
        <w:rPr>
          <w:lang w:val="fr-FR"/>
        </w:rPr>
        <w:tab/>
      </w:r>
      <w:r w:rsidR="0081009D" w:rsidRPr="00EC4C12">
        <w:rPr>
          <w:lang w:val="fr-FR"/>
        </w:rPr>
        <w:t>… ».</w:t>
      </w:r>
    </w:p>
    <w:p w:rsidR="0066144C" w:rsidRPr="00EC4C12" w:rsidRDefault="0081009D" w:rsidP="00EC4C12">
      <w:pPr>
        <w:pStyle w:val="SingleTxtG"/>
        <w:rPr>
          <w:lang w:val="fr-FR"/>
        </w:rPr>
      </w:pPr>
      <w:r w:rsidRPr="00EC4C12">
        <w:rPr>
          <w:i/>
          <w:lang w:val="fr-FR"/>
        </w:rPr>
        <w:t>Paragraphe 3.1.3</w:t>
      </w:r>
      <w:r w:rsidRPr="009F0660">
        <w:rPr>
          <w:lang w:val="fr-FR"/>
        </w:rPr>
        <w:t>,</w:t>
      </w:r>
      <w:r w:rsidRPr="00EC4C12">
        <w:rPr>
          <w:i/>
          <w:lang w:val="fr-FR"/>
        </w:rPr>
        <w:t xml:space="preserve"> </w:t>
      </w:r>
      <w:r w:rsidRPr="00EC4C12">
        <w:rPr>
          <w:lang w:val="fr-FR"/>
        </w:rPr>
        <w:t xml:space="preserve">modifier comme suit : </w:t>
      </w:r>
    </w:p>
    <w:p w:rsidR="0066144C" w:rsidRPr="00EC4C12" w:rsidRDefault="0081009D" w:rsidP="00EC4C12">
      <w:pPr>
        <w:pStyle w:val="SingleTxtG"/>
        <w:tabs>
          <w:tab w:val="left" w:pos="2268"/>
        </w:tabs>
        <w:rPr>
          <w:lang w:val="fr-FR"/>
        </w:rPr>
      </w:pPr>
      <w:r w:rsidRPr="00EC4C12">
        <w:rPr>
          <w:lang w:val="fr-FR"/>
        </w:rPr>
        <w:t>« 3.1.3</w:t>
      </w:r>
      <w:r w:rsidRPr="00EC4C12">
        <w:rPr>
          <w:lang w:val="fr-FR"/>
        </w:rPr>
        <w:tab/>
        <w:t>Interprétation des résultats</w:t>
      </w:r>
    </w:p>
    <w:p w:rsidR="0066144C" w:rsidRPr="00EC4C12" w:rsidRDefault="0085632D" w:rsidP="0085632D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ab/>
      </w:r>
      <w:r w:rsidR="0081009D" w:rsidRPr="00EC4C12">
        <w:rPr>
          <w:lang w:val="fr-FR"/>
        </w:rPr>
        <w:t>Pour les véhicules de la catégorie M</w:t>
      </w:r>
      <w:r w:rsidR="0081009D" w:rsidRPr="00EC4C12">
        <w:rPr>
          <w:vertAlign w:val="subscript"/>
          <w:lang w:val="fr-FR"/>
        </w:rPr>
        <w:t>1</w:t>
      </w:r>
      <w:r w:rsidR="0081009D" w:rsidRPr="00EC4C12">
        <w:rPr>
          <w:lang w:val="fr-FR"/>
        </w:rPr>
        <w:t xml:space="preserve"> et ceux de la catégorie M</w:t>
      </w:r>
      <w:r w:rsidR="0081009D" w:rsidRPr="00EC4C12">
        <w:rPr>
          <w:vertAlign w:val="subscript"/>
          <w:lang w:val="fr-FR"/>
        </w:rPr>
        <w:t>2</w:t>
      </w:r>
      <w:r w:rsidR="0081009D" w:rsidRPr="00EC4C12">
        <w:rPr>
          <w:lang w:val="fr-FR"/>
        </w:rPr>
        <w:t xml:space="preserve"> dont la masse maximale</w:t>
      </w:r>
      <w:r w:rsidR="002A3A33">
        <w:rPr>
          <w:lang w:val="fr-FR"/>
        </w:rPr>
        <w:t xml:space="preserve"> autorisée ne dépasse pas 3 500 </w:t>
      </w:r>
      <w:r w:rsidR="0081009D" w:rsidRPr="00EC4C12">
        <w:rPr>
          <w:lang w:val="fr-FR"/>
        </w:rPr>
        <w:t>kg, ainsi que ceux de la catégorie N</w:t>
      </w:r>
      <w:r w:rsidR="0081009D" w:rsidRPr="00EC4C12">
        <w:rPr>
          <w:vertAlign w:val="subscript"/>
          <w:lang w:val="fr-FR"/>
        </w:rPr>
        <w:t>1</w:t>
      </w:r>
      <w:r w:rsidR="0081009D" w:rsidRPr="00EC4C12">
        <w:rPr>
          <w:lang w:val="fr-FR"/>
        </w:rPr>
        <w:t>, le niveau sonore maximal pondéré selon la courbe A relevé lors de chaque passage du véhicule entre les lignes AA</w:t>
      </w:r>
      <w:r>
        <w:rPr>
          <w:lang w:val="fr-FR"/>
        </w:rPr>
        <w:t>’</w:t>
      </w:r>
      <w:r w:rsidR="0081009D" w:rsidRPr="00EC4C12">
        <w:rPr>
          <w:lang w:val="fr-FR"/>
        </w:rPr>
        <w:t xml:space="preserve"> et BB</w:t>
      </w:r>
      <w:r>
        <w:rPr>
          <w:lang w:val="fr-FR"/>
        </w:rPr>
        <w:t>’</w:t>
      </w:r>
      <w:r w:rsidR="0081009D" w:rsidRPr="00EC4C12">
        <w:rPr>
          <w:lang w:val="fr-FR"/>
        </w:rPr>
        <w:t xml:space="preserve"> doit être arrondi au premier chiffre significatif après la virgule (par exemple XX,X). </w:t>
      </w:r>
    </w:p>
    <w:p w:rsidR="0066144C" w:rsidRPr="00EC4C12" w:rsidRDefault="0085632D" w:rsidP="007E6E20">
      <w:pPr>
        <w:pStyle w:val="SingleTxtG"/>
        <w:keepNext/>
        <w:keepLines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ab/>
      </w:r>
      <w:r w:rsidR="0081009D" w:rsidRPr="00EC4C12">
        <w:rPr>
          <w:lang w:val="fr-FR"/>
        </w:rPr>
        <w:t>Pour les véhicules de la catégorie M</w:t>
      </w:r>
      <w:r w:rsidR="0081009D" w:rsidRPr="00EC4C12">
        <w:rPr>
          <w:vertAlign w:val="subscript"/>
          <w:lang w:val="fr-FR"/>
        </w:rPr>
        <w:t>2</w:t>
      </w:r>
      <w:r w:rsidR="0081009D" w:rsidRPr="00EC4C12">
        <w:rPr>
          <w:lang w:val="fr-FR"/>
        </w:rPr>
        <w:t xml:space="preserve"> dont la masse maximale autorisée est supérieure à 3 500 kg, ainsi que ceux des catégories M</w:t>
      </w:r>
      <w:r w:rsidR="0081009D" w:rsidRPr="00EC4C12">
        <w:rPr>
          <w:vertAlign w:val="subscript"/>
          <w:lang w:val="fr-FR"/>
        </w:rPr>
        <w:t>3</w:t>
      </w:r>
      <w:r w:rsidR="0081009D" w:rsidRPr="00EC4C12">
        <w:rPr>
          <w:lang w:val="fr-FR"/>
        </w:rPr>
        <w:t>, N</w:t>
      </w:r>
      <w:r w:rsidR="0081009D" w:rsidRPr="00EC4C12">
        <w:rPr>
          <w:vertAlign w:val="subscript"/>
          <w:lang w:val="fr-FR"/>
        </w:rPr>
        <w:t>2</w:t>
      </w:r>
      <w:r w:rsidR="0081009D" w:rsidRPr="00EC4C12">
        <w:rPr>
          <w:lang w:val="fr-FR"/>
        </w:rPr>
        <w:t xml:space="preserve"> et N</w:t>
      </w:r>
      <w:r w:rsidR="0081009D" w:rsidRPr="00EC4C12">
        <w:rPr>
          <w:vertAlign w:val="subscript"/>
          <w:lang w:val="fr-FR"/>
        </w:rPr>
        <w:t>3</w:t>
      </w:r>
      <w:r w:rsidR="0081009D" w:rsidRPr="00EC4C12">
        <w:rPr>
          <w:lang w:val="fr-FR"/>
        </w:rPr>
        <w:t>, le niveau sonore maximal pondéré selon la courbe A relevé lors de chaque passage du point de référence du véhicule entre la ligne AA</w:t>
      </w:r>
      <w:r>
        <w:rPr>
          <w:lang w:val="fr-FR"/>
        </w:rPr>
        <w:t>’</w:t>
      </w:r>
      <w:r w:rsidR="0081009D" w:rsidRPr="00EC4C12">
        <w:rPr>
          <w:lang w:val="fr-FR"/>
        </w:rPr>
        <w:t xml:space="preserve"> et la ligne BB</w:t>
      </w:r>
      <w:r>
        <w:rPr>
          <w:lang w:val="fr-FR"/>
        </w:rPr>
        <w:t>’</w:t>
      </w:r>
      <w:r w:rsidR="0081009D" w:rsidRPr="00EC4C12">
        <w:rPr>
          <w:lang w:val="fr-FR"/>
        </w:rPr>
        <w:t xml:space="preserve"> +</w:t>
      </w:r>
      <w:r w:rsidR="000D1D7E">
        <w:rPr>
          <w:lang w:val="fr-FR"/>
        </w:rPr>
        <w:t xml:space="preserve"> </w:t>
      </w:r>
      <w:r w:rsidR="0081009D" w:rsidRPr="00EC4C12">
        <w:rPr>
          <w:lang w:val="fr-FR"/>
        </w:rPr>
        <w:t>5 m doit être arrondi au premier chiffre significatif après la virgule (par exemple XX,X).</w:t>
      </w:r>
    </w:p>
    <w:p w:rsidR="0066144C" w:rsidRPr="00EC4C12" w:rsidRDefault="0085632D" w:rsidP="0085632D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>
        <w:rPr>
          <w:b/>
          <w:lang w:val="fr-FR"/>
        </w:rPr>
        <w:tab/>
      </w:r>
      <w:r w:rsidR="0081009D" w:rsidRPr="00EC4C12">
        <w:rPr>
          <w:b/>
          <w:lang w:val="fr-FR"/>
        </w:rPr>
        <w:t>Pour les essais en intérieur, le bruit de passage simulé correspond à la somme énergétique du bruit du groupe motopropulseur sur le banc à rouleaux et du bruit de roulement pneumatique/route (mesuré séparément sur une piste d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essai extérieure), conformément au paragraphe 2 de l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annexe 8 du présent Règlement.</w:t>
      </w:r>
      <w:r w:rsidR="00903EA4">
        <w:rPr>
          <w:b/>
          <w:lang w:val="fr-FR"/>
        </w:rPr>
        <w:t xml:space="preserve"> </w:t>
      </w:r>
    </w:p>
    <w:p w:rsidR="0066144C" w:rsidRPr="00EC4C12" w:rsidRDefault="0085632D" w:rsidP="0085632D">
      <w:pPr>
        <w:pStyle w:val="SingleTxtG"/>
        <w:tabs>
          <w:tab w:val="left" w:pos="2268"/>
        </w:tabs>
        <w:rPr>
          <w:lang w:val="fr-FR"/>
        </w:rPr>
      </w:pPr>
      <w:r>
        <w:rPr>
          <w:lang w:val="fr-FR"/>
        </w:rPr>
        <w:tab/>
      </w:r>
      <w:r w:rsidR="0081009D" w:rsidRPr="00EC4C12">
        <w:rPr>
          <w:lang w:val="fr-FR"/>
        </w:rPr>
        <w:t>…</w:t>
      </w:r>
      <w:r>
        <w:rPr>
          <w:lang w:val="fr-FR"/>
        </w:rPr>
        <w:t> »</w:t>
      </w:r>
      <w:r w:rsidR="0081009D" w:rsidRPr="00EC4C12">
        <w:rPr>
          <w:lang w:val="fr-FR"/>
        </w:rPr>
        <w:t>.</w:t>
      </w:r>
    </w:p>
    <w:p w:rsidR="0066144C" w:rsidRPr="00EC4C12" w:rsidRDefault="0081009D" w:rsidP="00EC4C12">
      <w:pPr>
        <w:pStyle w:val="SingleTxtG"/>
        <w:rPr>
          <w:lang w:val="fr-FR"/>
        </w:rPr>
      </w:pPr>
      <w:r w:rsidRPr="00EC4C12">
        <w:rPr>
          <w:lang w:val="fr-FR"/>
        </w:rPr>
        <w:t xml:space="preserve">Ajouter </w:t>
      </w:r>
      <w:r w:rsidRPr="00EC4C12">
        <w:rPr>
          <w:i/>
          <w:lang w:val="fr-FR"/>
        </w:rPr>
        <w:t>une annexe 8</w:t>
      </w:r>
      <w:r w:rsidRPr="00EC4C12">
        <w:rPr>
          <w:lang w:val="fr-FR"/>
        </w:rPr>
        <w:t>, libellée comme suit :</w:t>
      </w:r>
    </w:p>
    <w:p w:rsidR="0066144C" w:rsidRPr="00EC4C12" w:rsidRDefault="0085632D" w:rsidP="0085632D">
      <w:pPr>
        <w:pStyle w:val="HChG"/>
        <w:rPr>
          <w:lang w:val="fr-FR"/>
        </w:rPr>
      </w:pPr>
      <w:bookmarkStart w:id="1" w:name="_Toc427847366"/>
      <w:r w:rsidRPr="0085632D">
        <w:rPr>
          <w:b w:val="0"/>
          <w:sz w:val="20"/>
          <w:lang w:val="fr-FR"/>
        </w:rPr>
        <w:t>« </w:t>
      </w:r>
      <w:r w:rsidR="0081009D" w:rsidRPr="00EC4C12">
        <w:rPr>
          <w:lang w:val="fr-FR"/>
        </w:rPr>
        <w:t>Annexe 8</w:t>
      </w:r>
      <w:bookmarkEnd w:id="1"/>
    </w:p>
    <w:p w:rsidR="0066144C" w:rsidRPr="00EC4C12" w:rsidRDefault="0081009D" w:rsidP="0085632D">
      <w:pPr>
        <w:pStyle w:val="HChG"/>
        <w:rPr>
          <w:lang w:val="fr-FR"/>
        </w:rPr>
      </w:pPr>
      <w:r w:rsidRPr="00EC4C12">
        <w:rPr>
          <w:lang w:val="fr-FR"/>
        </w:rPr>
        <w:tab/>
      </w:r>
      <w:r w:rsidRPr="00EC4C12">
        <w:rPr>
          <w:lang w:val="fr-FR"/>
        </w:rPr>
        <w:tab/>
        <w:t>Essais en intérieur</w:t>
      </w:r>
    </w:p>
    <w:p w:rsidR="0066144C" w:rsidRPr="00EC4C12" w:rsidRDefault="0081009D" w:rsidP="00EC4C12">
      <w:pPr>
        <w:pStyle w:val="SingleTxtG"/>
        <w:tabs>
          <w:tab w:val="left" w:pos="2268"/>
        </w:tabs>
        <w:rPr>
          <w:b/>
          <w:lang w:val="fr-FR"/>
        </w:rPr>
      </w:pPr>
      <w:r w:rsidRPr="00EC4C12">
        <w:rPr>
          <w:b/>
          <w:lang w:val="fr-FR"/>
        </w:rPr>
        <w:t>1.</w:t>
      </w:r>
      <w:r w:rsidRPr="00EC4C12">
        <w:rPr>
          <w:b/>
          <w:lang w:val="fr-FR"/>
        </w:rPr>
        <w:tab/>
      </w:r>
      <w:r w:rsidRPr="00EC4C12">
        <w:rPr>
          <w:b/>
          <w:lang w:val="fr-FR"/>
        </w:rPr>
        <w:tab/>
        <w:t>Validation de la méthode</w:t>
      </w:r>
    </w:p>
    <w:p w:rsidR="0066144C" w:rsidRPr="00EC4C12" w:rsidRDefault="0085632D" w:rsidP="0085632D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>
        <w:rPr>
          <w:b/>
          <w:lang w:val="fr-FR"/>
        </w:rPr>
        <w:tab/>
      </w:r>
      <w:r w:rsidR="0081009D" w:rsidRPr="00EC4C12">
        <w:rPr>
          <w:b/>
          <w:lang w:val="fr-FR"/>
        </w:rPr>
        <w:t>Afin que la méthode utilisée permette d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obtenir des résultats qui se situent dans une plage de précision prédéfinie, la preuve de la validité de la méthode doit être apportée au service technique conformément à l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annexe A de la norme ISO 362-3:2016.</w:t>
      </w:r>
    </w:p>
    <w:p w:rsidR="0066144C" w:rsidRPr="00EC4C12" w:rsidRDefault="0081009D" w:rsidP="00EC4C12">
      <w:pPr>
        <w:pStyle w:val="SingleTxtG"/>
        <w:tabs>
          <w:tab w:val="left" w:pos="2268"/>
        </w:tabs>
        <w:rPr>
          <w:b/>
          <w:lang w:val="fr-FR"/>
        </w:rPr>
      </w:pPr>
      <w:r w:rsidRPr="00EC4C12">
        <w:rPr>
          <w:b/>
          <w:lang w:val="fr-FR"/>
        </w:rPr>
        <w:t>2.</w:t>
      </w:r>
      <w:r w:rsidRPr="00EC4C12">
        <w:rPr>
          <w:b/>
          <w:lang w:val="fr-FR"/>
        </w:rPr>
        <w:tab/>
      </w:r>
      <w:r w:rsidRPr="00EC4C12">
        <w:rPr>
          <w:b/>
          <w:lang w:val="fr-FR"/>
        </w:rPr>
        <w:tab/>
        <w:t>Essais en intérieur</w:t>
      </w:r>
      <w:r w:rsidR="00903EA4">
        <w:rPr>
          <w:b/>
          <w:lang w:val="fr-FR"/>
        </w:rPr>
        <w:t xml:space="preserve"> </w:t>
      </w:r>
      <w:r w:rsidRPr="00EC4C12">
        <w:rPr>
          <w:b/>
          <w:lang w:val="fr-FR"/>
        </w:rPr>
        <w:t>selon la variante A</w:t>
      </w:r>
    </w:p>
    <w:p w:rsidR="0066144C" w:rsidRPr="00EC4C12" w:rsidRDefault="0085632D" w:rsidP="0085632D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>
        <w:rPr>
          <w:b/>
          <w:lang w:val="fr-FR"/>
        </w:rPr>
        <w:tab/>
      </w:r>
      <w:r w:rsidR="0081009D" w:rsidRPr="00EC4C12">
        <w:rPr>
          <w:b/>
          <w:lang w:val="fr-FR"/>
        </w:rPr>
        <w:t>Le bruit de passage simulé correspond à la somme énergétique du bruit du groupe motopropulseur sur le banc à rouleaux et du bruit de roulement pneumatique/</w:t>
      </w:r>
      <w:r w:rsidR="00E741CE" w:rsidRPr="00EC4C12">
        <w:rPr>
          <w:b/>
          <w:lang w:val="fr-FR"/>
        </w:rPr>
        <w:t>route (</w:t>
      </w:r>
      <w:r w:rsidR="0081009D" w:rsidRPr="00EC4C12">
        <w:rPr>
          <w:b/>
          <w:lang w:val="fr-FR"/>
        </w:rPr>
        <w:t>mesuré séparément sur une piste d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essai extérieure).</w:t>
      </w:r>
    </w:p>
    <w:p w:rsidR="0066144C" w:rsidRPr="00EC4C12" w:rsidRDefault="0081009D" w:rsidP="00EC4C12">
      <w:pPr>
        <w:pStyle w:val="SingleTxtG"/>
        <w:tabs>
          <w:tab w:val="left" w:pos="2268"/>
        </w:tabs>
        <w:rPr>
          <w:b/>
          <w:bCs/>
          <w:lang w:val="fr-FR"/>
        </w:rPr>
      </w:pPr>
      <w:r w:rsidRPr="00EC4C12">
        <w:rPr>
          <w:b/>
          <w:lang w:val="fr-FR"/>
        </w:rPr>
        <w:t>2.1</w:t>
      </w:r>
      <w:r w:rsidR="0085632D">
        <w:rPr>
          <w:b/>
          <w:lang w:val="fr-FR"/>
        </w:rPr>
        <w:tab/>
      </w:r>
      <w:r w:rsidRPr="00EC4C12">
        <w:rPr>
          <w:b/>
          <w:bCs/>
          <w:lang w:val="fr-FR"/>
        </w:rPr>
        <w:t>Généralités</w:t>
      </w:r>
    </w:p>
    <w:p w:rsidR="0066144C" w:rsidRPr="00EC4C12" w:rsidRDefault="0085632D" w:rsidP="0085632D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>
        <w:rPr>
          <w:b/>
          <w:lang w:val="fr-FR"/>
        </w:rPr>
        <w:tab/>
      </w:r>
      <w:r w:rsidR="0081009D" w:rsidRPr="00EC4C12">
        <w:rPr>
          <w:b/>
          <w:lang w:val="fr-FR"/>
        </w:rPr>
        <w:t>La méthode combine un essai en intérieur (bruit du groupe motopropulseur) et un essai en extérieur (bruit de roulement</w:t>
      </w:r>
      <w:r>
        <w:rPr>
          <w:b/>
          <w:lang w:val="fr-FR"/>
        </w:rPr>
        <w:t xml:space="preserve"> </w:t>
      </w:r>
      <w:r w:rsidR="0081009D" w:rsidRPr="00EC4C12">
        <w:rPr>
          <w:b/>
          <w:lang w:val="fr-FR"/>
        </w:rPr>
        <w:t>pneumatique/route). Il n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est pas nécessaire de mesurer le bruit de roulement pneumatique/route chaque fois qu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un véhicule est soumis à essai. Les données pour différents types de pneumatiques peuvent être enregistrées dans une base de données et être utilisées ultérieurement pour les essais.</w:t>
      </w:r>
      <w:r w:rsidR="00903EA4">
        <w:rPr>
          <w:b/>
          <w:lang w:val="fr-FR"/>
        </w:rPr>
        <w:t xml:space="preserve"> </w:t>
      </w:r>
    </w:p>
    <w:p w:rsidR="0066144C" w:rsidRPr="00EC4C12" w:rsidRDefault="0081009D" w:rsidP="00EC4C12">
      <w:pPr>
        <w:pStyle w:val="SingleTxtG"/>
        <w:tabs>
          <w:tab w:val="left" w:pos="2268"/>
        </w:tabs>
        <w:rPr>
          <w:b/>
          <w:bCs/>
          <w:lang w:val="fr-FR"/>
        </w:rPr>
      </w:pPr>
      <w:r w:rsidRPr="00EC4C12">
        <w:rPr>
          <w:b/>
          <w:lang w:val="fr-FR"/>
        </w:rPr>
        <w:t>2.2</w:t>
      </w:r>
      <w:r w:rsidR="0085632D">
        <w:rPr>
          <w:b/>
          <w:lang w:val="fr-FR"/>
        </w:rPr>
        <w:tab/>
      </w:r>
      <w:r w:rsidRPr="00EC4C12">
        <w:rPr>
          <w:b/>
          <w:bCs/>
          <w:lang w:val="fr-FR"/>
        </w:rPr>
        <w:t>Bruit du groupe motopropulseur</w:t>
      </w:r>
    </w:p>
    <w:p w:rsidR="0066144C" w:rsidRPr="00EC4C12" w:rsidRDefault="0085632D" w:rsidP="0085632D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>
        <w:rPr>
          <w:b/>
          <w:lang w:val="fr-FR"/>
        </w:rPr>
        <w:tab/>
      </w:r>
      <w:r w:rsidR="0081009D" w:rsidRPr="00EC4C12">
        <w:rPr>
          <w:b/>
          <w:lang w:val="fr-FR"/>
        </w:rPr>
        <w:t>Il convient de veiller à ce que le bruit de roulement</w:t>
      </w:r>
      <w:r>
        <w:rPr>
          <w:b/>
          <w:lang w:val="fr-FR"/>
        </w:rPr>
        <w:t xml:space="preserve"> </w:t>
      </w:r>
      <w:r w:rsidR="0081009D" w:rsidRPr="00EC4C12">
        <w:rPr>
          <w:b/>
          <w:lang w:val="fr-FR"/>
        </w:rPr>
        <w:t>pneumatique/route résiduel ne puisse pas fausser les résultats des mesures. Il convient également de veiller, dans tous les cas, à ce que le bruit de roulement pneumatique/route résiduel soit inférieur d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au moins 10 dB au niveau sonore maximal pondéré selon la courbe A</w:t>
      </w:r>
      <w:r w:rsidR="00903EA4">
        <w:rPr>
          <w:b/>
          <w:lang w:val="fr-FR"/>
        </w:rPr>
        <w:t xml:space="preserve"> </w:t>
      </w:r>
      <w:r w:rsidR="0081009D" w:rsidRPr="00EC4C12">
        <w:rPr>
          <w:b/>
          <w:lang w:val="fr-FR"/>
        </w:rPr>
        <w:t>du véhicule soumis à l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essai. Si cette condition ne peut pas être remplie, une correction doit être effectuée. La procédure correspondante est décrite au paragraphe B.6 de l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annexe B de la norme ISO 362-3:2016.</w:t>
      </w:r>
    </w:p>
    <w:p w:rsidR="0066144C" w:rsidRPr="00EC4C12" w:rsidRDefault="0085632D" w:rsidP="0085632D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>
        <w:rPr>
          <w:b/>
          <w:lang w:val="fr-FR"/>
        </w:rPr>
        <w:tab/>
      </w:r>
      <w:r w:rsidR="0081009D" w:rsidRPr="00EC4C12">
        <w:rPr>
          <w:b/>
          <w:lang w:val="fr-FR"/>
        </w:rPr>
        <w:t>Le véhicule doit être soumis à essai conformément aux prescriptions des paragraphes 3.1.2.1 et 3.1.2.2 de l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 xml:space="preserve">annexe 3 du présent Règlement. </w:t>
      </w:r>
    </w:p>
    <w:p w:rsidR="0066144C" w:rsidRPr="00EC4C12" w:rsidRDefault="0081009D" w:rsidP="007E6E20">
      <w:pPr>
        <w:pStyle w:val="SingleTxtG"/>
        <w:keepNext/>
        <w:keepLines/>
        <w:tabs>
          <w:tab w:val="left" w:pos="2268"/>
        </w:tabs>
        <w:ind w:left="2268" w:hanging="1134"/>
        <w:rPr>
          <w:b/>
          <w:bCs/>
          <w:lang w:val="fr-FR"/>
        </w:rPr>
      </w:pPr>
      <w:r w:rsidRPr="00EC4C12">
        <w:rPr>
          <w:b/>
          <w:lang w:val="fr-FR"/>
        </w:rPr>
        <w:t>2.3</w:t>
      </w:r>
      <w:r w:rsidRPr="00EC4C12">
        <w:rPr>
          <w:b/>
          <w:lang w:val="fr-FR"/>
        </w:rPr>
        <w:tab/>
      </w:r>
      <w:r w:rsidRPr="00EC4C12">
        <w:rPr>
          <w:b/>
          <w:lang w:val="fr-FR"/>
        </w:rPr>
        <w:tab/>
      </w:r>
      <w:r w:rsidRPr="00EC4C12">
        <w:rPr>
          <w:b/>
          <w:bCs/>
          <w:lang w:val="fr-FR"/>
        </w:rPr>
        <w:t>Bruit de roulement</w:t>
      </w:r>
      <w:r w:rsidR="0085632D">
        <w:rPr>
          <w:b/>
          <w:bCs/>
          <w:lang w:val="fr-FR"/>
        </w:rPr>
        <w:t xml:space="preserve"> </w:t>
      </w:r>
      <w:r w:rsidRPr="00EC4C12">
        <w:rPr>
          <w:b/>
          <w:bCs/>
          <w:lang w:val="fr-FR"/>
        </w:rPr>
        <w:t>pneumatique/route</w:t>
      </w:r>
    </w:p>
    <w:p w:rsidR="0066144C" w:rsidRPr="00EC4C12" w:rsidRDefault="0085632D" w:rsidP="007E6E20">
      <w:pPr>
        <w:pStyle w:val="SingleTxtG"/>
        <w:keepNext/>
        <w:keepLines/>
        <w:tabs>
          <w:tab w:val="left" w:pos="2268"/>
        </w:tabs>
        <w:ind w:left="2268" w:hanging="1134"/>
        <w:rPr>
          <w:b/>
          <w:lang w:val="fr-FR"/>
        </w:rPr>
      </w:pPr>
      <w:r>
        <w:rPr>
          <w:b/>
          <w:lang w:val="fr-FR"/>
        </w:rPr>
        <w:tab/>
      </w:r>
      <w:r w:rsidR="0081009D" w:rsidRPr="00EC4C12">
        <w:rPr>
          <w:b/>
          <w:lang w:val="fr-FR"/>
        </w:rPr>
        <w:t>Les mesures du bruit de roulement pneumatique/route doivent être</w:t>
      </w:r>
      <w:r>
        <w:rPr>
          <w:b/>
          <w:lang w:val="fr-FR"/>
        </w:rPr>
        <w:t> </w:t>
      </w:r>
      <w:r w:rsidR="0081009D" w:rsidRPr="00EC4C12">
        <w:rPr>
          <w:b/>
          <w:lang w:val="fr-FR"/>
        </w:rPr>
        <w:t>réalisées sur une piste d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essai conforme aux prescriptions du paragraphe 2.1.1 de l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annexe 3 du présent Règlement. L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 xml:space="preserve">évaluation du bruit des pneumatiques comprend : </w:t>
      </w:r>
    </w:p>
    <w:p w:rsidR="0066144C" w:rsidRPr="00EC4C12" w:rsidRDefault="0085632D" w:rsidP="0085632D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>
        <w:rPr>
          <w:b/>
          <w:lang w:val="fr-FR"/>
        </w:rPr>
        <w:tab/>
        <w:t>a)</w:t>
      </w:r>
      <w:r w:rsidR="0081009D" w:rsidRPr="00EC4C12">
        <w:rPr>
          <w:b/>
          <w:lang w:val="fr-FR"/>
        </w:rPr>
        <w:tab/>
        <w:t>L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évaluation du bruit de roulement libre ;</w:t>
      </w:r>
    </w:p>
    <w:p w:rsidR="0066144C" w:rsidRPr="00EC4C12" w:rsidRDefault="0085632D" w:rsidP="0085632D">
      <w:pPr>
        <w:pStyle w:val="SingleTxtG"/>
        <w:tabs>
          <w:tab w:val="left" w:pos="2268"/>
        </w:tabs>
        <w:ind w:left="2835" w:hanging="1701"/>
        <w:rPr>
          <w:b/>
          <w:lang w:val="fr-FR"/>
        </w:rPr>
      </w:pPr>
      <w:r>
        <w:rPr>
          <w:b/>
          <w:lang w:val="fr-FR"/>
        </w:rPr>
        <w:tab/>
      </w:r>
      <w:r w:rsidR="0081009D" w:rsidRPr="00EC4C12">
        <w:rPr>
          <w:b/>
          <w:lang w:val="fr-FR"/>
        </w:rPr>
        <w:t>b)</w:t>
      </w:r>
      <w:r w:rsidR="0081009D" w:rsidRPr="00EC4C12">
        <w:rPr>
          <w:b/>
          <w:lang w:val="fr-FR"/>
        </w:rPr>
        <w:tab/>
        <w:t>L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évaluation du bruit de roulement pneumatique/route, y compris de l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influence du couple, qui peut être déduite de a) par une méthode simplifiée.</w:t>
      </w:r>
    </w:p>
    <w:p w:rsidR="0066144C" w:rsidRPr="00EC4C12" w:rsidRDefault="0085632D" w:rsidP="0085632D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>
        <w:rPr>
          <w:b/>
          <w:lang w:val="fr-FR"/>
        </w:rPr>
        <w:tab/>
      </w:r>
      <w:r w:rsidR="0081009D" w:rsidRPr="00EC4C12">
        <w:rPr>
          <w:b/>
          <w:lang w:val="fr-FR"/>
        </w:rPr>
        <w:t xml:space="preserve">Le bruit de roulement pneumatique/route doit être évalué conformément aux prescriptions du paragraphe 3 de la présente annexe. </w:t>
      </w:r>
    </w:p>
    <w:p w:rsidR="0066144C" w:rsidRPr="00EC4C12" w:rsidRDefault="0081009D" w:rsidP="00EC4C12">
      <w:pPr>
        <w:pStyle w:val="SingleTxtG"/>
        <w:tabs>
          <w:tab w:val="left" w:pos="2268"/>
        </w:tabs>
        <w:rPr>
          <w:b/>
          <w:bCs/>
          <w:lang w:val="fr-FR"/>
        </w:rPr>
      </w:pPr>
      <w:r w:rsidRPr="00EC4C12">
        <w:rPr>
          <w:b/>
          <w:lang w:val="fr-FR"/>
        </w:rPr>
        <w:t>2.4</w:t>
      </w:r>
      <w:r w:rsidRPr="00EC4C12">
        <w:rPr>
          <w:b/>
          <w:lang w:val="fr-FR"/>
        </w:rPr>
        <w:tab/>
      </w:r>
      <w:r w:rsidRPr="00EC4C12">
        <w:rPr>
          <w:b/>
          <w:lang w:val="fr-FR"/>
        </w:rPr>
        <w:tab/>
      </w:r>
      <w:r w:rsidRPr="00EC4C12">
        <w:rPr>
          <w:b/>
          <w:bCs/>
          <w:lang w:val="fr-FR"/>
        </w:rPr>
        <w:t>Calcul du bruit total émis par le véhicule</w:t>
      </w:r>
    </w:p>
    <w:p w:rsidR="0066144C" w:rsidRPr="00EC4C12" w:rsidRDefault="0085632D" w:rsidP="0085632D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>
        <w:rPr>
          <w:b/>
          <w:lang w:val="fr-FR"/>
        </w:rPr>
        <w:tab/>
      </w:r>
      <w:r w:rsidR="0081009D" w:rsidRPr="00EC4C12">
        <w:rPr>
          <w:b/>
          <w:lang w:val="fr-FR"/>
        </w:rPr>
        <w:t>Le bruit total émis par le véhicule correspond à la somme énergétique du bruit de roulement pneumatique/route et du bruit du groupe motopropulseur. Il doit être calculé pour chaque cycle conformément au paragraphe 10.2.4 de la norme ISO 362-3</w:t>
      </w:r>
      <w:r w:rsidR="00C2246A">
        <w:rPr>
          <w:b/>
          <w:lang w:val="fr-FR"/>
        </w:rPr>
        <w:t>:</w:t>
      </w:r>
      <w:r w:rsidR="0081009D" w:rsidRPr="00EC4C12">
        <w:rPr>
          <w:b/>
          <w:lang w:val="fr-FR"/>
        </w:rPr>
        <w:t>2016.</w:t>
      </w:r>
      <w:r w:rsidR="00903EA4">
        <w:rPr>
          <w:b/>
          <w:lang w:val="fr-FR"/>
        </w:rPr>
        <w:t xml:space="preserve"> </w:t>
      </w:r>
    </w:p>
    <w:p w:rsidR="0066144C" w:rsidRPr="00EC4C12" w:rsidRDefault="0081009D" w:rsidP="0085632D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EC4C12">
        <w:rPr>
          <w:b/>
          <w:lang w:val="fr-FR"/>
        </w:rPr>
        <w:t>3.</w:t>
      </w:r>
      <w:r w:rsidRPr="00EC4C12">
        <w:rPr>
          <w:b/>
          <w:lang w:val="fr-FR"/>
        </w:rPr>
        <w:tab/>
      </w:r>
      <w:r w:rsidRPr="00EC4C12">
        <w:rPr>
          <w:rFonts w:ascii="Tahoma" w:hAnsi="Tahoma" w:cs="Tahoma"/>
          <w:b/>
          <w:lang w:val="fr-FR"/>
        </w:rPr>
        <w:t>﻿</w:t>
      </w:r>
      <w:r w:rsidRPr="00EC4C12">
        <w:rPr>
          <w:b/>
          <w:lang w:val="fr-FR"/>
        </w:rPr>
        <w:tab/>
        <w:t>Mesure, évaluation et calcul du bruit de roulement pneumatique/route</w:t>
      </w:r>
      <w:r w:rsidR="00903EA4">
        <w:rPr>
          <w:b/>
          <w:lang w:val="fr-FR"/>
        </w:rPr>
        <w:t xml:space="preserve"> </w:t>
      </w:r>
      <w:r w:rsidRPr="00EC4C12">
        <w:rPr>
          <w:b/>
          <w:lang w:val="fr-FR"/>
        </w:rPr>
        <w:t xml:space="preserve">selon la variante A </w:t>
      </w:r>
    </w:p>
    <w:p w:rsidR="0066144C" w:rsidRPr="00EC4C12" w:rsidRDefault="0085632D" w:rsidP="0085632D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>
        <w:rPr>
          <w:b/>
          <w:lang w:val="fr-FR"/>
        </w:rPr>
        <w:tab/>
      </w:r>
      <w:r w:rsidR="0081009D" w:rsidRPr="00EC4C12">
        <w:rPr>
          <w:b/>
          <w:lang w:val="fr-FR"/>
        </w:rPr>
        <w:t>Les prescriptions relatives à l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évaluation du bruit de roulement pneumatique/route, du bruit de roulement libre et de l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influence du couple sont énoncées à l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annexe B de la norme ISO 362-3:2016.</w:t>
      </w:r>
    </w:p>
    <w:p w:rsidR="0066144C" w:rsidRPr="00EC4C12" w:rsidRDefault="0081009D" w:rsidP="00EC4C12">
      <w:pPr>
        <w:pStyle w:val="SingleTxtG"/>
        <w:tabs>
          <w:tab w:val="left" w:pos="2268"/>
        </w:tabs>
        <w:rPr>
          <w:b/>
          <w:lang w:val="fr-FR"/>
        </w:rPr>
      </w:pPr>
      <w:r w:rsidRPr="00EC4C12">
        <w:rPr>
          <w:b/>
          <w:lang w:val="fr-FR"/>
        </w:rPr>
        <w:t>4.</w:t>
      </w:r>
      <w:r w:rsidRPr="00EC4C12">
        <w:rPr>
          <w:b/>
          <w:lang w:val="fr-FR"/>
        </w:rPr>
        <w:tab/>
      </w:r>
      <w:r w:rsidRPr="00EC4C12">
        <w:rPr>
          <w:b/>
          <w:lang w:val="fr-FR"/>
        </w:rPr>
        <w:tab/>
        <w:t>Ajustement des dimensions</w:t>
      </w:r>
      <w:r w:rsidR="00903EA4">
        <w:rPr>
          <w:b/>
          <w:lang w:val="fr-FR"/>
        </w:rPr>
        <w:t xml:space="preserve"> </w:t>
      </w:r>
      <w:r w:rsidRPr="00EC4C12">
        <w:rPr>
          <w:b/>
          <w:lang w:val="fr-FR"/>
        </w:rPr>
        <w:t>du local d</w:t>
      </w:r>
      <w:r w:rsidR="0085632D">
        <w:rPr>
          <w:b/>
          <w:lang w:val="fr-FR"/>
        </w:rPr>
        <w:t>’</w:t>
      </w:r>
      <w:r w:rsidRPr="00EC4C12">
        <w:rPr>
          <w:b/>
          <w:lang w:val="fr-FR"/>
        </w:rPr>
        <w:t xml:space="preserve">essai </w:t>
      </w:r>
    </w:p>
    <w:p w:rsidR="0066144C" w:rsidRPr="00EC4C12" w:rsidRDefault="0085632D" w:rsidP="0085632D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b/>
          <w:lang w:val="fr-FR"/>
        </w:rPr>
        <w:tab/>
      </w:r>
      <w:r w:rsidR="0081009D" w:rsidRPr="00EC4C12">
        <w:rPr>
          <w:b/>
          <w:lang w:val="fr-FR"/>
        </w:rPr>
        <w:t>Dans le cas de</w:t>
      </w:r>
      <w:r w:rsidR="00903EA4">
        <w:rPr>
          <w:b/>
          <w:lang w:val="fr-FR"/>
        </w:rPr>
        <w:t xml:space="preserve"> </w:t>
      </w:r>
      <w:r w:rsidR="0081009D" w:rsidRPr="00EC4C12">
        <w:rPr>
          <w:b/>
          <w:lang w:val="fr-FR"/>
        </w:rPr>
        <w:t>locaux d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essai de plus petites dimensions, conformément aux prescriptions de l</w:t>
      </w:r>
      <w:r>
        <w:rPr>
          <w:b/>
          <w:lang w:val="fr-FR"/>
        </w:rPr>
        <w:t>’</w:t>
      </w:r>
      <w:r w:rsidR="0081009D" w:rsidRPr="00EC4C12">
        <w:rPr>
          <w:b/>
          <w:lang w:val="fr-FR"/>
        </w:rPr>
        <w:t>annexe E de la norme ISO 362-3:2016, il convient de procéder avec minutie pour évaluer les niveaux maximums afin de ne pas les manquer. </w:t>
      </w:r>
      <w:r w:rsidR="0081009D" w:rsidRPr="0085632D">
        <w:rPr>
          <w:lang w:val="fr-FR"/>
        </w:rPr>
        <w:t>».</w:t>
      </w:r>
    </w:p>
    <w:p w:rsidR="0066144C" w:rsidRPr="00EC4C12" w:rsidRDefault="0081009D" w:rsidP="00EC4C12">
      <w:pPr>
        <w:pStyle w:val="HChG"/>
        <w:rPr>
          <w:lang w:val="fr-FR"/>
        </w:rPr>
      </w:pPr>
      <w:r w:rsidRPr="00EC4C12">
        <w:rPr>
          <w:lang w:val="fr-FR"/>
        </w:rPr>
        <w:tab/>
        <w:t>II.</w:t>
      </w:r>
      <w:r w:rsidRPr="00EC4C12">
        <w:rPr>
          <w:lang w:val="fr-FR"/>
        </w:rPr>
        <w:tab/>
        <w:t>Justification</w:t>
      </w:r>
    </w:p>
    <w:p w:rsidR="0066144C" w:rsidRPr="00EC4C12" w:rsidRDefault="0081009D" w:rsidP="00EC4C12">
      <w:pPr>
        <w:pStyle w:val="SingleTxtG"/>
        <w:rPr>
          <w:lang w:val="fr-FR"/>
        </w:rPr>
      </w:pPr>
      <w:r w:rsidRPr="00EC4C12">
        <w:rPr>
          <w:lang w:val="fr-FR"/>
        </w:rPr>
        <w:t>1.</w:t>
      </w:r>
      <w:r w:rsidRPr="00EC4C12">
        <w:rPr>
          <w:lang w:val="fr-FR"/>
        </w:rPr>
        <w:tab/>
        <w:t>À la soixante-quatrième session du Groupe de travail du bruit (GRB), l</w:t>
      </w:r>
      <w:r w:rsidR="0085632D">
        <w:rPr>
          <w:lang w:val="fr-FR"/>
        </w:rPr>
        <w:t>’</w:t>
      </w:r>
      <w:r w:rsidRPr="00EC4C12">
        <w:rPr>
          <w:lang w:val="fr-FR"/>
        </w:rPr>
        <w:t>expert de l</w:t>
      </w:r>
      <w:r w:rsidR="0085632D">
        <w:rPr>
          <w:lang w:val="fr-FR"/>
        </w:rPr>
        <w:t>’</w:t>
      </w:r>
      <w:r w:rsidRPr="00EC4C12">
        <w:rPr>
          <w:lang w:val="fr-FR"/>
        </w:rPr>
        <w:t>ISO a rendu compte de l</w:t>
      </w:r>
      <w:r w:rsidR="0085632D">
        <w:rPr>
          <w:lang w:val="fr-FR"/>
        </w:rPr>
        <w:t>’</w:t>
      </w:r>
      <w:r w:rsidRPr="00EC4C12">
        <w:rPr>
          <w:lang w:val="fr-FR"/>
        </w:rPr>
        <w:t>état d</w:t>
      </w:r>
      <w:r w:rsidR="0085632D">
        <w:rPr>
          <w:lang w:val="fr-FR"/>
        </w:rPr>
        <w:t>’</w:t>
      </w:r>
      <w:r w:rsidRPr="00EC4C12">
        <w:rPr>
          <w:lang w:val="fr-FR"/>
        </w:rPr>
        <w:t>avancement de la norme ISO 362-3 sur les essais en intérieur relatifs au bruit de passage des véhicules (GRB-64-07). L</w:t>
      </w:r>
      <w:r w:rsidR="0085632D">
        <w:rPr>
          <w:lang w:val="fr-FR"/>
        </w:rPr>
        <w:t>’</w:t>
      </w:r>
      <w:r w:rsidRPr="00EC4C12">
        <w:rPr>
          <w:lang w:val="fr-FR"/>
        </w:rPr>
        <w:t>expert de l</w:t>
      </w:r>
      <w:r w:rsidR="0085632D">
        <w:rPr>
          <w:lang w:val="fr-FR"/>
        </w:rPr>
        <w:t>’</w:t>
      </w:r>
      <w:r w:rsidRPr="00EC4C12">
        <w:rPr>
          <w:lang w:val="fr-FR"/>
        </w:rPr>
        <w:t>Organisation internationale des constructeurs d</w:t>
      </w:r>
      <w:r w:rsidR="0085632D">
        <w:rPr>
          <w:lang w:val="fr-FR"/>
        </w:rPr>
        <w:t>’</w:t>
      </w:r>
      <w:r w:rsidRPr="00EC4C12">
        <w:rPr>
          <w:lang w:val="fr-FR"/>
        </w:rPr>
        <w:t>automobiles (OICA) a souligné qu</w:t>
      </w:r>
      <w:r w:rsidR="0085632D">
        <w:rPr>
          <w:lang w:val="fr-FR"/>
        </w:rPr>
        <w:t>’</w:t>
      </w:r>
      <w:r w:rsidRPr="00EC4C12">
        <w:rPr>
          <w:lang w:val="fr-FR"/>
        </w:rPr>
        <w:t>il importait d</w:t>
      </w:r>
      <w:r w:rsidR="0085632D">
        <w:rPr>
          <w:lang w:val="fr-FR"/>
        </w:rPr>
        <w:t>’</w:t>
      </w:r>
      <w:r w:rsidRPr="00EC4C12">
        <w:rPr>
          <w:lang w:val="fr-FR"/>
        </w:rPr>
        <w:t>inclure des essais en intérieur comme solution de rechange aux essais d</w:t>
      </w:r>
      <w:r w:rsidR="0085632D">
        <w:rPr>
          <w:lang w:val="fr-FR"/>
        </w:rPr>
        <w:t>’</w:t>
      </w:r>
      <w:r w:rsidRPr="00EC4C12">
        <w:rPr>
          <w:lang w:val="fr-FR"/>
        </w:rPr>
        <w:t>homologation de type prévus à l</w:t>
      </w:r>
      <w:r w:rsidR="0085632D">
        <w:rPr>
          <w:lang w:val="fr-FR"/>
        </w:rPr>
        <w:t>’</w:t>
      </w:r>
      <w:r w:rsidR="0083477E">
        <w:rPr>
          <w:lang w:val="fr-FR"/>
        </w:rPr>
        <w:t xml:space="preserve">annexe 3 du Règlement </w:t>
      </w:r>
      <w:r w:rsidR="0083477E" w:rsidRPr="0083477E">
        <w:rPr>
          <w:rFonts w:eastAsia="MS Mincho"/>
          <w:lang w:val="fr-FR"/>
        </w:rPr>
        <w:t>n</w:t>
      </w:r>
      <w:r w:rsidR="0083477E" w:rsidRPr="0083477E">
        <w:rPr>
          <w:rFonts w:eastAsia="MS Mincho"/>
          <w:vertAlign w:val="superscript"/>
          <w:lang w:val="fr-FR"/>
        </w:rPr>
        <w:t>o</w:t>
      </w:r>
      <w:r w:rsidR="0083477E">
        <w:rPr>
          <w:lang w:val="fr-FR"/>
        </w:rPr>
        <w:t> </w:t>
      </w:r>
      <w:r w:rsidRPr="00EC4C12">
        <w:rPr>
          <w:lang w:val="fr-FR"/>
        </w:rPr>
        <w:t>51, en particulier pour les constructeurs de véhicules des pays où les conditions météorologiques locales n</w:t>
      </w:r>
      <w:r w:rsidR="0085632D">
        <w:rPr>
          <w:lang w:val="fr-FR"/>
        </w:rPr>
        <w:t>’</w:t>
      </w:r>
      <w:r w:rsidRPr="00EC4C12">
        <w:rPr>
          <w:lang w:val="fr-FR"/>
        </w:rPr>
        <w:t>autorisent l</w:t>
      </w:r>
      <w:r w:rsidR="0085632D">
        <w:rPr>
          <w:lang w:val="fr-FR"/>
        </w:rPr>
        <w:t>’</w:t>
      </w:r>
      <w:r w:rsidRPr="00EC4C12">
        <w:rPr>
          <w:lang w:val="fr-FR"/>
        </w:rPr>
        <w:t>utilisation de pistes d</w:t>
      </w:r>
      <w:r w:rsidR="0085632D">
        <w:rPr>
          <w:lang w:val="fr-FR"/>
        </w:rPr>
        <w:t>’</w:t>
      </w:r>
      <w:r w:rsidRPr="00EC4C12">
        <w:rPr>
          <w:lang w:val="fr-FR"/>
        </w:rPr>
        <w:t>essai extérieures que pendant une courte période de l</w:t>
      </w:r>
      <w:r w:rsidR="0085632D">
        <w:rPr>
          <w:lang w:val="fr-FR"/>
        </w:rPr>
        <w:t>’</w:t>
      </w:r>
      <w:r w:rsidRPr="00EC4C12">
        <w:rPr>
          <w:lang w:val="fr-FR"/>
        </w:rPr>
        <w:t>année. Afin de faire avancer les choses, le GRB a invité les experts de l</w:t>
      </w:r>
      <w:r w:rsidR="0085632D">
        <w:rPr>
          <w:lang w:val="fr-FR"/>
        </w:rPr>
        <w:t>’</w:t>
      </w:r>
      <w:r w:rsidRPr="00EC4C12">
        <w:rPr>
          <w:lang w:val="fr-FR"/>
        </w:rPr>
        <w:t>ISO et de l</w:t>
      </w:r>
      <w:r w:rsidR="0085632D">
        <w:rPr>
          <w:lang w:val="fr-FR"/>
        </w:rPr>
        <w:t>’</w:t>
      </w:r>
      <w:r w:rsidRPr="00EC4C12">
        <w:rPr>
          <w:lang w:val="fr-FR"/>
        </w:rPr>
        <w:t>OICA à établir, pour la session suivante, un document informel contenant un projet de propositio</w:t>
      </w:r>
      <w:r w:rsidR="0085632D">
        <w:rPr>
          <w:lang w:val="fr-FR"/>
        </w:rPr>
        <w:t xml:space="preserve">ns d’amendement au Règlement </w:t>
      </w:r>
      <w:r w:rsidR="0085632D" w:rsidRPr="0085632D">
        <w:rPr>
          <w:rFonts w:eastAsia="MS Mincho"/>
          <w:lang w:val="fr-FR"/>
        </w:rPr>
        <w:t>n</w:t>
      </w:r>
      <w:r w:rsidR="0085632D" w:rsidRPr="0085632D">
        <w:rPr>
          <w:rFonts w:eastAsia="MS Mincho"/>
          <w:vertAlign w:val="superscript"/>
          <w:lang w:val="fr-FR"/>
        </w:rPr>
        <w:t>o</w:t>
      </w:r>
      <w:r w:rsidR="0085632D" w:rsidRPr="0085632D">
        <w:rPr>
          <w:rFonts w:eastAsia="MS Mincho"/>
          <w:lang w:val="fr-FR"/>
        </w:rPr>
        <w:t> </w:t>
      </w:r>
      <w:r w:rsidRPr="00EC4C12">
        <w:rPr>
          <w:lang w:val="fr-FR"/>
        </w:rPr>
        <w:t>51 qui</w:t>
      </w:r>
      <w:r w:rsidR="00903EA4">
        <w:rPr>
          <w:lang w:val="fr-FR"/>
        </w:rPr>
        <w:t xml:space="preserve"> </w:t>
      </w:r>
      <w:r w:rsidRPr="00EC4C12">
        <w:rPr>
          <w:lang w:val="fr-FR"/>
        </w:rPr>
        <w:t>tiendrait compte de la norme ISO 362-3.</w:t>
      </w:r>
    </w:p>
    <w:p w:rsidR="0066144C" w:rsidRPr="00EC4C12" w:rsidRDefault="0081009D" w:rsidP="00EC4C12">
      <w:pPr>
        <w:pStyle w:val="SingleTxtG"/>
        <w:rPr>
          <w:lang w:val="fr-FR"/>
        </w:rPr>
      </w:pPr>
      <w:r w:rsidRPr="00EC4C12">
        <w:rPr>
          <w:lang w:val="fr-FR"/>
        </w:rPr>
        <w:t>2.</w:t>
      </w:r>
      <w:r w:rsidRPr="00EC4C12">
        <w:rPr>
          <w:lang w:val="fr-FR"/>
        </w:rPr>
        <w:tab/>
        <w:t>À la soixante-cinquième session du GRB, l</w:t>
      </w:r>
      <w:r w:rsidR="0085632D">
        <w:rPr>
          <w:lang w:val="fr-FR"/>
        </w:rPr>
        <w:t>’</w:t>
      </w:r>
      <w:r w:rsidRPr="00EC4C12">
        <w:rPr>
          <w:lang w:val="fr-FR"/>
        </w:rPr>
        <w:t>expert de l</w:t>
      </w:r>
      <w:r w:rsidR="0085632D">
        <w:rPr>
          <w:lang w:val="fr-FR"/>
        </w:rPr>
        <w:t>’</w:t>
      </w:r>
      <w:r w:rsidRPr="00EC4C12">
        <w:rPr>
          <w:lang w:val="fr-FR"/>
        </w:rPr>
        <w:t>ISO a proposé d</w:t>
      </w:r>
      <w:r w:rsidR="0085632D">
        <w:rPr>
          <w:lang w:val="fr-FR"/>
        </w:rPr>
        <w:t>’</w:t>
      </w:r>
      <w:r w:rsidRPr="00EC4C12">
        <w:rPr>
          <w:lang w:val="fr-FR"/>
        </w:rPr>
        <w:t>introduire à titre facultatif l</w:t>
      </w:r>
      <w:r w:rsidR="0085632D">
        <w:rPr>
          <w:lang w:val="fr-FR"/>
        </w:rPr>
        <w:t>’</w:t>
      </w:r>
      <w:r w:rsidRPr="00EC4C12">
        <w:rPr>
          <w:lang w:val="fr-FR"/>
        </w:rPr>
        <w:t>essai en intérieur à l</w:t>
      </w:r>
      <w:r w:rsidR="0085632D">
        <w:rPr>
          <w:lang w:val="fr-FR"/>
        </w:rPr>
        <w:t>’</w:t>
      </w:r>
      <w:r w:rsidRPr="00EC4C12">
        <w:rPr>
          <w:lang w:val="fr-FR"/>
        </w:rPr>
        <w:t xml:space="preserve">annexe 3 du Règlement </w:t>
      </w:r>
      <w:r w:rsidR="0083477E" w:rsidRPr="0083477E">
        <w:rPr>
          <w:rFonts w:eastAsia="MS Mincho"/>
          <w:lang w:val="fr-FR"/>
        </w:rPr>
        <w:t>n</w:t>
      </w:r>
      <w:r w:rsidR="0083477E" w:rsidRPr="0083477E">
        <w:rPr>
          <w:rFonts w:eastAsia="MS Mincho"/>
          <w:vertAlign w:val="superscript"/>
          <w:lang w:val="fr-FR"/>
        </w:rPr>
        <w:t>o</w:t>
      </w:r>
      <w:r w:rsidR="0083477E">
        <w:rPr>
          <w:lang w:val="fr-FR"/>
        </w:rPr>
        <w:t> </w:t>
      </w:r>
      <w:r w:rsidRPr="00EC4C12">
        <w:rPr>
          <w:lang w:val="fr-FR"/>
        </w:rPr>
        <w:t>51 (GRB-65-04). Cette proposition a suscité des observations de la part des experts de l</w:t>
      </w:r>
      <w:r w:rsidR="0085632D">
        <w:rPr>
          <w:lang w:val="fr-FR"/>
        </w:rPr>
        <w:t>’</w:t>
      </w:r>
      <w:r w:rsidRPr="00EC4C12">
        <w:rPr>
          <w:lang w:val="fr-FR"/>
        </w:rPr>
        <w:t>Allemagne, de la Fédération de Russie, de la France, de la Pologne, de la Commission européenne et de l</w:t>
      </w:r>
      <w:r w:rsidR="0085632D">
        <w:rPr>
          <w:lang w:val="fr-FR"/>
        </w:rPr>
        <w:t>’</w:t>
      </w:r>
      <w:r w:rsidRPr="00EC4C12">
        <w:rPr>
          <w:lang w:val="fr-FR"/>
        </w:rPr>
        <w:t>OICA. Le Président a invité ces experts, ainsi que d</w:t>
      </w:r>
      <w:r w:rsidR="0085632D">
        <w:rPr>
          <w:lang w:val="fr-FR"/>
        </w:rPr>
        <w:t>’</w:t>
      </w:r>
      <w:r w:rsidRPr="00EC4C12">
        <w:rPr>
          <w:lang w:val="fr-FR"/>
        </w:rPr>
        <w:t>autres parties intéressées, à examiner la proposition de l</w:t>
      </w:r>
      <w:r w:rsidR="0085632D">
        <w:rPr>
          <w:lang w:val="fr-FR"/>
        </w:rPr>
        <w:t>’</w:t>
      </w:r>
      <w:r w:rsidRPr="00EC4C12">
        <w:rPr>
          <w:lang w:val="fr-FR"/>
        </w:rPr>
        <w:t>ISO et à soumettre un document révisé à la session suivante.</w:t>
      </w:r>
    </w:p>
    <w:p w:rsidR="00F9573C" w:rsidRPr="0085632D" w:rsidRDefault="0085632D" w:rsidP="0085632D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85632D" w:rsidSect="003F103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BA" w:rsidRDefault="002842BA" w:rsidP="00F95C08">
      <w:pPr>
        <w:spacing w:line="240" w:lineRule="auto"/>
      </w:pPr>
    </w:p>
  </w:endnote>
  <w:endnote w:type="continuationSeparator" w:id="0">
    <w:p w:rsidR="002842BA" w:rsidRPr="00AC3823" w:rsidRDefault="002842BA" w:rsidP="00AC3823">
      <w:pPr>
        <w:pStyle w:val="Footer"/>
      </w:pPr>
    </w:p>
  </w:endnote>
  <w:endnote w:type="continuationNotice" w:id="1">
    <w:p w:rsidR="002842BA" w:rsidRDefault="002842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39" w:rsidRPr="003F1039" w:rsidRDefault="003F1039" w:rsidP="003F1039">
    <w:pPr>
      <w:pStyle w:val="Footer"/>
      <w:tabs>
        <w:tab w:val="right" w:pos="9638"/>
      </w:tabs>
    </w:pPr>
    <w:r w:rsidRPr="003F1039">
      <w:rPr>
        <w:b/>
        <w:sz w:val="18"/>
      </w:rPr>
      <w:fldChar w:fldCharType="begin"/>
    </w:r>
    <w:r w:rsidRPr="003F1039">
      <w:rPr>
        <w:b/>
        <w:sz w:val="18"/>
      </w:rPr>
      <w:instrText xml:space="preserve"> PAGE  \* MERGEFORMAT </w:instrText>
    </w:r>
    <w:r w:rsidRPr="003F1039">
      <w:rPr>
        <w:b/>
        <w:sz w:val="18"/>
      </w:rPr>
      <w:fldChar w:fldCharType="separate"/>
    </w:r>
    <w:r w:rsidR="00160237">
      <w:rPr>
        <w:b/>
        <w:noProof/>
        <w:sz w:val="18"/>
      </w:rPr>
      <w:t>6</w:t>
    </w:r>
    <w:r w:rsidRPr="003F1039">
      <w:rPr>
        <w:b/>
        <w:sz w:val="18"/>
      </w:rPr>
      <w:fldChar w:fldCharType="end"/>
    </w:r>
    <w:r>
      <w:rPr>
        <w:b/>
        <w:sz w:val="18"/>
      </w:rPr>
      <w:tab/>
    </w:r>
    <w:r>
      <w:t>GE.17-10179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39" w:rsidRPr="003F1039" w:rsidRDefault="003F1039" w:rsidP="003F1039">
    <w:pPr>
      <w:pStyle w:val="Footer"/>
      <w:tabs>
        <w:tab w:val="right" w:pos="9638"/>
      </w:tabs>
      <w:rPr>
        <w:b/>
        <w:sz w:val="18"/>
      </w:rPr>
    </w:pPr>
    <w:r>
      <w:t>GE.17-10179</w:t>
    </w:r>
    <w:r>
      <w:tab/>
    </w:r>
    <w:r w:rsidRPr="003F1039">
      <w:rPr>
        <w:b/>
        <w:sz w:val="18"/>
      </w:rPr>
      <w:fldChar w:fldCharType="begin"/>
    </w:r>
    <w:r w:rsidRPr="003F1039">
      <w:rPr>
        <w:b/>
        <w:sz w:val="18"/>
      </w:rPr>
      <w:instrText xml:space="preserve"> PAGE  \* MERGEFORMAT </w:instrText>
    </w:r>
    <w:r w:rsidRPr="003F1039">
      <w:rPr>
        <w:b/>
        <w:sz w:val="18"/>
      </w:rPr>
      <w:fldChar w:fldCharType="separate"/>
    </w:r>
    <w:r w:rsidR="00160237">
      <w:rPr>
        <w:b/>
        <w:noProof/>
        <w:sz w:val="18"/>
      </w:rPr>
      <w:t>5</w:t>
    </w:r>
    <w:r w:rsidRPr="003F10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3F1039" w:rsidRDefault="003F1039" w:rsidP="003F103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17-10179  (F)</w:t>
    </w:r>
    <w:r w:rsidR="00903EA4">
      <w:rPr>
        <w:sz w:val="20"/>
      </w:rPr>
      <w:t xml:space="preserve">    120717    </w:t>
    </w:r>
    <w:r w:rsidR="00D4657F">
      <w:rPr>
        <w:sz w:val="20"/>
      </w:rPr>
      <w:t>130717</w:t>
    </w:r>
    <w:r>
      <w:rPr>
        <w:sz w:val="20"/>
      </w:rPr>
      <w:br/>
    </w:r>
    <w:r w:rsidRPr="003F1039">
      <w:rPr>
        <w:rFonts w:ascii="C39T30Lfz" w:hAnsi="C39T30Lfz"/>
        <w:sz w:val="56"/>
      </w:rPr>
      <w:t></w:t>
    </w:r>
    <w:r w:rsidRPr="003F1039">
      <w:rPr>
        <w:rFonts w:ascii="C39T30Lfz" w:hAnsi="C39T30Lfz"/>
        <w:sz w:val="56"/>
      </w:rPr>
      <w:t></w:t>
    </w:r>
    <w:r w:rsidRPr="003F1039">
      <w:rPr>
        <w:rFonts w:ascii="C39T30Lfz" w:hAnsi="C39T30Lfz"/>
        <w:sz w:val="56"/>
      </w:rPr>
      <w:t></w:t>
    </w:r>
    <w:r w:rsidRPr="003F1039">
      <w:rPr>
        <w:rFonts w:ascii="C39T30Lfz" w:hAnsi="C39T30Lfz"/>
        <w:sz w:val="56"/>
      </w:rPr>
      <w:t></w:t>
    </w:r>
    <w:r w:rsidRPr="003F1039">
      <w:rPr>
        <w:rFonts w:ascii="C39T30Lfz" w:hAnsi="C39T30Lfz"/>
        <w:sz w:val="56"/>
      </w:rPr>
      <w:t></w:t>
    </w:r>
    <w:r w:rsidRPr="003F1039">
      <w:rPr>
        <w:rFonts w:ascii="C39T30Lfz" w:hAnsi="C39T30Lfz"/>
        <w:sz w:val="56"/>
      </w:rPr>
      <w:t></w:t>
    </w:r>
    <w:r w:rsidRPr="003F1039">
      <w:rPr>
        <w:rFonts w:ascii="C39T30Lfz" w:hAnsi="C39T30Lfz"/>
        <w:sz w:val="56"/>
      </w:rPr>
      <w:t></w:t>
    </w:r>
    <w:r w:rsidRPr="003F1039">
      <w:rPr>
        <w:rFonts w:ascii="C39T30Lfz" w:hAnsi="C39T30Lfz"/>
        <w:sz w:val="56"/>
      </w:rPr>
      <w:t></w:t>
    </w:r>
    <w:r w:rsidRPr="003F1039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B/2017/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7/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BA" w:rsidRPr="00AC3823" w:rsidRDefault="002842B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842BA" w:rsidRPr="00AC3823" w:rsidRDefault="002842B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842BA" w:rsidRPr="00AC3823" w:rsidRDefault="002842BA">
      <w:pPr>
        <w:spacing w:line="240" w:lineRule="auto"/>
        <w:rPr>
          <w:sz w:val="2"/>
          <w:szCs w:val="2"/>
        </w:rPr>
      </w:pPr>
    </w:p>
  </w:footnote>
  <w:footnote w:id="2">
    <w:p w:rsidR="00EC4C12" w:rsidRPr="00EC4C12" w:rsidRDefault="00EC4C12">
      <w:pPr>
        <w:pStyle w:val="FootnoteText"/>
      </w:pPr>
      <w:r>
        <w:rPr>
          <w:rStyle w:val="FootnoteReference"/>
        </w:rPr>
        <w:tab/>
      </w:r>
      <w:r w:rsidRPr="00EC4C1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DE66F9">
        <w:rPr>
          <w:szCs w:val="18"/>
        </w:rPr>
        <w:t xml:space="preserve">Conformément au programme de travail du Comité des transports </w:t>
      </w:r>
      <w:r>
        <w:rPr>
          <w:szCs w:val="18"/>
        </w:rPr>
        <w:t>intérieurs pour la période 2016</w:t>
      </w:r>
      <w:r>
        <w:rPr>
          <w:szCs w:val="18"/>
        </w:rPr>
        <w:noBreakHyphen/>
      </w:r>
      <w:r w:rsidRPr="00DE66F9">
        <w:rPr>
          <w:szCs w:val="18"/>
        </w:rPr>
        <w:t>2017 (</w:t>
      </w:r>
      <w:r>
        <w:rPr>
          <w:szCs w:val="18"/>
        </w:rPr>
        <w:t>ECE/TRANS/254, par</w:t>
      </w:r>
      <w:r w:rsidRPr="00DE66F9">
        <w:rPr>
          <w:szCs w:val="18"/>
        </w:rPr>
        <w:t>. 159</w:t>
      </w:r>
      <w:r>
        <w:rPr>
          <w:szCs w:val="18"/>
        </w:rPr>
        <w:t>,</w:t>
      </w:r>
      <w:r w:rsidRPr="00DE66F9">
        <w:rPr>
          <w:szCs w:val="18"/>
        </w:rPr>
        <w:t xml:space="preserve"> </w:t>
      </w:r>
      <w:r>
        <w:rPr>
          <w:szCs w:val="18"/>
        </w:rPr>
        <w:t>et</w:t>
      </w:r>
      <w:r w:rsidRPr="00DE66F9">
        <w:rPr>
          <w:szCs w:val="18"/>
        </w:rPr>
        <w:t xml:space="preserve"> ECE/TRANS/2016/28/Add.1, </w:t>
      </w:r>
      <w:r>
        <w:rPr>
          <w:szCs w:val="18"/>
        </w:rPr>
        <w:t>module</w:t>
      </w:r>
      <w:r w:rsidRPr="00DE66F9">
        <w:rPr>
          <w:szCs w:val="18"/>
        </w:rPr>
        <w:t xml:space="preserve"> 3.2)</w:t>
      </w:r>
      <w:r>
        <w:rPr>
          <w:szCs w:val="18"/>
        </w:rPr>
        <w:t>, le Forum mondial a pour mission d’élaborer, d’harmoniser et de mettre à jour les Règlements en vue d’améliorer les caractéristiques fonctionnelles des véhicules. Le présent document est soumis en vertu 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39" w:rsidRPr="003F1039" w:rsidRDefault="0016023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1009D">
      <w:t>ECE/TRANS/WP.29/GRB/2017/8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39" w:rsidRPr="003F1039" w:rsidRDefault="00160237" w:rsidP="003F103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1009D">
      <w:t>ECE/TRANS/WP.29/GRB/2017/8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BA"/>
    <w:rsid w:val="00017F94"/>
    <w:rsid w:val="00023842"/>
    <w:rsid w:val="000334F9"/>
    <w:rsid w:val="00045FEB"/>
    <w:rsid w:val="0007796D"/>
    <w:rsid w:val="00096A16"/>
    <w:rsid w:val="000B7790"/>
    <w:rsid w:val="000D1D7E"/>
    <w:rsid w:val="00111F2F"/>
    <w:rsid w:val="0014365E"/>
    <w:rsid w:val="00143C66"/>
    <w:rsid w:val="00160237"/>
    <w:rsid w:val="00176178"/>
    <w:rsid w:val="001F525A"/>
    <w:rsid w:val="00223272"/>
    <w:rsid w:val="0024779E"/>
    <w:rsid w:val="00257168"/>
    <w:rsid w:val="002744B8"/>
    <w:rsid w:val="002832AC"/>
    <w:rsid w:val="002842BA"/>
    <w:rsid w:val="002A3A33"/>
    <w:rsid w:val="002D7C93"/>
    <w:rsid w:val="00305801"/>
    <w:rsid w:val="00306A6F"/>
    <w:rsid w:val="003916DE"/>
    <w:rsid w:val="003F1039"/>
    <w:rsid w:val="00441C3B"/>
    <w:rsid w:val="004429C6"/>
    <w:rsid w:val="00446FE5"/>
    <w:rsid w:val="00452396"/>
    <w:rsid w:val="004837D8"/>
    <w:rsid w:val="004E468C"/>
    <w:rsid w:val="005505B7"/>
    <w:rsid w:val="00573BE5"/>
    <w:rsid w:val="00586ED3"/>
    <w:rsid w:val="00596AA9"/>
    <w:rsid w:val="005E510A"/>
    <w:rsid w:val="0071601D"/>
    <w:rsid w:val="007A62E6"/>
    <w:rsid w:val="007D78E9"/>
    <w:rsid w:val="007E6E20"/>
    <w:rsid w:val="007F20FA"/>
    <w:rsid w:val="00803052"/>
    <w:rsid w:val="00803F61"/>
    <w:rsid w:val="0080684C"/>
    <w:rsid w:val="0081009D"/>
    <w:rsid w:val="0083477E"/>
    <w:rsid w:val="0085632D"/>
    <w:rsid w:val="00863C23"/>
    <w:rsid w:val="00871C75"/>
    <w:rsid w:val="008776DC"/>
    <w:rsid w:val="00903EA4"/>
    <w:rsid w:val="0090437C"/>
    <w:rsid w:val="00910774"/>
    <w:rsid w:val="009446C0"/>
    <w:rsid w:val="009705C8"/>
    <w:rsid w:val="009C1CF4"/>
    <w:rsid w:val="009F0660"/>
    <w:rsid w:val="009F6B74"/>
    <w:rsid w:val="00A30353"/>
    <w:rsid w:val="00AA3C48"/>
    <w:rsid w:val="00AC3823"/>
    <w:rsid w:val="00AE323C"/>
    <w:rsid w:val="00AF0CB5"/>
    <w:rsid w:val="00B00181"/>
    <w:rsid w:val="00B00B0D"/>
    <w:rsid w:val="00B765F7"/>
    <w:rsid w:val="00BA0CA9"/>
    <w:rsid w:val="00BC36BA"/>
    <w:rsid w:val="00C02897"/>
    <w:rsid w:val="00C2246A"/>
    <w:rsid w:val="00C97039"/>
    <w:rsid w:val="00CF6C33"/>
    <w:rsid w:val="00D3439C"/>
    <w:rsid w:val="00D4657F"/>
    <w:rsid w:val="00DB1831"/>
    <w:rsid w:val="00DD3BFD"/>
    <w:rsid w:val="00DF6678"/>
    <w:rsid w:val="00E741CE"/>
    <w:rsid w:val="00E85C74"/>
    <w:rsid w:val="00EA6547"/>
    <w:rsid w:val="00EC4C12"/>
    <w:rsid w:val="00EF2E22"/>
    <w:rsid w:val="00F05F2F"/>
    <w:rsid w:val="00F13510"/>
    <w:rsid w:val="00F35BAF"/>
    <w:rsid w:val="00F4434A"/>
    <w:rsid w:val="00F660DF"/>
    <w:rsid w:val="00F857DD"/>
    <w:rsid w:val="00F94664"/>
    <w:rsid w:val="00F9573C"/>
    <w:rsid w:val="00F95C08"/>
    <w:rsid w:val="00FB6FFB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2090</Words>
  <Characters>11919</Characters>
  <Application>Microsoft Office Word</Application>
  <DocSecurity>4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ECE/TRANS/WP.29/GRB/2017/8</vt:lpstr>
      <vt:lpstr>ECE/TRANS/WP.29/GRB/2017/8</vt:lpstr>
    </vt:vector>
  </TitlesOfParts>
  <Company>DCM</Company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ECE/TRANS/WP.29/GRB/2017/8</dc:title>
  <dc:creator>Isabelle VIGNY</dc:creator>
  <cp:lastModifiedBy>Benedicte Boudol</cp:lastModifiedBy>
  <cp:revision>2</cp:revision>
  <cp:lastPrinted>2017-07-13T14:17:00Z</cp:lastPrinted>
  <dcterms:created xsi:type="dcterms:W3CDTF">2017-07-13T14:38:00Z</dcterms:created>
  <dcterms:modified xsi:type="dcterms:W3CDTF">2017-07-13T14:38:00Z</dcterms:modified>
</cp:coreProperties>
</file>