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A1E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A1E36" w:rsidP="002A1E36">
            <w:pPr>
              <w:jc w:val="right"/>
            </w:pPr>
            <w:r w:rsidRPr="002A1E36">
              <w:rPr>
                <w:sz w:val="40"/>
              </w:rPr>
              <w:t>ECE</w:t>
            </w:r>
            <w:r>
              <w:t>/TRANS/WP.29/AC.3/49</w:t>
            </w:r>
          </w:p>
        </w:tc>
      </w:tr>
      <w:tr w:rsidR="002D5AAC" w:rsidRPr="002A1E3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A1E3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A1E36" w:rsidRDefault="002A1E36" w:rsidP="002A1E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April 2017</w:t>
            </w:r>
          </w:p>
          <w:p w:rsidR="002A1E36" w:rsidRDefault="002A1E36" w:rsidP="002A1E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A1E36" w:rsidRPr="008D53B6" w:rsidRDefault="002A1E36" w:rsidP="002A1E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91EDC" w:rsidRPr="00591EDC" w:rsidRDefault="00591EDC" w:rsidP="00591EDC">
      <w:pPr>
        <w:spacing w:before="120"/>
        <w:rPr>
          <w:sz w:val="28"/>
          <w:szCs w:val="28"/>
        </w:rPr>
      </w:pPr>
      <w:r w:rsidRPr="00591EDC">
        <w:rPr>
          <w:sz w:val="28"/>
          <w:szCs w:val="28"/>
        </w:rPr>
        <w:t xml:space="preserve">Комитет по внутреннему транспорту </w:t>
      </w:r>
    </w:p>
    <w:p w:rsidR="00591EDC" w:rsidRPr="00591EDC" w:rsidRDefault="00591EDC" w:rsidP="00591EDC">
      <w:pPr>
        <w:spacing w:before="120"/>
        <w:rPr>
          <w:b/>
          <w:bCs/>
          <w:sz w:val="24"/>
          <w:szCs w:val="24"/>
        </w:rPr>
      </w:pPr>
      <w:r w:rsidRPr="00591ED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591EDC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591EDC" w:rsidRPr="00591EDC" w:rsidRDefault="00591EDC" w:rsidP="00591EDC">
      <w:pPr>
        <w:spacing w:before="120"/>
        <w:rPr>
          <w:b/>
          <w:bCs/>
        </w:rPr>
      </w:pPr>
      <w:r w:rsidRPr="00591EDC">
        <w:rPr>
          <w:b/>
          <w:bCs/>
        </w:rPr>
        <w:t>172-я сессия</w:t>
      </w:r>
    </w:p>
    <w:p w:rsidR="00591EDC" w:rsidRPr="00591EDC" w:rsidRDefault="00591EDC" w:rsidP="00591EDC">
      <w:r w:rsidRPr="00591EDC">
        <w:t>Женева, 20</w:t>
      </w:r>
      <w:r>
        <w:rPr>
          <w:lang w:val="en-US"/>
        </w:rPr>
        <w:t>–</w:t>
      </w:r>
      <w:r w:rsidRPr="00591EDC">
        <w:t>23 июня 2017 года</w:t>
      </w:r>
    </w:p>
    <w:p w:rsidR="00591EDC" w:rsidRPr="00591EDC" w:rsidRDefault="00591EDC" w:rsidP="00591EDC">
      <w:r w:rsidRPr="00591EDC">
        <w:t>Пункт 19.10 предварительной повестки дня</w:t>
      </w:r>
    </w:p>
    <w:p w:rsidR="00591EDC" w:rsidRPr="00591EDC" w:rsidRDefault="00591EDC" w:rsidP="00591EDC">
      <w:pPr>
        <w:rPr>
          <w:b/>
          <w:bCs/>
        </w:rPr>
      </w:pPr>
      <w:r w:rsidRPr="00591EDC">
        <w:rPr>
          <w:b/>
          <w:bCs/>
        </w:rPr>
        <w:t xml:space="preserve">Ход разработки новых глобальных технических правил </w:t>
      </w:r>
      <w:r w:rsidRPr="00591EDC">
        <w:rPr>
          <w:b/>
          <w:bCs/>
        </w:rPr>
        <w:br/>
        <w:t xml:space="preserve">и поправок к введенным глобальным техническим </w:t>
      </w:r>
      <w:r w:rsidRPr="00591EDC">
        <w:rPr>
          <w:b/>
          <w:bCs/>
        </w:rPr>
        <w:br/>
        <w:t xml:space="preserve">правилам: транспортные средства, работающие </w:t>
      </w:r>
      <w:r w:rsidRPr="00591EDC">
        <w:rPr>
          <w:b/>
          <w:bCs/>
        </w:rPr>
        <w:br/>
        <w:t xml:space="preserve">на водороде и топливных элементах (ТСВТЭ) </w:t>
      </w:r>
      <w:r w:rsidRPr="00591EDC">
        <w:rPr>
          <w:b/>
          <w:bCs/>
        </w:rPr>
        <w:br/>
        <w:t xml:space="preserve">(Глобальные технические правила № 13) – этап 2 </w:t>
      </w:r>
    </w:p>
    <w:p w:rsidR="00591EDC" w:rsidRPr="00591EDC" w:rsidRDefault="00591EDC" w:rsidP="00591EDC">
      <w:pPr>
        <w:pStyle w:val="HChGR"/>
      </w:pPr>
      <w:r w:rsidRPr="00591EDC">
        <w:tab/>
      </w:r>
      <w:r w:rsidRPr="00591EDC">
        <w:tab/>
        <w:t>Разрешение на разработку Глобальных технических правил на этапе 2</w:t>
      </w:r>
    </w:p>
    <w:p w:rsidR="00591EDC" w:rsidRPr="00591EDC" w:rsidRDefault="00591EDC" w:rsidP="00591EDC">
      <w:pPr>
        <w:pStyle w:val="H1GR"/>
      </w:pPr>
      <w:r w:rsidRPr="00591EDC">
        <w:tab/>
      </w:r>
      <w:r w:rsidRPr="00591EDC">
        <w:tab/>
        <w:t xml:space="preserve">Передано представителями Японии, Республики Корея </w:t>
      </w:r>
      <w:r w:rsidRPr="00591EDC">
        <w:br/>
        <w:t>и Европейского союза</w:t>
      </w:r>
      <w:r w:rsidRPr="00591EDC">
        <w:rPr>
          <w:b w:val="0"/>
          <w:bCs/>
          <w:sz w:val="20"/>
        </w:rPr>
        <w:footnoteReference w:customMarkFollows="1" w:id="1"/>
        <w:t>*</w:t>
      </w:r>
    </w:p>
    <w:p w:rsidR="00591EDC" w:rsidRPr="00591EDC" w:rsidRDefault="00591EDC" w:rsidP="00591EDC">
      <w:pPr>
        <w:pStyle w:val="SingleTxtGR"/>
      </w:pPr>
      <w:r>
        <w:rPr>
          <w:lang w:val="en-US"/>
        </w:rPr>
        <w:tab/>
      </w:r>
      <w:r w:rsidRPr="00591EDC">
        <w:t>Воспроизведенный ниже текст был подготовлен представителями Яп</w:t>
      </w:r>
      <w:r w:rsidRPr="00591EDC">
        <w:t>о</w:t>
      </w:r>
      <w:r w:rsidRPr="00591EDC">
        <w:t>нии, Республики Корея и Европейского союза в связи с этапом 2 разработки Глобальных технических правил (ГТП) № 13 Организации Объединенных Наций неофициальной рабочей группой по транспортным средствам, работа</w:t>
      </w:r>
      <w:r w:rsidRPr="00591EDC">
        <w:t>ю</w:t>
      </w:r>
      <w:r w:rsidRPr="00591EDC">
        <w:t>щим на водороде и топливных элементах – Подгруппа по безопасности (ТСВТЭ-ПГБ). Он был утвержден Исполнительным комитетом (AC.3) Согл</w:t>
      </w:r>
      <w:r w:rsidRPr="00591EDC">
        <w:t>а</w:t>
      </w:r>
      <w:r w:rsidRPr="00591EDC">
        <w:t>шения 1998 года на его сессии в марте 2017 года (ECE/TRANS/WP.29/1129, пункт 162). В его основу положен документ ECE/TRANS/WP.29/2017/56. Да</w:t>
      </w:r>
      <w:r w:rsidRPr="00591EDC">
        <w:t>н</w:t>
      </w:r>
      <w:r w:rsidRPr="00591EDC">
        <w:t>ное разрешение передается Рабочей группе по пассивной безопасности (GRSP). В соответствии с положениями пунктов 6.3.4.2, 6.3.7 и 6.4 Соглашения 1998 г</w:t>
      </w:r>
      <w:r w:rsidRPr="00591EDC">
        <w:t>о</w:t>
      </w:r>
      <w:r w:rsidRPr="00591EDC">
        <w:t>да настоящий документ включается в качестве добавления в любые новые и/или измененные глобальные технические правила после их принятия.</w:t>
      </w:r>
    </w:p>
    <w:p w:rsidR="00591EDC" w:rsidRPr="00591EDC" w:rsidRDefault="00591EDC" w:rsidP="00591EDC">
      <w:pPr>
        <w:pStyle w:val="SingleTxtGR"/>
      </w:pPr>
    </w:p>
    <w:p w:rsidR="00591EDC" w:rsidRPr="00591EDC" w:rsidRDefault="00591EDC" w:rsidP="00591EDC">
      <w:pPr>
        <w:pStyle w:val="HChGR"/>
      </w:pPr>
      <w:r w:rsidRPr="00591EDC">
        <w:br w:type="page"/>
      </w:r>
      <w:r w:rsidRPr="00591EDC">
        <w:lastRenderedPageBreak/>
        <w:tab/>
        <w:t>I.</w:t>
      </w:r>
      <w:r w:rsidRPr="00591EDC">
        <w:tab/>
        <w:t>Справочная информация</w:t>
      </w:r>
    </w:p>
    <w:p w:rsidR="00591EDC" w:rsidRPr="00591EDC" w:rsidRDefault="00591EDC" w:rsidP="00591EDC">
      <w:pPr>
        <w:pStyle w:val="SingleTxtGR"/>
      </w:pPr>
      <w:r w:rsidRPr="00591EDC">
        <w:t>1.</w:t>
      </w:r>
      <w:r w:rsidRPr="00591EDC">
        <w:tab/>
        <w:t>Неофициальная рабочая группа (НРГ) по транспортным средствам, раб</w:t>
      </w:r>
      <w:r w:rsidRPr="00591EDC">
        <w:t>о</w:t>
      </w:r>
      <w:r w:rsidRPr="00591EDC">
        <w:t>тающим на водороде и топливных элементах, – Подгруппа по безопасности (ТСВТЭ-ПГБ) была учреждена в 2007 году. Первоначальный график работы и сфера охвата были изложены в документе ECE/TRANS/WP.29/AC.3/17. В этом документе содержится обзор деятельности ТСВТЭ-ПГБ, а график работы по каждому из направлений подразделен на два этапа. НРГ представила Глобал</w:t>
      </w:r>
      <w:r w:rsidRPr="00591EDC">
        <w:t>ь</w:t>
      </w:r>
      <w:r w:rsidRPr="00591EDC">
        <w:t>ные технические правила (ГТП), касающиеся транспортных средств, работа</w:t>
      </w:r>
      <w:r w:rsidRPr="00591EDC">
        <w:t>ю</w:t>
      </w:r>
      <w:r w:rsidRPr="00591EDC">
        <w:t>щих на водороде и топливных элементах, которые были приняты Рабочей гру</w:t>
      </w:r>
      <w:r w:rsidRPr="00591EDC">
        <w:t>п</w:t>
      </w:r>
      <w:r w:rsidRPr="00591EDC">
        <w:t>пой по пассивной безопасности (GRSP) и утверждены Всемирным форумом для согласования правил в области транспортных средств (WP.29) и Исполнител</w:t>
      </w:r>
      <w:r w:rsidRPr="00591EDC">
        <w:t>ь</w:t>
      </w:r>
      <w:r w:rsidRPr="00591EDC">
        <w:t>ным комитетом Соглашения 1998 года (AC.3) в июне 2013 года.</w:t>
      </w:r>
    </w:p>
    <w:p w:rsidR="00591EDC" w:rsidRPr="00591EDC" w:rsidRDefault="00591EDC" w:rsidP="00591EDC">
      <w:pPr>
        <w:pStyle w:val="SingleTxtGR"/>
      </w:pPr>
      <w:r w:rsidRPr="00591EDC">
        <w:t>2.</w:t>
      </w:r>
      <w:r w:rsidRPr="00591EDC">
        <w:tab/>
        <w:t>После введения ГТП № 13 в июне 2013 года в Глобальный реестр соо</w:t>
      </w:r>
      <w:r w:rsidRPr="00591EDC">
        <w:t>т</w:t>
      </w:r>
      <w:r w:rsidRPr="00591EDC">
        <w:t>ветствующие положения были перенесены в Правила № 134 ООН, прилагаемые к Соглашению 1958 года.</w:t>
      </w:r>
    </w:p>
    <w:p w:rsidR="00591EDC" w:rsidRPr="00591EDC" w:rsidRDefault="00591EDC" w:rsidP="00591EDC">
      <w:pPr>
        <w:pStyle w:val="HChGR"/>
      </w:pPr>
      <w:r w:rsidRPr="00591EDC">
        <w:tab/>
        <w:t>II.</w:t>
      </w:r>
      <w:r w:rsidRPr="00591EDC">
        <w:tab/>
        <w:t>Предложение</w:t>
      </w:r>
    </w:p>
    <w:p w:rsidR="00591EDC" w:rsidRPr="00591EDC" w:rsidRDefault="00591EDC" w:rsidP="00591EDC">
      <w:pPr>
        <w:pStyle w:val="SingleTxtGR"/>
      </w:pPr>
      <w:r w:rsidRPr="00591EDC">
        <w:t>3.</w:t>
      </w:r>
      <w:r w:rsidRPr="00591EDC">
        <w:tab/>
        <w:t>Расширение мандата НРГ по ТСВТЭ-ПГБ при финансовой поддержке со стороны Европейского союза, Японии и Республики Корея позволяет заняться решением сохраняющихся проблем. Работу на этапе 2 следует начать сразу же после одобрения настоящего разрешения WP.29 и AC.3 на их сессиях в марте 2017 года.</w:t>
      </w:r>
    </w:p>
    <w:p w:rsidR="00591EDC" w:rsidRPr="00591EDC" w:rsidRDefault="00591EDC" w:rsidP="00013295">
      <w:pPr>
        <w:pStyle w:val="SingleTxtGR"/>
      </w:pPr>
      <w:r w:rsidRPr="00591EDC">
        <w:t xml:space="preserve">4. </w:t>
      </w:r>
      <w:r w:rsidRPr="00591EDC">
        <w:tab/>
        <w:t>Поскольку водородные транспортные средства и технологии топливных элементов находятся на начальных стадиях коммерческого внедрения, ожидае</w:t>
      </w:r>
      <w:r w:rsidRPr="00591EDC">
        <w:t>т</w:t>
      </w:r>
      <w:r w:rsidRPr="00591EDC">
        <w:t>ся, что опыт достаточно продолжительной практической эксплуатации в д</w:t>
      </w:r>
      <w:r w:rsidRPr="00591EDC">
        <w:t>о</w:t>
      </w:r>
      <w:r w:rsidRPr="00591EDC">
        <w:t>рожных условиях и проводимые технические оценки внесут в эти правила с</w:t>
      </w:r>
      <w:r w:rsidRPr="00591EDC">
        <w:t>о</w:t>
      </w:r>
      <w:r w:rsidRPr="00591EDC">
        <w:t xml:space="preserve">ответствующие коррективы. </w:t>
      </w:r>
      <w:proofErr w:type="gramStart"/>
      <w:r w:rsidRPr="00591EDC">
        <w:t>Кроме того, ожидается, что с учетом накопленного дополнительного опыта и при наличии дополнительного времени для более о</w:t>
      </w:r>
      <w:r w:rsidRPr="00591EDC">
        <w:t>б</w:t>
      </w:r>
      <w:r w:rsidRPr="00591EDC">
        <w:t xml:space="preserve">стоятельного технического анализа требования, указанные в ГТП (раздел G преамбулы, касающийся транспортных средств с системами </w:t>
      </w:r>
      <w:proofErr w:type="spellStart"/>
      <w:r w:rsidRPr="00591EDC">
        <w:t>СХСжВ</w:t>
      </w:r>
      <w:proofErr w:type="spellEnd"/>
      <w:r w:rsidRPr="00591EDC">
        <w:t>) как ф</w:t>
      </w:r>
      <w:r w:rsidRPr="00591EDC">
        <w:t>а</w:t>
      </w:r>
      <w:r w:rsidRPr="00591EDC">
        <w:t>культативные, могут быть утверждены − с соответствующими изменениями – в</w:t>
      </w:r>
      <w:r w:rsidR="00013295">
        <w:rPr>
          <w:lang w:val="en-US"/>
        </w:rPr>
        <w:t> </w:t>
      </w:r>
      <w:r w:rsidRPr="00591EDC">
        <w:t>качестве обязательных.</w:t>
      </w:r>
      <w:proofErr w:type="gramEnd"/>
    </w:p>
    <w:p w:rsidR="00591EDC" w:rsidRPr="00591EDC" w:rsidRDefault="00591EDC" w:rsidP="00591EDC">
      <w:pPr>
        <w:pStyle w:val="SingleTxtGR"/>
      </w:pPr>
      <w:r w:rsidRPr="00591EDC">
        <w:t>5.</w:t>
      </w:r>
      <w:r w:rsidRPr="00591EDC">
        <w:tab/>
        <w:t>Деятельность на этапе 2 должна охватывать следующие аспекты:</w:t>
      </w:r>
    </w:p>
    <w:p w:rsidR="00591EDC" w:rsidRPr="00591EDC" w:rsidRDefault="00591EDC" w:rsidP="00591EDC">
      <w:pPr>
        <w:pStyle w:val="SingleTxtGR"/>
      </w:pPr>
      <w:r>
        <w:rPr>
          <w:lang w:val="en-US"/>
        </w:rPr>
        <w:tab/>
      </w:r>
      <w:r w:rsidRPr="00591EDC">
        <w:t>a)</w:t>
      </w:r>
      <w:r w:rsidRPr="00591EDC">
        <w:tab/>
        <w:t>первоначальные пункты, изложенные в документе ECE/TRANS/ WP.29/AC.3/17, сохраняются;</w:t>
      </w:r>
    </w:p>
    <w:p w:rsidR="00591EDC" w:rsidRPr="00591EDC" w:rsidRDefault="00591EDC" w:rsidP="00591EDC">
      <w:pPr>
        <w:pStyle w:val="SingleTxtGR"/>
        <w:rPr>
          <w:b/>
        </w:rPr>
      </w:pPr>
      <w:r>
        <w:rPr>
          <w:lang w:val="en-US"/>
        </w:rPr>
        <w:tab/>
      </w:r>
      <w:r w:rsidRPr="00591EDC">
        <w:t>b)</w:t>
      </w:r>
      <w:r w:rsidRPr="00591EDC">
        <w:tab/>
        <w:t>возможный пересмотр области применения с учетом дополнител</w:t>
      </w:r>
      <w:r w:rsidRPr="00591EDC">
        <w:t>ь</w:t>
      </w:r>
      <w:r w:rsidRPr="00591EDC">
        <w:t>ных классов транспортных средств;</w:t>
      </w:r>
    </w:p>
    <w:p w:rsidR="00591EDC" w:rsidRPr="00591EDC" w:rsidRDefault="00591EDC" w:rsidP="00591EDC">
      <w:pPr>
        <w:pStyle w:val="SingleTxtGR"/>
      </w:pPr>
      <w:r>
        <w:rPr>
          <w:lang w:val="en-US"/>
        </w:rPr>
        <w:tab/>
      </w:r>
      <w:r w:rsidRPr="00591EDC">
        <w:t>c)</w:t>
      </w:r>
      <w:r w:rsidRPr="00591EDC">
        <w:tab/>
        <w:t xml:space="preserve">требования в отношении совместимости материалов и водородного </w:t>
      </w:r>
      <w:proofErr w:type="spellStart"/>
      <w:r w:rsidRPr="00591EDC">
        <w:t>охрупчивания</w:t>
      </w:r>
      <w:proofErr w:type="spellEnd"/>
      <w:r w:rsidRPr="00591EDC">
        <w:t>;</w:t>
      </w:r>
    </w:p>
    <w:p w:rsidR="00591EDC" w:rsidRPr="00591EDC" w:rsidRDefault="00591EDC" w:rsidP="00591EDC">
      <w:pPr>
        <w:pStyle w:val="SingleTxtGR"/>
        <w:rPr>
          <w:b/>
        </w:rPr>
      </w:pPr>
      <w:r>
        <w:rPr>
          <w:lang w:val="en-US"/>
        </w:rPr>
        <w:tab/>
      </w:r>
      <w:r w:rsidRPr="00591EDC">
        <w:t>d)</w:t>
      </w:r>
      <w:r w:rsidRPr="00591EDC">
        <w:tab/>
        <w:t>требования к заправочному блоку;</w:t>
      </w:r>
    </w:p>
    <w:p w:rsidR="00591EDC" w:rsidRPr="00591EDC" w:rsidRDefault="00591EDC" w:rsidP="00591EDC">
      <w:pPr>
        <w:pStyle w:val="SingleTxtGR"/>
        <w:rPr>
          <w:b/>
        </w:rPr>
      </w:pPr>
      <w:r>
        <w:rPr>
          <w:lang w:val="en-US"/>
        </w:rPr>
        <w:tab/>
      </w:r>
      <w:r w:rsidRPr="00591EDC">
        <w:t>e)</w:t>
      </w:r>
      <w:r w:rsidRPr="00591EDC">
        <w:tab/>
        <w:t>оценка процедуры предложенного на этапе 1 испытания на разр</w:t>
      </w:r>
      <w:r w:rsidRPr="00591EDC">
        <w:t>у</w:t>
      </w:r>
      <w:r w:rsidRPr="00591EDC">
        <w:t>шение под действием длительной нагрузки на основе эксплуатационных хара</w:t>
      </w:r>
      <w:r w:rsidRPr="00591EDC">
        <w:t>к</w:t>
      </w:r>
      <w:r w:rsidRPr="00591EDC">
        <w:t>теристик;</w:t>
      </w:r>
    </w:p>
    <w:p w:rsidR="00591EDC" w:rsidRPr="00591EDC" w:rsidRDefault="00591EDC" w:rsidP="00591EDC">
      <w:pPr>
        <w:pStyle w:val="SingleTxtGR"/>
      </w:pPr>
      <w:r>
        <w:rPr>
          <w:lang w:val="en-US"/>
        </w:rPr>
        <w:tab/>
      </w:r>
      <w:r w:rsidRPr="00591EDC">
        <w:t>f)</w:t>
      </w:r>
      <w:r w:rsidRPr="00591EDC">
        <w:tab/>
        <w:t>анализ результатов исследований, полученных по завершении этапа</w:t>
      </w:r>
      <w:r>
        <w:rPr>
          <w:lang w:val="en-US"/>
        </w:rPr>
        <w:t> </w:t>
      </w:r>
      <w:r w:rsidRPr="00591EDC">
        <w:t>1, с особым акцентом на исследования в области электробезопасности, систем хранения водорода и послеаварийной безопасности;</w:t>
      </w:r>
    </w:p>
    <w:p w:rsidR="00591EDC" w:rsidRPr="00591EDC" w:rsidRDefault="00591EDC" w:rsidP="00591EDC">
      <w:pPr>
        <w:pStyle w:val="SingleTxtGR"/>
      </w:pPr>
      <w:r w:rsidRPr="00591EDC">
        <w:tab/>
        <w:t>g)</w:t>
      </w:r>
      <w:r w:rsidRPr="00591EDC">
        <w:tab/>
        <w:t>рассмотрение требования в отношении минимального давления разрыва, составляющего 200% номинального рабочего давления (НРД) или меньше;</w:t>
      </w:r>
    </w:p>
    <w:p w:rsidR="00591EDC" w:rsidRPr="00591EDC" w:rsidRDefault="00591EDC" w:rsidP="00591EDC">
      <w:pPr>
        <w:pStyle w:val="SingleTxtGR"/>
      </w:pPr>
      <w:r>
        <w:rPr>
          <w:lang w:val="en-US"/>
        </w:rPr>
        <w:lastRenderedPageBreak/>
        <w:tab/>
      </w:r>
      <w:r w:rsidRPr="00591EDC">
        <w:t>h)</w:t>
      </w:r>
      <w:r w:rsidRPr="00591EDC">
        <w:tab/>
        <w:t>рассмотрение вопроса о системе защитных ограждений на случай пробоя изоляции.</w:t>
      </w:r>
    </w:p>
    <w:p w:rsidR="00591EDC" w:rsidRPr="00B42846" w:rsidRDefault="00591EDC" w:rsidP="00591EDC">
      <w:pPr>
        <w:pStyle w:val="SingleTxtGR"/>
        <w:rPr>
          <w:b/>
        </w:rPr>
      </w:pPr>
      <w:r w:rsidRPr="00591EDC">
        <w:t xml:space="preserve">6. </w:t>
      </w:r>
      <w:r w:rsidRPr="00591EDC">
        <w:tab/>
        <w:t>Кроме того, будет рассмотрена нижеследующая процедура испытания на разрушение по</w:t>
      </w:r>
      <w:r w:rsidR="00B42846">
        <w:t>д действием длительной нагрузки:</w:t>
      </w:r>
    </w:p>
    <w:p w:rsidR="00591EDC" w:rsidRPr="00591EDC" w:rsidRDefault="00591EDC" w:rsidP="00591EDC">
      <w:pPr>
        <w:pStyle w:val="SingleTxtGR"/>
      </w:pPr>
      <w:r w:rsidRPr="00B42846">
        <w:tab/>
      </w:r>
      <w:r w:rsidRPr="00591EDC">
        <w:t>a)</w:t>
      </w:r>
      <w:r w:rsidRPr="00591EDC">
        <w:tab/>
      </w:r>
      <w:r w:rsidR="00B42846" w:rsidRPr="00591EDC">
        <w:t xml:space="preserve">испытанию </w:t>
      </w:r>
      <w:r w:rsidRPr="00591EDC">
        <w:t>на разрушение в результате разрыва подвергают три р</w:t>
      </w:r>
      <w:r w:rsidRPr="00591EDC">
        <w:t>е</w:t>
      </w:r>
      <w:r w:rsidRPr="00591EDC">
        <w:t>зервуара, изготовленных из новых материалов (например, армированного в</w:t>
      </w:r>
      <w:r w:rsidRPr="00591EDC">
        <w:t>о</w:t>
      </w:r>
      <w:r w:rsidRPr="00591EDC">
        <w:t>локнами композитного полимера); давление разрыва должно находиться в пр</w:t>
      </w:r>
      <w:r w:rsidRPr="00591EDC">
        <w:t>е</w:t>
      </w:r>
      <w:r w:rsidRPr="00591EDC">
        <w:t>делах ±10% среднего давления разрыва (</w:t>
      </w:r>
      <w:proofErr w:type="spellStart"/>
      <w:r w:rsidRPr="00591EDC">
        <w:t>BPo</w:t>
      </w:r>
      <w:proofErr w:type="spellEnd"/>
      <w:r w:rsidRPr="00591EDC">
        <w:t>) для намечаемого способа прим</w:t>
      </w:r>
      <w:r w:rsidRPr="00591EDC">
        <w:t>е</w:t>
      </w:r>
      <w:r w:rsidRPr="00591EDC">
        <w:t>нения. Затем</w:t>
      </w:r>
    </w:p>
    <w:p w:rsidR="00591EDC" w:rsidRPr="00591EDC" w:rsidRDefault="00591EDC" w:rsidP="00591EDC">
      <w:pPr>
        <w:pStyle w:val="SingleTxtGR"/>
        <w:ind w:left="1701" w:hanging="567"/>
      </w:pPr>
      <w:r>
        <w:rPr>
          <w:lang w:val="en-US"/>
        </w:rPr>
        <w:tab/>
      </w:r>
      <w:r w:rsidRPr="00591EDC">
        <w:t>i)</w:t>
      </w:r>
      <w:r w:rsidRPr="00591EDC">
        <w:tab/>
        <w:t xml:space="preserve">три резервуара выдерживают при давлении &gt;80% </w:t>
      </w:r>
      <w:proofErr w:type="spellStart"/>
      <w:r w:rsidRPr="00591EDC">
        <w:t>BPo</w:t>
      </w:r>
      <w:proofErr w:type="spellEnd"/>
      <w:r w:rsidRPr="00591EDC">
        <w:t xml:space="preserve"> и температ</w:t>
      </w:r>
      <w:r w:rsidRPr="00591EDC">
        <w:t>у</w:t>
      </w:r>
      <w:r w:rsidRPr="00591EDC">
        <w:t>ре 65 (±5) °C; в течение 100 часов на них не должно наблюдаться призн</w:t>
      </w:r>
      <w:r w:rsidRPr="00591EDC">
        <w:t>а</w:t>
      </w:r>
      <w:r w:rsidRPr="00591EDC">
        <w:t>ков разрушения; регистрируют время до разрушения;</w:t>
      </w:r>
    </w:p>
    <w:p w:rsidR="00591EDC" w:rsidRPr="00591EDC" w:rsidRDefault="00591EDC" w:rsidP="00591EDC">
      <w:pPr>
        <w:pStyle w:val="SingleTxtGR"/>
        <w:ind w:left="1701" w:hanging="567"/>
      </w:pPr>
      <w:r>
        <w:rPr>
          <w:lang w:val="en-US"/>
        </w:rPr>
        <w:tab/>
      </w:r>
      <w:proofErr w:type="spellStart"/>
      <w:r w:rsidRPr="00591EDC">
        <w:t>ii</w:t>
      </w:r>
      <w:proofErr w:type="spellEnd"/>
      <w:r w:rsidRPr="00591EDC">
        <w:t>)</w:t>
      </w:r>
      <w:r w:rsidRPr="00591EDC">
        <w:tab/>
        <w:t xml:space="preserve">три резервуара выдерживают при давлении &gt;75% </w:t>
      </w:r>
      <w:proofErr w:type="spellStart"/>
      <w:r w:rsidRPr="00591EDC">
        <w:t>BPo</w:t>
      </w:r>
      <w:proofErr w:type="spellEnd"/>
      <w:r w:rsidRPr="00591EDC">
        <w:t xml:space="preserve"> и температ</w:t>
      </w:r>
      <w:r w:rsidRPr="00591EDC">
        <w:t>у</w:t>
      </w:r>
      <w:r w:rsidRPr="00591EDC">
        <w:t>ре 65 (±5) °C; в течение 1 000 часов на них не должно наблюдаться пр</w:t>
      </w:r>
      <w:r w:rsidRPr="00591EDC">
        <w:t>и</w:t>
      </w:r>
      <w:r w:rsidRPr="00591EDC">
        <w:t>знаков разрушения; регистрируют время до разрушения;</w:t>
      </w:r>
    </w:p>
    <w:p w:rsidR="00591EDC" w:rsidRPr="00591EDC" w:rsidRDefault="00591EDC" w:rsidP="00591EDC">
      <w:pPr>
        <w:pStyle w:val="SingleTxtGR"/>
        <w:ind w:left="1701" w:hanging="567"/>
      </w:pPr>
      <w:r>
        <w:rPr>
          <w:lang w:val="en-US"/>
        </w:rPr>
        <w:tab/>
      </w:r>
      <w:proofErr w:type="spellStart"/>
      <w:r w:rsidRPr="00591EDC">
        <w:t>iii</w:t>
      </w:r>
      <w:proofErr w:type="spellEnd"/>
      <w:r w:rsidRPr="00591EDC">
        <w:t>)</w:t>
      </w:r>
      <w:r w:rsidRPr="00591EDC">
        <w:tab/>
        <w:t xml:space="preserve">три резервуара выдерживают при давлении &gt;70% </w:t>
      </w:r>
      <w:proofErr w:type="spellStart"/>
      <w:r w:rsidRPr="00591EDC">
        <w:t>BPo</w:t>
      </w:r>
      <w:proofErr w:type="spellEnd"/>
      <w:r w:rsidRPr="00591EDC">
        <w:t xml:space="preserve"> и температ</w:t>
      </w:r>
      <w:r w:rsidRPr="00591EDC">
        <w:t>у</w:t>
      </w:r>
      <w:r w:rsidRPr="00591EDC">
        <w:t>ре 65 (±5) °C; в течение одного года на них не должно наблюдаться пр</w:t>
      </w:r>
      <w:r w:rsidRPr="00591EDC">
        <w:t>и</w:t>
      </w:r>
      <w:r w:rsidRPr="00591EDC">
        <w:t>знаков разрушения;</w:t>
      </w:r>
    </w:p>
    <w:p w:rsidR="00591EDC" w:rsidRPr="00591EDC" w:rsidRDefault="00591EDC" w:rsidP="00591EDC">
      <w:pPr>
        <w:pStyle w:val="SingleTxtGR"/>
        <w:ind w:left="1701" w:hanging="567"/>
      </w:pPr>
      <w:r>
        <w:rPr>
          <w:lang w:val="en-US"/>
        </w:rPr>
        <w:tab/>
      </w:r>
      <w:proofErr w:type="spellStart"/>
      <w:proofErr w:type="gramStart"/>
      <w:r w:rsidRPr="00591EDC">
        <w:t>iv</w:t>
      </w:r>
      <w:proofErr w:type="spellEnd"/>
      <w:r w:rsidRPr="00591EDC">
        <w:t>)</w:t>
      </w:r>
      <w:r w:rsidRPr="00591EDC">
        <w:tab/>
        <w:t>по истечении одного года испытание прекращают.</w:t>
      </w:r>
      <w:proofErr w:type="gramEnd"/>
      <w:r w:rsidRPr="00591EDC">
        <w:t xml:space="preserve"> Каждый резе</w:t>
      </w:r>
      <w:r w:rsidRPr="00591EDC">
        <w:t>р</w:t>
      </w:r>
      <w:r w:rsidRPr="00591EDC">
        <w:t>вуар, выдержавший без разрушения одногодичный испытательный пер</w:t>
      </w:r>
      <w:r w:rsidRPr="00591EDC">
        <w:t>и</w:t>
      </w:r>
      <w:r w:rsidRPr="00591EDC">
        <w:t xml:space="preserve">од, подвергают испытанию на разрыв, </w:t>
      </w:r>
      <w:r w:rsidR="00B42846">
        <w:t>и регистрируют давление разрыва;</w:t>
      </w:r>
    </w:p>
    <w:p w:rsidR="00591EDC" w:rsidRPr="00591EDC" w:rsidRDefault="00013295" w:rsidP="00591EDC">
      <w:pPr>
        <w:pStyle w:val="SingleTxtGR"/>
      </w:pPr>
      <w:r w:rsidRPr="00B42846">
        <w:tab/>
      </w:r>
      <w:r w:rsidR="00591EDC" w:rsidRPr="00591EDC">
        <w:t>b)</w:t>
      </w:r>
      <w:r w:rsidR="00591EDC" w:rsidRPr="00591EDC">
        <w:tab/>
      </w:r>
      <w:r w:rsidR="00B42846" w:rsidRPr="00591EDC">
        <w:t xml:space="preserve">диаметр </w:t>
      </w:r>
      <w:r w:rsidR="00591EDC" w:rsidRPr="00591EDC">
        <w:t>резервуара должен составлять &gt;50% диаметра резервуара для намечаемого способа применения и имеющего аналогичную конструкцию. Резервуар может иметь наполнение (для уменьшения внутреннего объема), если свободной остается &gt;99%</w:t>
      </w:r>
      <w:r w:rsidR="00B42846">
        <w:t xml:space="preserve"> площади внутренней поверхности;</w:t>
      </w:r>
    </w:p>
    <w:p w:rsidR="00591EDC" w:rsidRPr="00591EDC" w:rsidRDefault="00013295" w:rsidP="00591EDC">
      <w:pPr>
        <w:pStyle w:val="SingleTxtGR"/>
      </w:pPr>
      <w:r w:rsidRPr="00B42846">
        <w:tab/>
      </w:r>
      <w:r w:rsidR="00591EDC" w:rsidRPr="00591EDC">
        <w:t>c)</w:t>
      </w:r>
      <w:r w:rsidR="00591EDC" w:rsidRPr="00591EDC">
        <w:tab/>
      </w:r>
      <w:r w:rsidR="00B42846" w:rsidRPr="00591EDC">
        <w:t>резервуары</w:t>
      </w:r>
      <w:r w:rsidR="00591EDC" w:rsidRPr="00591EDC">
        <w:t>, изготовленные из композитных материалов на основе углеродного волокна и/или металлических сплавов, освобождаются от провед</w:t>
      </w:r>
      <w:r w:rsidR="00591EDC" w:rsidRPr="00591EDC">
        <w:t>е</w:t>
      </w:r>
      <w:r w:rsidR="00B42846">
        <w:t>ния данного испытания;</w:t>
      </w:r>
    </w:p>
    <w:p w:rsidR="00591EDC" w:rsidRPr="00591EDC" w:rsidRDefault="00013295" w:rsidP="00591EDC">
      <w:pPr>
        <w:pStyle w:val="SingleTxtGR"/>
      </w:pPr>
      <w:r w:rsidRPr="00B42846">
        <w:tab/>
      </w:r>
      <w:r w:rsidR="00591EDC" w:rsidRPr="00591EDC">
        <w:t>d)</w:t>
      </w:r>
      <w:r w:rsidR="00591EDC" w:rsidRPr="00591EDC">
        <w:tab/>
      </w:r>
      <w:r w:rsidR="00B42846" w:rsidRPr="00591EDC">
        <w:t>резервуары</w:t>
      </w:r>
      <w:r w:rsidR="00591EDC" w:rsidRPr="00591EDC">
        <w:t>, изготовленные из композитных материалов на основе стекловолокна, для которых исходное давление разрыва &gt;350% НРД, освобо</w:t>
      </w:r>
      <w:r w:rsidR="00591EDC" w:rsidRPr="00591EDC">
        <w:t>ж</w:t>
      </w:r>
      <w:r w:rsidR="00591EDC" w:rsidRPr="00591EDC">
        <w:t xml:space="preserve">даются от проведения данного испытания; в этом случае исходят из </w:t>
      </w:r>
      <w:r w:rsidRPr="00013295">
        <w:br/>
      </w:r>
      <w:proofErr w:type="spellStart"/>
      <w:r w:rsidR="00591EDC" w:rsidRPr="00591EDC">
        <w:t>BPmin</w:t>
      </w:r>
      <w:proofErr w:type="spellEnd"/>
      <w:r w:rsidR="00591EDC" w:rsidRPr="00591EDC">
        <w:t xml:space="preserve"> = 350% НРД применительно к пункту 5.1.1.1 (базовый показатель давл</w:t>
      </w:r>
      <w:r w:rsidR="00591EDC" w:rsidRPr="00591EDC">
        <w:t>е</w:t>
      </w:r>
      <w:r w:rsidR="00591EDC" w:rsidRPr="00591EDC">
        <w:t>ния раз</w:t>
      </w:r>
      <w:r w:rsidR="00B42846">
        <w:t>рыва для новых резервуаров);</w:t>
      </w:r>
    </w:p>
    <w:p w:rsidR="00591EDC" w:rsidRPr="00591EDC" w:rsidRDefault="00013295" w:rsidP="00591EDC">
      <w:pPr>
        <w:pStyle w:val="SingleTxtGR"/>
      </w:pPr>
      <w:r w:rsidRPr="00013295">
        <w:tab/>
      </w:r>
      <w:r w:rsidR="00591EDC" w:rsidRPr="00591EDC">
        <w:t>e)</w:t>
      </w:r>
      <w:r w:rsidR="00591EDC" w:rsidRPr="00591EDC">
        <w:tab/>
      </w:r>
      <w:r w:rsidR="00B42846" w:rsidRPr="00591EDC">
        <w:t xml:space="preserve">в </w:t>
      </w:r>
      <w:r w:rsidR="00591EDC" w:rsidRPr="00591EDC">
        <w:t>настоящее время имеются углеродно-волоконные резервуары с защитным покрытием из стекловолокна, которые в ряде случаев позволяют д</w:t>
      </w:r>
      <w:r w:rsidR="00591EDC" w:rsidRPr="00591EDC">
        <w:t>о</w:t>
      </w:r>
      <w:r w:rsidR="00591EDC" w:rsidRPr="00591EDC">
        <w:t>биться примерно 2-процентного увеличения давления разрыва. В этом случае надлежит продемонстрировать методом расчетов и т.д., что использование у</w:t>
      </w:r>
      <w:r w:rsidR="00591EDC" w:rsidRPr="00591EDC">
        <w:t>г</w:t>
      </w:r>
      <w:r w:rsidR="00591EDC" w:rsidRPr="00591EDC">
        <w:t>леродного волокна, но без стекловолокна, позволяет обеспечить давление, пр</w:t>
      </w:r>
      <w:r w:rsidR="00591EDC" w:rsidRPr="00591EDC">
        <w:t>е</w:t>
      </w:r>
      <w:r w:rsidR="00591EDC" w:rsidRPr="00591EDC">
        <w:t xml:space="preserve">вышающее не менее чем в два раза максимальное давление наполнения. </w:t>
      </w:r>
      <w:r>
        <w:t>При</w:t>
      </w:r>
      <w:r>
        <w:rPr>
          <w:lang w:val="en-US"/>
        </w:rPr>
        <w:t> </w:t>
      </w:r>
      <w:r w:rsidR="00591EDC" w:rsidRPr="00591EDC">
        <w:t>наличии возможности продемонстрировать, что использование защитного покрытия из стекловолокна дает увеличение давления разрыва на уровне 2% или ниже и если давление разрыва составляет 225% НРД x 1,02 = 230% НРД или выше, то указанные расчеты можно не производить.</w:t>
      </w:r>
    </w:p>
    <w:p w:rsidR="00591EDC" w:rsidRPr="00591EDC" w:rsidRDefault="00013295" w:rsidP="00013295">
      <w:pPr>
        <w:pStyle w:val="HChGR"/>
      </w:pPr>
      <w:r>
        <w:rPr>
          <w:lang w:val="en-US"/>
        </w:rPr>
        <w:tab/>
      </w:r>
      <w:r w:rsidR="00591EDC" w:rsidRPr="00591EDC">
        <w:t>III.</w:t>
      </w:r>
      <w:r w:rsidR="00591EDC" w:rsidRPr="00591EDC">
        <w:tab/>
        <w:t>Сроки</w:t>
      </w:r>
    </w:p>
    <w:p w:rsidR="00591EDC" w:rsidRPr="00591EDC" w:rsidRDefault="00591EDC" w:rsidP="00591EDC">
      <w:pPr>
        <w:pStyle w:val="SingleTxtGR"/>
      </w:pPr>
      <w:r w:rsidRPr="00591EDC">
        <w:t>7.</w:t>
      </w:r>
      <w:r w:rsidRPr="00591EDC">
        <w:tab/>
        <w:t>Работу НРГ по ТСВТЭ-ПГБ следует завершить к 2020 году. Если же в с</w:t>
      </w:r>
      <w:r w:rsidRPr="00591EDC">
        <w:t>и</w:t>
      </w:r>
      <w:r w:rsidRPr="00591EDC">
        <w:t>лу сложившихся обстоятельств возникнет такая необходимость, то эта работа может продолжаться до конца 2020 года без официального изменения мандата.</w:t>
      </w:r>
    </w:p>
    <w:p w:rsidR="00E12C5F" w:rsidRDefault="00591EDC" w:rsidP="00591EDC">
      <w:pPr>
        <w:pStyle w:val="SingleTxtGR"/>
        <w:rPr>
          <w:lang w:val="en-US"/>
        </w:rPr>
      </w:pPr>
      <w:r w:rsidRPr="00591EDC">
        <w:t>8.</w:t>
      </w:r>
      <w:r w:rsidRPr="00591EDC">
        <w:tab/>
        <w:t>Рабочая группа GRSP может своевременно рассмотреть вопрос о продл</w:t>
      </w:r>
      <w:r w:rsidRPr="00591EDC">
        <w:t>е</w:t>
      </w:r>
      <w:r w:rsidRPr="00591EDC">
        <w:t>нии и расширении мандата НРГ по ТСВТЭ-ПГБ.</w:t>
      </w:r>
    </w:p>
    <w:p w:rsidR="00013295" w:rsidRPr="00013295" w:rsidRDefault="00013295" w:rsidP="00013295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013295" w:rsidRPr="00013295" w:rsidSect="002A1E3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1A" w:rsidRPr="00A312BC" w:rsidRDefault="000F071A" w:rsidP="00A312BC"/>
  </w:endnote>
  <w:endnote w:type="continuationSeparator" w:id="0">
    <w:p w:rsidR="000F071A" w:rsidRPr="00A312BC" w:rsidRDefault="000F071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36" w:rsidRPr="002A1E36" w:rsidRDefault="002A1E36">
    <w:pPr>
      <w:pStyle w:val="Footer"/>
    </w:pPr>
    <w:r w:rsidRPr="002A1E36">
      <w:rPr>
        <w:b/>
        <w:sz w:val="18"/>
      </w:rPr>
      <w:fldChar w:fldCharType="begin"/>
    </w:r>
    <w:r w:rsidRPr="002A1E36">
      <w:rPr>
        <w:b/>
        <w:sz w:val="18"/>
      </w:rPr>
      <w:instrText xml:space="preserve"> PAGE  \* MERGEFORMAT </w:instrText>
    </w:r>
    <w:r w:rsidRPr="002A1E36">
      <w:rPr>
        <w:b/>
        <w:sz w:val="18"/>
      </w:rPr>
      <w:fldChar w:fldCharType="separate"/>
    </w:r>
    <w:r w:rsidR="00734D5B">
      <w:rPr>
        <w:b/>
        <w:noProof/>
        <w:sz w:val="18"/>
      </w:rPr>
      <w:t>2</w:t>
    </w:r>
    <w:r w:rsidRPr="002A1E36">
      <w:rPr>
        <w:b/>
        <w:sz w:val="18"/>
      </w:rPr>
      <w:fldChar w:fldCharType="end"/>
    </w:r>
    <w:r>
      <w:rPr>
        <w:b/>
        <w:sz w:val="18"/>
      </w:rPr>
      <w:tab/>
    </w:r>
    <w:r>
      <w:t>GE.17-05623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36" w:rsidRPr="002A1E36" w:rsidRDefault="002A1E36" w:rsidP="002A1E36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GE.17-05623</w:t>
    </w:r>
    <w:r>
      <w:tab/>
    </w:r>
    <w:r w:rsidRPr="002A1E36">
      <w:rPr>
        <w:b/>
        <w:sz w:val="18"/>
      </w:rPr>
      <w:fldChar w:fldCharType="begin"/>
    </w:r>
    <w:r w:rsidRPr="002A1E36">
      <w:rPr>
        <w:b/>
        <w:sz w:val="18"/>
      </w:rPr>
      <w:instrText xml:space="preserve"> PAGE  \* MERGEFORMAT </w:instrText>
    </w:r>
    <w:r w:rsidRPr="002A1E36">
      <w:rPr>
        <w:b/>
        <w:sz w:val="18"/>
      </w:rPr>
      <w:fldChar w:fldCharType="separate"/>
    </w:r>
    <w:r w:rsidR="00734D5B">
      <w:rPr>
        <w:b/>
        <w:noProof/>
        <w:sz w:val="18"/>
      </w:rPr>
      <w:t>3</w:t>
    </w:r>
    <w:r w:rsidRPr="002A1E3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2A1E36" w:rsidRDefault="002A1E36" w:rsidP="002A1E36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10C65A5" wp14:editId="23A423E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17-05623  (R)</w:t>
    </w:r>
    <w:r>
      <w:rPr>
        <w:lang w:val="en-US"/>
      </w:rPr>
      <w:t xml:space="preserve">  010517  010517</w:t>
    </w:r>
    <w:r>
      <w:br/>
    </w:r>
    <w:r w:rsidRPr="002A1E36">
      <w:rPr>
        <w:rFonts w:ascii="C39T30Lfz" w:hAnsi="C39T30Lfz"/>
        <w:spacing w:val="0"/>
        <w:w w:val="100"/>
        <w:sz w:val="56"/>
      </w:rPr>
      <w:t></w:t>
    </w:r>
    <w:r w:rsidRPr="002A1E36">
      <w:rPr>
        <w:rFonts w:ascii="C39T30Lfz" w:hAnsi="C39T30Lfz"/>
        <w:spacing w:val="0"/>
        <w:w w:val="100"/>
        <w:sz w:val="56"/>
      </w:rPr>
      <w:t></w:t>
    </w:r>
    <w:r w:rsidRPr="002A1E36">
      <w:rPr>
        <w:rFonts w:ascii="C39T30Lfz" w:hAnsi="C39T30Lfz"/>
        <w:spacing w:val="0"/>
        <w:w w:val="100"/>
        <w:sz w:val="56"/>
      </w:rPr>
      <w:t></w:t>
    </w:r>
    <w:r w:rsidRPr="002A1E36">
      <w:rPr>
        <w:rFonts w:ascii="C39T30Lfz" w:hAnsi="C39T30Lfz"/>
        <w:spacing w:val="0"/>
        <w:w w:val="100"/>
        <w:sz w:val="56"/>
      </w:rPr>
      <w:t></w:t>
    </w:r>
    <w:r w:rsidRPr="002A1E36">
      <w:rPr>
        <w:rFonts w:ascii="C39T30Lfz" w:hAnsi="C39T30Lfz"/>
        <w:spacing w:val="0"/>
        <w:w w:val="100"/>
        <w:sz w:val="56"/>
      </w:rPr>
      <w:t></w:t>
    </w:r>
    <w:r w:rsidRPr="002A1E36">
      <w:rPr>
        <w:rFonts w:ascii="C39T30Lfz" w:hAnsi="C39T30Lfz"/>
        <w:spacing w:val="0"/>
        <w:w w:val="100"/>
        <w:sz w:val="56"/>
      </w:rPr>
      <w:t></w:t>
    </w:r>
    <w:r w:rsidRPr="002A1E36">
      <w:rPr>
        <w:rFonts w:ascii="C39T30Lfz" w:hAnsi="C39T30Lfz"/>
        <w:spacing w:val="0"/>
        <w:w w:val="100"/>
        <w:sz w:val="56"/>
      </w:rPr>
      <w:t></w:t>
    </w:r>
    <w:r w:rsidRPr="002A1E36">
      <w:rPr>
        <w:rFonts w:ascii="C39T30Lfz" w:hAnsi="C39T30Lfz"/>
        <w:spacing w:val="0"/>
        <w:w w:val="100"/>
        <w:sz w:val="56"/>
      </w:rPr>
      <w:t></w:t>
    </w:r>
    <w:r w:rsidRPr="002A1E3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AC.3/4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AC.3/4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1A" w:rsidRPr="001075E9" w:rsidRDefault="000F071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F071A" w:rsidRDefault="000F071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91EDC" w:rsidRPr="00591EDC" w:rsidRDefault="00591EDC" w:rsidP="00591EDC">
      <w:pPr>
        <w:pStyle w:val="FootnoteText"/>
        <w:rPr>
          <w:lang w:val="ru-RU"/>
        </w:rPr>
      </w:pPr>
      <w:r>
        <w:rPr>
          <w:sz w:val="20"/>
          <w:lang w:val="en-US"/>
        </w:rPr>
        <w:tab/>
      </w:r>
      <w:r w:rsidRPr="00591EDC">
        <w:rPr>
          <w:rStyle w:val="FootnoteReference"/>
          <w:sz w:val="20"/>
          <w:vertAlign w:val="baseline"/>
          <w:lang w:val="ru-RU"/>
        </w:rPr>
        <w:t>*</w:t>
      </w:r>
      <w:r w:rsidRPr="00732D9D">
        <w:rPr>
          <w:sz w:val="20"/>
          <w:lang w:val="ru-RU"/>
        </w:rPr>
        <w:tab/>
      </w:r>
      <w:r w:rsidRPr="0023743B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Pr="00591EDC">
        <w:rPr>
          <w:szCs w:val="18"/>
          <w:lang w:val="ru-RU"/>
        </w:rPr>
        <w:br/>
      </w:r>
      <w:r w:rsidRPr="0023743B">
        <w:rPr>
          <w:szCs w:val="18"/>
          <w:lang w:val="ru-RU"/>
        </w:rPr>
        <w:t>на 2016–2017 годы (</w:t>
      </w:r>
      <w:r w:rsidRPr="0023743B">
        <w:rPr>
          <w:szCs w:val="18"/>
          <w:lang w:val="en-US"/>
        </w:rPr>
        <w:t>ECE</w:t>
      </w:r>
      <w:r w:rsidRPr="0023743B">
        <w:rPr>
          <w:szCs w:val="18"/>
          <w:lang w:val="ru-RU"/>
        </w:rPr>
        <w:t>/</w:t>
      </w:r>
      <w:r w:rsidRPr="0023743B">
        <w:rPr>
          <w:szCs w:val="18"/>
          <w:lang w:val="en-US"/>
        </w:rPr>
        <w:t>TRANS</w:t>
      </w:r>
      <w:r w:rsidRPr="0023743B">
        <w:rPr>
          <w:szCs w:val="18"/>
          <w:lang w:val="ru-RU"/>
        </w:rPr>
        <w:t xml:space="preserve">/254, пункт 159, и </w:t>
      </w:r>
      <w:r w:rsidRPr="0023743B">
        <w:rPr>
          <w:szCs w:val="18"/>
          <w:lang w:val="en-US"/>
        </w:rPr>
        <w:t>ECE</w:t>
      </w:r>
      <w:r w:rsidRPr="0023743B">
        <w:rPr>
          <w:szCs w:val="18"/>
          <w:lang w:val="ru-RU"/>
        </w:rPr>
        <w:t>/</w:t>
      </w:r>
      <w:r w:rsidRPr="0023743B">
        <w:rPr>
          <w:szCs w:val="18"/>
          <w:lang w:val="en-US"/>
        </w:rPr>
        <w:t>TRANS</w:t>
      </w:r>
      <w:r w:rsidRPr="0023743B">
        <w:rPr>
          <w:szCs w:val="18"/>
          <w:lang w:val="ru-RU"/>
        </w:rPr>
        <w:t>/2016/28/</w:t>
      </w:r>
      <w:r w:rsidRPr="0023743B">
        <w:rPr>
          <w:szCs w:val="18"/>
          <w:lang w:val="en-US"/>
        </w:rPr>
        <w:t>Add</w:t>
      </w:r>
      <w:r w:rsidRPr="0023743B">
        <w:rPr>
          <w:szCs w:val="18"/>
          <w:lang w:val="ru-RU"/>
        </w:rPr>
        <w:t xml:space="preserve">.1, направление работы 3.1) Всемирный форум будет разрабатывать, согласовывать </w:t>
      </w:r>
      <w:r w:rsidRPr="00591EDC">
        <w:rPr>
          <w:szCs w:val="18"/>
          <w:lang w:val="ru-RU"/>
        </w:rPr>
        <w:br/>
      </w:r>
      <w:r w:rsidRPr="0023743B">
        <w:rPr>
          <w:szCs w:val="18"/>
          <w:lang w:val="ru-RU"/>
        </w:rPr>
        <w:t>и обновлять правила в целях улучшения характеристик транспортных средств.</w:t>
      </w:r>
      <w:r w:rsidRPr="00732D9D">
        <w:rPr>
          <w:szCs w:val="18"/>
          <w:lang w:val="ru-RU"/>
        </w:rPr>
        <w:t xml:space="preserve"> </w:t>
      </w:r>
      <w:r w:rsidRPr="00591EDC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36" w:rsidRPr="002A1E36" w:rsidRDefault="00734D5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A5A62">
      <w:t>ECE/TRANS/WP.29/AC.3/49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36" w:rsidRPr="002A1E36" w:rsidRDefault="00734D5B" w:rsidP="002A1E3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A5A62">
      <w:t>ECE/TRANS/WP.29/AC.3/49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A"/>
    <w:rsid w:val="00013295"/>
    <w:rsid w:val="00033EE1"/>
    <w:rsid w:val="00042B72"/>
    <w:rsid w:val="000558BD"/>
    <w:rsid w:val="000B57E7"/>
    <w:rsid w:val="000B6373"/>
    <w:rsid w:val="000E4E5B"/>
    <w:rsid w:val="000F071A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6F37"/>
    <w:rsid w:val="00255343"/>
    <w:rsid w:val="0027151D"/>
    <w:rsid w:val="002A1E36"/>
    <w:rsid w:val="002A2EFC"/>
    <w:rsid w:val="002B0106"/>
    <w:rsid w:val="002B1A4A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1EDC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15B9"/>
    <w:rsid w:val="006D461A"/>
    <w:rsid w:val="006F35EE"/>
    <w:rsid w:val="007021FF"/>
    <w:rsid w:val="00712895"/>
    <w:rsid w:val="00734ACB"/>
    <w:rsid w:val="00734D5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A5A62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42846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B7B20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6270</Characters>
  <Application>Microsoft Office Word</Application>
  <DocSecurity>4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ECE/TRANS/WP.29/AC.3/49</vt:lpstr>
      <vt:lpstr>ECE/TRANS/WP.29/AC.3/49</vt:lpstr>
      <vt:lpstr>A/</vt:lpstr>
    </vt:vector>
  </TitlesOfParts>
  <Company>DCM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ECE/TRANS/WP.29/AC.3/49</dc:title>
  <dc:creator>Ekaterina SALYNSKAYA</dc:creator>
  <cp:lastModifiedBy>Benedicte Boudol</cp:lastModifiedBy>
  <cp:revision>2</cp:revision>
  <cp:lastPrinted>2017-05-01T15:50:00Z</cp:lastPrinted>
  <dcterms:created xsi:type="dcterms:W3CDTF">2017-05-04T16:45:00Z</dcterms:created>
  <dcterms:modified xsi:type="dcterms:W3CDTF">2017-05-04T16:45:00Z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