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01C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01CCC" w:rsidP="00E01CCC">
            <w:pPr>
              <w:jc w:val="right"/>
            </w:pPr>
            <w:r w:rsidRPr="00E01CCC">
              <w:rPr>
                <w:sz w:val="40"/>
              </w:rPr>
              <w:t>ECE</w:t>
            </w:r>
            <w:r>
              <w:t>/TRANS/WP.29/2017/137</w:t>
            </w:r>
          </w:p>
        </w:tc>
      </w:tr>
      <w:tr w:rsidR="002D5AAC" w:rsidRPr="00EC108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01CC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01CCC" w:rsidRDefault="00E01CCC" w:rsidP="00E01C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September 2017</w:t>
            </w:r>
          </w:p>
          <w:p w:rsidR="00E01CCC" w:rsidRDefault="00E01CCC" w:rsidP="00E01C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01CCC" w:rsidRPr="008D53B6" w:rsidRDefault="00E01CCC" w:rsidP="00E01C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01CCC" w:rsidRPr="00650946" w:rsidRDefault="00E01CCC" w:rsidP="00E01CCC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650946">
        <w:rPr>
          <w:sz w:val="28"/>
          <w:szCs w:val="28"/>
        </w:rPr>
        <w:t>Комитет по внутреннему транспорту</w:t>
      </w:r>
    </w:p>
    <w:p w:rsidR="00E01CCC" w:rsidRPr="00650946" w:rsidRDefault="00E01CCC" w:rsidP="00E01CCC">
      <w:pPr>
        <w:pStyle w:val="SingleTxtGR"/>
        <w:spacing w:after="0"/>
        <w:ind w:left="0"/>
        <w:jc w:val="left"/>
        <w:rPr>
          <w:b/>
          <w:sz w:val="24"/>
          <w:szCs w:val="24"/>
        </w:rPr>
      </w:pPr>
      <w:r w:rsidRPr="00650946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50946">
        <w:rPr>
          <w:b/>
          <w:bCs/>
          <w:sz w:val="24"/>
          <w:szCs w:val="24"/>
        </w:rPr>
        <w:br/>
        <w:t>в области транспортных средств</w:t>
      </w:r>
    </w:p>
    <w:p w:rsidR="00E01CCC" w:rsidRPr="00E13E43" w:rsidRDefault="00E01CCC" w:rsidP="00E01CCC">
      <w:pPr>
        <w:pStyle w:val="SingleTxtGR"/>
        <w:spacing w:before="120" w:after="0"/>
        <w:ind w:left="0"/>
        <w:jc w:val="left"/>
        <w:rPr>
          <w:b/>
        </w:rPr>
      </w:pPr>
      <w:r w:rsidRPr="00E13E43">
        <w:rPr>
          <w:b/>
        </w:rPr>
        <w:t>173-я сессия</w:t>
      </w:r>
    </w:p>
    <w:p w:rsidR="00E01CCC" w:rsidRPr="00E13E43" w:rsidRDefault="00E01CCC" w:rsidP="00E01CCC">
      <w:pPr>
        <w:pStyle w:val="SingleTxtGR"/>
        <w:spacing w:after="0"/>
        <w:ind w:left="0"/>
        <w:jc w:val="left"/>
      </w:pPr>
      <w:r>
        <w:t>Женева, 14</w:t>
      </w:r>
      <w:r w:rsidRPr="006E091B">
        <w:t>–</w:t>
      </w:r>
      <w:r w:rsidRPr="00E13E43">
        <w:t>17 ноября 2017 года</w:t>
      </w:r>
    </w:p>
    <w:p w:rsidR="00E01CCC" w:rsidRPr="00E13E43" w:rsidRDefault="00E01CCC" w:rsidP="00E01CCC">
      <w:pPr>
        <w:pStyle w:val="SingleTxtGR"/>
        <w:spacing w:after="0"/>
        <w:ind w:left="0"/>
        <w:jc w:val="left"/>
      </w:pPr>
      <w:r w:rsidRPr="00E13E43">
        <w:t>Пункт 8.</w:t>
      </w:r>
      <w:r>
        <w:t>5</w:t>
      </w:r>
      <w:r w:rsidRPr="00E13E43">
        <w:t xml:space="preserve"> предварительной повестки дня</w:t>
      </w:r>
    </w:p>
    <w:p w:rsidR="00E01CCC" w:rsidRPr="00E13E43" w:rsidRDefault="00E01CCC" w:rsidP="00E01CCC">
      <w:pPr>
        <w:pStyle w:val="SingleTxtGR"/>
        <w:spacing w:after="0"/>
        <w:ind w:left="0"/>
        <w:jc w:val="left"/>
        <w:rPr>
          <w:b/>
        </w:rPr>
      </w:pPr>
      <w:r w:rsidRPr="00587320">
        <w:rPr>
          <w:b/>
        </w:rPr>
        <w:t>Прочие вопросы</w:t>
      </w:r>
      <w:r w:rsidRPr="00E13E43">
        <w:rPr>
          <w:b/>
        </w:rPr>
        <w:t>:</w:t>
      </w:r>
      <w:r w:rsidRPr="00E13E43">
        <w:rPr>
          <w:b/>
        </w:rPr>
        <w:br/>
        <w:t xml:space="preserve">Рассмотрение </w:t>
      </w:r>
      <w:r w:rsidRPr="00587320">
        <w:rPr>
          <w:b/>
        </w:rPr>
        <w:t>предложений по поправкам</w:t>
      </w:r>
      <w:r>
        <w:rPr>
          <w:b/>
        </w:rPr>
        <w:t xml:space="preserve"> </w:t>
      </w:r>
      <w:r w:rsidRPr="00650946">
        <w:rPr>
          <w:b/>
        </w:rPr>
        <w:br/>
      </w:r>
      <w:r w:rsidRPr="00587320">
        <w:rPr>
          <w:b/>
        </w:rPr>
        <w:t>к правилам процедуры WP.29</w:t>
      </w:r>
    </w:p>
    <w:p w:rsidR="00E01CCC" w:rsidRPr="00E13E43" w:rsidRDefault="00E01CCC" w:rsidP="00E01CCC">
      <w:pPr>
        <w:pStyle w:val="HChGR"/>
      </w:pPr>
      <w:r w:rsidRPr="00970BD7">
        <w:tab/>
      </w:r>
      <w:r w:rsidRPr="00970BD7">
        <w:tab/>
      </w:r>
      <w:r w:rsidRPr="00E13E43">
        <w:t>Предложени</w:t>
      </w:r>
      <w:r>
        <w:t>я</w:t>
      </w:r>
      <w:r w:rsidRPr="0017391A">
        <w:t xml:space="preserve"> по поправкам к правилам процедуры </w:t>
      </w:r>
      <w:r w:rsidRPr="002A7328">
        <w:rPr>
          <w:bCs/>
          <w:szCs w:val="28"/>
        </w:rPr>
        <w:t>Всемирн</w:t>
      </w:r>
      <w:r>
        <w:rPr>
          <w:bCs/>
          <w:szCs w:val="28"/>
        </w:rPr>
        <w:t>ого</w:t>
      </w:r>
      <w:r w:rsidRPr="002A7328">
        <w:rPr>
          <w:bCs/>
          <w:szCs w:val="28"/>
        </w:rPr>
        <w:t xml:space="preserve"> форум</w:t>
      </w:r>
      <w:r>
        <w:rPr>
          <w:bCs/>
          <w:szCs w:val="28"/>
        </w:rPr>
        <w:t>а</w:t>
      </w:r>
      <w:r w:rsidRPr="002A7328">
        <w:rPr>
          <w:bCs/>
          <w:szCs w:val="28"/>
        </w:rPr>
        <w:t xml:space="preserve"> для согласования правил </w:t>
      </w:r>
      <w:r w:rsidRPr="002A7328">
        <w:rPr>
          <w:bCs/>
          <w:szCs w:val="28"/>
        </w:rPr>
        <w:br/>
        <w:t>в области транспортных средств</w:t>
      </w:r>
    </w:p>
    <w:p w:rsidR="00E01CCC" w:rsidRPr="00B35A9D" w:rsidRDefault="00E01CCC" w:rsidP="00E01CCC">
      <w:pPr>
        <w:pStyle w:val="H1GR"/>
        <w:rPr>
          <w:sz w:val="28"/>
          <w:szCs w:val="28"/>
        </w:rPr>
      </w:pPr>
      <w:r w:rsidRPr="00970BD7">
        <w:tab/>
      </w:r>
      <w:r w:rsidRPr="00970BD7">
        <w:tab/>
      </w:r>
      <w:r>
        <w:t>Записка</w:t>
      </w:r>
      <w:r w:rsidRPr="00E13E43">
        <w:t xml:space="preserve"> </w:t>
      </w:r>
      <w:r>
        <w:t>секретариата</w:t>
      </w:r>
      <w:r w:rsidRPr="001F67CE">
        <w:rPr>
          <w:b w:val="0"/>
          <w:sz w:val="20"/>
        </w:rPr>
        <w:footnoteReference w:customMarkFollows="1" w:id="1"/>
        <w:t>*</w:t>
      </w:r>
    </w:p>
    <w:p w:rsidR="00E01CCC" w:rsidRPr="00B35A9D" w:rsidRDefault="00E01CCC" w:rsidP="00E01CCC">
      <w:pPr>
        <w:pStyle w:val="HChGR"/>
      </w:pPr>
      <w:r w:rsidRPr="00B35A9D">
        <w:tab/>
      </w:r>
      <w:r>
        <w:t>I</w:t>
      </w:r>
      <w:r w:rsidRPr="00B35A9D">
        <w:t>.</w:t>
      </w:r>
      <w:r w:rsidRPr="00B35A9D">
        <w:tab/>
      </w:r>
      <w:r w:rsidRPr="00EC108D">
        <w:rPr>
          <w:rStyle w:val="SingleTxtGChar"/>
          <w:szCs w:val="28"/>
          <w:lang w:val="ru-RU"/>
        </w:rPr>
        <w:t>Справочная информация и мандат</w:t>
      </w:r>
    </w:p>
    <w:p w:rsidR="00E01CCC" w:rsidRDefault="00E01CCC" w:rsidP="00E01CCC">
      <w:pPr>
        <w:pStyle w:val="SingleTxtGR"/>
      </w:pPr>
      <w:r w:rsidRPr="00BE662E">
        <w:t>1.</w:t>
      </w:r>
      <w:r w:rsidRPr="00BE662E">
        <w:tab/>
      </w:r>
      <w:r>
        <w:t>На</w:t>
      </w:r>
      <w:r w:rsidRPr="00BE662E">
        <w:t xml:space="preserve"> </w:t>
      </w:r>
      <w:r>
        <w:t>своей</w:t>
      </w:r>
      <w:r w:rsidRPr="00BE662E">
        <w:t xml:space="preserve"> 121-</w:t>
      </w:r>
      <w:r>
        <w:t>й</w:t>
      </w:r>
      <w:r w:rsidRPr="00BE662E">
        <w:t xml:space="preserve"> </w:t>
      </w:r>
      <w:r>
        <w:t>сессии</w:t>
      </w:r>
      <w:r w:rsidRPr="00BE662E">
        <w:t xml:space="preserve">, </w:t>
      </w:r>
      <w:r>
        <w:t>состоявшейся</w:t>
      </w:r>
      <w:r w:rsidRPr="00BE662E">
        <w:t xml:space="preserve"> </w:t>
      </w:r>
      <w:r>
        <w:t>в</w:t>
      </w:r>
      <w:r w:rsidRPr="00BE662E">
        <w:t xml:space="preserve"> </w:t>
      </w:r>
      <w:r>
        <w:t>июне</w:t>
      </w:r>
      <w:r w:rsidRPr="00BE662E">
        <w:t xml:space="preserve"> 2016 </w:t>
      </w:r>
      <w:r>
        <w:t>года</w:t>
      </w:r>
      <w:r w:rsidRPr="00BE662E">
        <w:t xml:space="preserve">, </w:t>
      </w:r>
      <w:r>
        <w:t xml:space="preserve">Административный комитет по координации работы </w:t>
      </w:r>
      <w:r w:rsidRPr="00BE662E">
        <w:t>(</w:t>
      </w:r>
      <w:r w:rsidRPr="00BE662E">
        <w:rPr>
          <w:lang w:val="en-US"/>
        </w:rPr>
        <w:t>AC</w:t>
      </w:r>
      <w:r w:rsidRPr="00BE662E">
        <w:t xml:space="preserve">.2) </w:t>
      </w:r>
      <w:r>
        <w:t>одобрил предложение Соединенных Штатов Америки, Японии и Европейского союза о мерах секретариата по повышению транспарентности деятельности Всемирного форума, в частности путем облегчения участия заинтересованных сторон посредством предоставления соответствующей информации на его веб-сайте для отдельных лиц и неправительственных организаций (НПО) (</w:t>
      </w:r>
      <w:r w:rsidRPr="00D57CB5">
        <w:t>ECE/TRANS/WP.29/1123</w:t>
      </w:r>
      <w:r>
        <w:t>, пункт 14).</w:t>
      </w:r>
    </w:p>
    <w:p w:rsidR="00E01CCC" w:rsidRPr="00E01CCC" w:rsidRDefault="00E01CCC" w:rsidP="00E01CCC">
      <w:pPr>
        <w:pStyle w:val="SingleTxtGR"/>
      </w:pPr>
      <w:r w:rsidRPr="00E01CCC">
        <w:t>2.</w:t>
      </w:r>
      <w:r w:rsidRPr="00E01CCC">
        <w:tab/>
        <w:t xml:space="preserve">В соответствии с вышеупомянутой просьбой секретариат подготовил предложения по проектам поправок к правилам процедуры (ПП) </w:t>
      </w:r>
      <w:r w:rsidRPr="00E01CCC">
        <w:rPr>
          <w:lang w:val="en-GB"/>
        </w:rPr>
        <w:t>WP</w:t>
      </w:r>
      <w:r w:rsidRPr="00E01CCC">
        <w:t xml:space="preserve">.29, направленные на облегчение участия неправительственных заинтересованных сторон в совещаниях </w:t>
      </w:r>
      <w:r w:rsidRPr="00E01CCC">
        <w:rPr>
          <w:lang w:val="en-GB"/>
        </w:rPr>
        <w:t>WP</w:t>
      </w:r>
      <w:r w:rsidRPr="00E01CCC">
        <w:t xml:space="preserve">.29 (неофициальные документы </w:t>
      </w:r>
      <w:r w:rsidRPr="00E01CCC">
        <w:rPr>
          <w:lang w:val="en-GB"/>
        </w:rPr>
        <w:t>AC</w:t>
      </w:r>
      <w:r w:rsidRPr="00E01CCC">
        <w:t xml:space="preserve">.2-122-05 и </w:t>
      </w:r>
      <w:r w:rsidRPr="00E01CCC">
        <w:rPr>
          <w:lang w:val="en-GB"/>
        </w:rPr>
        <w:t>AC</w:t>
      </w:r>
      <w:r w:rsidRPr="00E01CCC">
        <w:t xml:space="preserve">.2-124-07). Эти предложения были рассмотрены </w:t>
      </w:r>
      <w:r w:rsidRPr="00E01CCC">
        <w:rPr>
          <w:lang w:val="en-GB"/>
        </w:rPr>
        <w:t>AC</w:t>
      </w:r>
      <w:r w:rsidRPr="00E01CCC">
        <w:t xml:space="preserve">.2 на нескольких сессиях. </w:t>
      </w:r>
      <w:r>
        <w:t>На</w:t>
      </w:r>
      <w:r>
        <w:rPr>
          <w:lang w:val="en-US"/>
        </w:rPr>
        <w:t> </w:t>
      </w:r>
      <w:r w:rsidRPr="00E01CCC">
        <w:t xml:space="preserve">своей 124-й сессии </w:t>
      </w:r>
      <w:r w:rsidRPr="00E01CCC">
        <w:rPr>
          <w:lang w:val="en-GB"/>
        </w:rPr>
        <w:t>AC</w:t>
      </w:r>
      <w:r w:rsidRPr="00E01CCC">
        <w:t xml:space="preserve">.2 просил секретариат подготовить проекты поправок к ПП </w:t>
      </w:r>
      <w:r w:rsidRPr="00E01CCC">
        <w:rPr>
          <w:lang w:val="en-GB"/>
        </w:rPr>
        <w:t>WP</w:t>
      </w:r>
      <w:r w:rsidRPr="00E01CCC">
        <w:t xml:space="preserve">.29 для рассмотрения </w:t>
      </w:r>
      <w:r w:rsidRPr="00E01CCC">
        <w:rPr>
          <w:lang w:val="en-GB"/>
        </w:rPr>
        <w:t>WP</w:t>
      </w:r>
      <w:r w:rsidRPr="00E01CCC">
        <w:t>.29 на его 173-й сессии в ноябре 2017 года (</w:t>
      </w:r>
      <w:r w:rsidRPr="00E01CCC">
        <w:rPr>
          <w:lang w:val="en-GB"/>
        </w:rPr>
        <w:t>ECE</w:t>
      </w:r>
      <w:r w:rsidRPr="00E01CCC">
        <w:t>/</w:t>
      </w:r>
      <w:r w:rsidRPr="00E01CCC">
        <w:rPr>
          <w:lang w:val="en-GB"/>
        </w:rPr>
        <w:t>TRANS</w:t>
      </w:r>
      <w:r w:rsidRPr="00E01CCC">
        <w:t>/</w:t>
      </w:r>
      <w:r w:rsidRPr="00E01CCC">
        <w:rPr>
          <w:lang w:val="en-GB"/>
        </w:rPr>
        <w:t>WP</w:t>
      </w:r>
      <w:r w:rsidRPr="00E01CCC">
        <w:t>.29/1131, пункт 18).</w:t>
      </w:r>
    </w:p>
    <w:p w:rsidR="00E01CCC" w:rsidRPr="00E01CCC" w:rsidRDefault="00E01CCC" w:rsidP="00E01CCC">
      <w:pPr>
        <w:pStyle w:val="HChGR"/>
      </w:pPr>
      <w:r w:rsidRPr="00E01CCC">
        <w:lastRenderedPageBreak/>
        <w:tab/>
      </w:r>
      <w:r w:rsidRPr="00E01CCC">
        <w:rPr>
          <w:lang w:val="en-GB"/>
        </w:rPr>
        <w:t>II</w:t>
      </w:r>
      <w:r w:rsidRPr="00E01CCC">
        <w:t>.</w:t>
      </w:r>
      <w:r w:rsidRPr="00E01CCC">
        <w:tab/>
        <w:t xml:space="preserve">Правила процедуры </w:t>
      </w:r>
      <w:r w:rsidRPr="00E01CCC">
        <w:rPr>
          <w:lang w:val="en-GB"/>
        </w:rPr>
        <w:t>WP</w:t>
      </w:r>
      <w:r w:rsidRPr="00E01CCC">
        <w:t xml:space="preserve">.29, ЕЭК ООН </w:t>
      </w:r>
      <w:r w:rsidR="00EC108D" w:rsidRPr="00EC108D">
        <w:br/>
      </w:r>
      <w:r w:rsidRPr="00E01CCC">
        <w:t>и вспомогательных органов</w:t>
      </w:r>
    </w:p>
    <w:p w:rsidR="00E01CCC" w:rsidRPr="00E01CCC" w:rsidRDefault="00E01CCC" w:rsidP="00E01CCC">
      <w:pPr>
        <w:pStyle w:val="SingleTxtGR"/>
      </w:pPr>
      <w:r w:rsidRPr="00E01CCC">
        <w:t>3.</w:t>
      </w:r>
      <w:r w:rsidRPr="00E01CCC">
        <w:tab/>
        <w:t xml:space="preserve">Участие различных заинтересованных сторон в совещаниях </w:t>
      </w:r>
      <w:r w:rsidRPr="00E01CCC">
        <w:rPr>
          <w:lang w:val="en-GB"/>
        </w:rPr>
        <w:t>WP</w:t>
      </w:r>
      <w:r w:rsidRPr="00E01CCC">
        <w:t xml:space="preserve">.29 могло бы быть важным элементом повышения транспарентности деятельности Всемирного форума. Однако правило 1 действующих ПП </w:t>
      </w:r>
      <w:r w:rsidRPr="00E01CCC">
        <w:rPr>
          <w:lang w:val="en-GB"/>
        </w:rPr>
        <w:t>WP</w:t>
      </w:r>
      <w:r w:rsidRPr="00E01CCC">
        <w:t>.29 (</w:t>
      </w:r>
      <w:r w:rsidRPr="00E01CCC">
        <w:rPr>
          <w:lang w:val="en-US"/>
        </w:rPr>
        <w:t>TRANS</w:t>
      </w:r>
      <w:r w:rsidRPr="00E01CCC">
        <w:t>/</w:t>
      </w:r>
      <w:r w:rsidRPr="00EC108D">
        <w:t xml:space="preserve"> </w:t>
      </w:r>
      <w:r w:rsidRPr="00E01CCC">
        <w:rPr>
          <w:lang w:val="en-US"/>
        </w:rPr>
        <w:t>WP</w:t>
      </w:r>
      <w:r w:rsidRPr="00E01CCC">
        <w:t xml:space="preserve">.29/690, </w:t>
      </w:r>
      <w:r w:rsidRPr="00E01CCC">
        <w:rPr>
          <w:lang w:val="en-US"/>
        </w:rPr>
        <w:t>Amend</w:t>
      </w:r>
      <w:r w:rsidRPr="00E01CCC">
        <w:t xml:space="preserve">. 1 и 2) ограничивает такое участие странами, специализированными учреждениями Организации Объединенных Наций, межправительственными организациями и НПО, которым Экономический и Социальный Совет (ЭКОСОС) предоставил консультативный статус. Ряд НПО, действующих в области конструкции транспортных средств и связанных с этим областях, получили указанный статус и участвуют в сессиях </w:t>
      </w:r>
      <w:r w:rsidRPr="00E01CCC">
        <w:rPr>
          <w:lang w:val="en-US"/>
        </w:rPr>
        <w:t>WP</w:t>
      </w:r>
      <w:r w:rsidRPr="00E01CCC">
        <w:t>.29. Некоторые другие НПО не направили заявок на предоставление данного статуса, вероятно вследствие формальностей, связанных с получением статуса при ЭК</w:t>
      </w:r>
      <w:r w:rsidR="00EC108D">
        <w:t>ОСОС. Тем не менее</w:t>
      </w:r>
      <w:r w:rsidRPr="00E01CCC">
        <w:t xml:space="preserve"> эти НПО вполне могут быть заинтересованы в присутствии на совещаниях </w:t>
      </w:r>
      <w:r w:rsidRPr="00E01CCC">
        <w:rPr>
          <w:lang w:val="en-US"/>
        </w:rPr>
        <w:t>WP</w:t>
      </w:r>
      <w:r w:rsidRPr="00E01CCC">
        <w:t xml:space="preserve">.29 (и его вспомогательных органов), и их участие может принести пользу </w:t>
      </w:r>
      <w:r w:rsidRPr="00E01CCC">
        <w:rPr>
          <w:lang w:val="en-US"/>
        </w:rPr>
        <w:t>WP</w:t>
      </w:r>
      <w:r w:rsidRPr="00E01CCC">
        <w:t xml:space="preserve">.29 в его работе. Участие отдельных лиц не предусмотрено в ПП </w:t>
      </w:r>
      <w:r w:rsidRPr="00E01CCC">
        <w:rPr>
          <w:lang w:val="en-US"/>
        </w:rPr>
        <w:t>WP</w:t>
      </w:r>
      <w:r w:rsidRPr="00E01CCC">
        <w:t>.29.</w:t>
      </w:r>
    </w:p>
    <w:p w:rsidR="00E01CCC" w:rsidRPr="00E01CCC" w:rsidRDefault="00E01CCC" w:rsidP="00E01CCC">
      <w:pPr>
        <w:pStyle w:val="SingleTxtGR"/>
      </w:pPr>
      <w:r w:rsidRPr="00E01CCC">
        <w:t>4.</w:t>
      </w:r>
      <w:r w:rsidRPr="00E01CCC">
        <w:tab/>
        <w:t xml:space="preserve">В основу ПП </w:t>
      </w:r>
      <w:r w:rsidRPr="00E01CCC">
        <w:rPr>
          <w:lang w:val="en-US"/>
        </w:rPr>
        <w:t>WP</w:t>
      </w:r>
      <w:r w:rsidRPr="00E01CCC">
        <w:t xml:space="preserve">.29 автоматически положены Положение о круге ведения и Правила процедуры ЕЭК ООН. На самом деле </w:t>
      </w:r>
      <w:r w:rsidRPr="00E01CCC">
        <w:rPr>
          <w:lang w:val="en-US"/>
        </w:rPr>
        <w:t>WP</w:t>
      </w:r>
      <w:r w:rsidRPr="00E01CCC">
        <w:t>.29 не обязан следовать им, поскольку ЕЭК ООН предоставляет своим вспомогательным органам самостоятельность и гибкость в выполнении возложенных на них задач. Согласно правилу</w:t>
      </w:r>
      <w:r w:rsidRPr="00E01CCC">
        <w:rPr>
          <w:iCs/>
        </w:rPr>
        <w:t xml:space="preserve"> 18 ПП ЕЭК ООН,</w:t>
      </w:r>
      <w:r w:rsidRPr="00E01CCC">
        <w:rPr>
          <w:i/>
          <w:iCs/>
        </w:rPr>
        <w:t xml:space="preserve"> </w:t>
      </w:r>
      <w:r w:rsidRPr="00EC108D">
        <w:rPr>
          <w:iCs/>
        </w:rPr>
        <w:t>«</w:t>
      </w:r>
      <w:r w:rsidRPr="00E01CCC">
        <w:rPr>
          <w:i/>
          <w:iCs/>
        </w:rPr>
        <w:t>в</w:t>
      </w:r>
      <w:r w:rsidRPr="00E01CCC">
        <w:rPr>
          <w:i/>
        </w:rPr>
        <w:t>спомогательным органам может быть предоставлена такая самостоятельность, какая окажется необходимой для эффективного выполнения ими возложенных на них технических обязанностей</w:t>
      </w:r>
      <w:r w:rsidRPr="00EC108D">
        <w:t>»</w:t>
      </w:r>
      <w:r w:rsidRPr="00E01CCC">
        <w:rPr>
          <w:i/>
        </w:rPr>
        <w:t>.</w:t>
      </w:r>
      <w:r w:rsidRPr="00E01CCC">
        <w:rPr>
          <w:i/>
          <w:iCs/>
        </w:rPr>
        <w:t xml:space="preserve"> </w:t>
      </w:r>
      <w:r w:rsidRPr="00E01CCC">
        <w:t>Правило 20 гласит: «</w:t>
      </w:r>
      <w:r w:rsidRPr="00E01CCC">
        <w:rPr>
          <w:i/>
        </w:rPr>
        <w:t>Вспомогательные органы</w:t>
      </w:r>
      <w:r w:rsidRPr="00E01CCC">
        <w:t xml:space="preserve"> </w:t>
      </w:r>
      <w:r w:rsidRPr="00E01CCC">
        <w:rPr>
          <w:i/>
        </w:rPr>
        <w:t>принимают свои собственные правила процедуры, если Комиссия не вынесет иного решения</w:t>
      </w:r>
      <w:r w:rsidRPr="00E01CCC">
        <w:t>».</w:t>
      </w:r>
    </w:p>
    <w:p w:rsidR="00E01CCC" w:rsidRPr="00E01CCC" w:rsidRDefault="00E01CCC" w:rsidP="00E01CCC">
      <w:pPr>
        <w:pStyle w:val="SingleTxtGR"/>
      </w:pPr>
      <w:r w:rsidRPr="00E01CCC">
        <w:t>5.</w:t>
      </w:r>
      <w:r w:rsidRPr="00E01CCC">
        <w:tab/>
        <w:t xml:space="preserve">В качестве итога обзора реформы ЕЭК ООН 2005 года ЕЭК ООН одобрила согласование процедур и практики и просила Исполнительный комитет </w:t>
      </w:r>
      <w:r w:rsidR="00EC108D" w:rsidRPr="00EC108D">
        <w:br/>
      </w:r>
      <w:r w:rsidRPr="00E01CCC">
        <w:t xml:space="preserve">(Исполком) обеспечить, чтобы все вспомогательные органы и секретариат применяли Руководящие принципы, касающиеся процедур и практики, изложенные в приложении </w:t>
      </w:r>
      <w:r w:rsidRPr="00E01CCC">
        <w:rPr>
          <w:lang w:val="en-GB"/>
        </w:rPr>
        <w:t>III</w:t>
      </w:r>
      <w:r w:rsidRPr="00E01CCC">
        <w:t xml:space="preserve"> к документу </w:t>
      </w:r>
      <w:r w:rsidRPr="00E01CCC">
        <w:rPr>
          <w:lang w:val="en-GB"/>
        </w:rPr>
        <w:t>E</w:t>
      </w:r>
      <w:r w:rsidRPr="00E01CCC">
        <w:t>/</w:t>
      </w:r>
      <w:r w:rsidRPr="00E01CCC">
        <w:rPr>
          <w:lang w:val="en-GB"/>
        </w:rPr>
        <w:t>ECE</w:t>
      </w:r>
      <w:r w:rsidRPr="00E01CCC">
        <w:t xml:space="preserve">/1468 от 2013 года. Пункт 2 этих руководящих принципов гласит: </w:t>
      </w:r>
    </w:p>
    <w:p w:rsidR="00E01CCC" w:rsidRPr="00E01CCC" w:rsidRDefault="00E01CCC" w:rsidP="00E01CCC">
      <w:pPr>
        <w:pStyle w:val="SingleTxtGR"/>
        <w:ind w:left="1701" w:hanging="567"/>
        <w:rPr>
          <w:i/>
        </w:rPr>
      </w:pPr>
      <w:r w:rsidRPr="00EC108D">
        <w:rPr>
          <w:i/>
          <w:iCs/>
        </w:rPr>
        <w:tab/>
      </w:r>
      <w:r w:rsidRPr="00E01CCC">
        <w:rPr>
          <w:i/>
          <w:iCs/>
        </w:rPr>
        <w:t>«</w:t>
      </w:r>
      <w:r w:rsidRPr="00E01CCC">
        <w:rPr>
          <w:i/>
        </w:rPr>
        <w:t xml:space="preserve">Все секторальные комитеты и другие вспомогательные органы могут принимать свои собственные правила процедуры на основе Правил процедуры ЕЭК и, когда это применимо, Правил процедуры ЭКОСОС с учетом настоящих руководящих принципов. Если такие правила не были приняты, следует исходить из того, что работа регулируется Правилами процедуры Комиссии и, когда применимо, Правилами процедуры ЭКОСОС с учетом настоящих руководящих принципов </w:t>
      </w:r>
      <w:r w:rsidRPr="00E01CCC">
        <w:rPr>
          <w:i/>
          <w:lang w:val="en-GB"/>
        </w:rPr>
        <w:t>mutatis</w:t>
      </w:r>
      <w:r w:rsidRPr="00E01CCC">
        <w:rPr>
          <w:i/>
        </w:rPr>
        <w:t xml:space="preserve"> </w:t>
      </w:r>
      <w:r w:rsidRPr="00E01CCC">
        <w:rPr>
          <w:i/>
          <w:lang w:val="en-GB"/>
        </w:rPr>
        <w:t>mutandis</w:t>
      </w:r>
      <w:r w:rsidRPr="00E01CCC">
        <w:rPr>
          <w:i/>
        </w:rPr>
        <w:t>».</w:t>
      </w:r>
    </w:p>
    <w:p w:rsidR="00E01CCC" w:rsidRPr="00E01CCC" w:rsidRDefault="00E01CCC" w:rsidP="00E01CCC">
      <w:pPr>
        <w:pStyle w:val="SingleTxtGR"/>
        <w:rPr>
          <w:iCs/>
        </w:rPr>
      </w:pPr>
      <w:r w:rsidRPr="00E01CCC">
        <w:rPr>
          <w:iCs/>
        </w:rPr>
        <w:t>6.</w:t>
      </w:r>
      <w:r w:rsidRPr="00E01CCC">
        <w:rPr>
          <w:iCs/>
        </w:rPr>
        <w:tab/>
        <w:t xml:space="preserve">Ряд </w:t>
      </w:r>
      <w:r w:rsidRPr="00E01CCC">
        <w:t>вспомогательных органов</w:t>
      </w:r>
      <w:r w:rsidRPr="00E01CCC">
        <w:rPr>
          <w:iCs/>
        </w:rPr>
        <w:t xml:space="preserve"> КВТ воспользовались вышеупомянутым подходом </w:t>
      </w:r>
      <w:r w:rsidRPr="00E01CCC">
        <w:t>ЕЭК ООН и приняли собственные правила процедуры</w:t>
      </w:r>
      <w:r w:rsidRPr="00E01CCC">
        <w:rPr>
          <w:iCs/>
        </w:rPr>
        <w:t xml:space="preserve">. В частности, эти органы смягчили строгие критерии участия, с тем чтобы </w:t>
      </w:r>
      <w:r w:rsidRPr="00E01CCC">
        <w:t>облегчить сотрудничество с частным сектором, отдельными экспертами и научными учреждениями</w:t>
      </w:r>
      <w:r w:rsidRPr="00E01CCC">
        <w:rPr>
          <w:iCs/>
        </w:rPr>
        <w:t>. Ниже приводятся примеры таких положений, облегчающих сотрудничество:</w:t>
      </w:r>
    </w:p>
    <w:p w:rsidR="00E01CCC" w:rsidRPr="00E01CCC" w:rsidRDefault="00E01CCC" w:rsidP="00E01CCC">
      <w:pPr>
        <w:pStyle w:val="SingleTxtGR"/>
        <w:ind w:left="1701" w:hanging="567"/>
        <w:rPr>
          <w:i/>
        </w:rPr>
      </w:pPr>
      <w:r w:rsidRPr="00EC108D">
        <w:rPr>
          <w:i/>
        </w:rPr>
        <w:tab/>
      </w:r>
      <w:r w:rsidRPr="00E01CCC">
        <w:rPr>
          <w:i/>
        </w:rPr>
        <w:t xml:space="preserve">«Неправительственные организации, которым Экономическим и Социальным Советом не предоставлен консультативный статус, при условии одобрения [наименование межправительственного органа] и соблюдения принципов, изложенных в частях </w:t>
      </w:r>
      <w:r w:rsidRPr="00E01CCC">
        <w:rPr>
          <w:i/>
          <w:lang w:val="en-GB"/>
        </w:rPr>
        <w:t>I</w:t>
      </w:r>
      <w:r w:rsidRPr="00E01CCC">
        <w:rPr>
          <w:i/>
        </w:rPr>
        <w:t xml:space="preserve"> и </w:t>
      </w:r>
      <w:r w:rsidRPr="00E01CCC">
        <w:rPr>
          <w:i/>
          <w:lang w:val="en-GB"/>
        </w:rPr>
        <w:t>II</w:t>
      </w:r>
      <w:r w:rsidRPr="00E01CCC">
        <w:rPr>
          <w:i/>
        </w:rPr>
        <w:t xml:space="preserve"> резолюции 1996/31 Экономического и Социального Совета, могут участвовать на консультативных началах в обсуждении [данным органом] любого вопроса, представляющег</w:t>
      </w:r>
      <w:r w:rsidR="00EC108D">
        <w:rPr>
          <w:i/>
        </w:rPr>
        <w:t>о интерес для таких организаций</w:t>
      </w:r>
      <w:r w:rsidRPr="00E01CCC">
        <w:rPr>
          <w:i/>
        </w:rPr>
        <w:t>».</w:t>
      </w:r>
    </w:p>
    <w:p w:rsidR="00E01CCC" w:rsidRPr="00E01CCC" w:rsidRDefault="00E01CCC" w:rsidP="00E01CCC">
      <w:pPr>
        <w:pStyle w:val="SingleTxtGR"/>
        <w:ind w:left="1701" w:hanging="567"/>
        <w:rPr>
          <w:i/>
        </w:rPr>
      </w:pPr>
      <w:r w:rsidRPr="00EC108D">
        <w:rPr>
          <w:i/>
        </w:rPr>
        <w:tab/>
      </w:r>
      <w:r w:rsidRPr="00E01CCC">
        <w:rPr>
          <w:i/>
        </w:rPr>
        <w:t>«[Наименование межправительственного органа] может, через своего Председателя, приглашать на свои сессии любую организацию или любого эксперта, участие которых он сч</w:t>
      </w:r>
      <w:r w:rsidR="00EC108D">
        <w:rPr>
          <w:i/>
        </w:rPr>
        <w:t>итает полезным для своей работы</w:t>
      </w:r>
      <w:r w:rsidRPr="00E01CCC">
        <w:rPr>
          <w:i/>
        </w:rPr>
        <w:t>».</w:t>
      </w:r>
    </w:p>
    <w:p w:rsidR="00E01CCC" w:rsidRPr="00E01CCC" w:rsidRDefault="00E01CCC" w:rsidP="00E01CCC">
      <w:pPr>
        <w:pStyle w:val="HChGR"/>
      </w:pPr>
      <w:r w:rsidRPr="00E01CCC">
        <w:lastRenderedPageBreak/>
        <w:tab/>
      </w:r>
      <w:r w:rsidRPr="00E01CCC">
        <w:rPr>
          <w:lang w:val="en-GB"/>
        </w:rPr>
        <w:t>III</w:t>
      </w:r>
      <w:r w:rsidRPr="00E01CCC">
        <w:t>.</w:t>
      </w:r>
      <w:r w:rsidRPr="00E01CCC">
        <w:tab/>
        <w:t>Дальнейшие соображения секретариата</w:t>
      </w:r>
    </w:p>
    <w:p w:rsidR="00E01CCC" w:rsidRPr="00E01CCC" w:rsidRDefault="00E01CCC" w:rsidP="00E01CCC">
      <w:pPr>
        <w:pStyle w:val="SingleTxtGR"/>
      </w:pPr>
      <w:r w:rsidRPr="00E01CCC">
        <w:t>7.</w:t>
      </w:r>
      <w:r w:rsidRPr="00E01CCC">
        <w:tab/>
        <w:t xml:space="preserve">Как указано выше, действующие правила процедуры </w:t>
      </w:r>
      <w:r w:rsidRPr="00E01CCC">
        <w:rPr>
          <w:lang w:val="en-GB"/>
        </w:rPr>
        <w:t>WP</w:t>
      </w:r>
      <w:r w:rsidRPr="00E01CCC">
        <w:t xml:space="preserve">.29 ограничивают участие наблюдателей. С одной стороны, они обеспечивают правовую основу для недопущения участия тех НПО, деятельность которых не имеет отношения к работе </w:t>
      </w:r>
      <w:r w:rsidRPr="00E01CCC">
        <w:rPr>
          <w:lang w:val="en-GB"/>
        </w:rPr>
        <w:t>WP</w:t>
      </w:r>
      <w:r w:rsidRPr="00E01CCC">
        <w:t xml:space="preserve">.29, а также компаний и отдельных лиц, таких как изобретатели и владельцы патентов, которые желают продвинуть свою продукцию. С другой стороны, они ограничивают право </w:t>
      </w:r>
      <w:r w:rsidRPr="00E01CCC">
        <w:rPr>
          <w:lang w:val="en-GB"/>
        </w:rPr>
        <w:t>WP</w:t>
      </w:r>
      <w:r w:rsidRPr="00E01CCC">
        <w:t>.29 приглашать организации и экспертов, которые могли бы внести вклад в его работу. В этом контексте следует отметить, что участие по приглашению Председателя или секретариата не имеет под собой юридических оснований и может вызвать жалобы со стороны тех организаций, которым такие приглашения не направлены.</w:t>
      </w:r>
    </w:p>
    <w:p w:rsidR="00E01CCC" w:rsidRPr="00E01CCC" w:rsidRDefault="00E01CCC" w:rsidP="00E01CCC">
      <w:pPr>
        <w:pStyle w:val="SingleTxtGR"/>
      </w:pPr>
      <w:r w:rsidRPr="00E01CCC">
        <w:t>8.</w:t>
      </w:r>
      <w:r w:rsidRPr="00E01CCC">
        <w:tab/>
        <w:t xml:space="preserve">Если </w:t>
      </w:r>
      <w:r w:rsidRPr="00E01CCC">
        <w:rPr>
          <w:lang w:val="en-GB"/>
        </w:rPr>
        <w:t>WP</w:t>
      </w:r>
      <w:r w:rsidRPr="00E01CCC">
        <w:t xml:space="preserve">.29 желает обладать большей гибкостью, он должен изменить свои ПП, прямо разрешив НПО участвовать в совещаниях на консультативных началах при условии предварительного одобрения </w:t>
      </w:r>
      <w:r w:rsidRPr="00E01CCC">
        <w:rPr>
          <w:lang w:val="en-GB"/>
        </w:rPr>
        <w:t>WP</w:t>
      </w:r>
      <w:r w:rsidRPr="00E01CCC">
        <w:t xml:space="preserve">.29. Для получения такого одобрения можно было бы предусмотреть, что заявитель должен представить секретариату в письменном виде заявку, в которой должны быть указаны пункт(ы) повестки дня, в рамках которого(ых) заявитель хотел бы внести свой вклад, и содержаться обязательство соблюдать принципы, изложенные в резолюции 1996/31 ЭКОСОС. Затем заявка должна быть рассмотрена </w:t>
      </w:r>
      <w:r w:rsidRPr="00E01CCC">
        <w:rPr>
          <w:lang w:val="en-GB"/>
        </w:rPr>
        <w:t>WP</w:t>
      </w:r>
      <w:r w:rsidRPr="00E01CCC">
        <w:t xml:space="preserve">.29 и/или </w:t>
      </w:r>
      <w:r w:rsidRPr="00E01CCC">
        <w:rPr>
          <w:lang w:val="en-GB"/>
        </w:rPr>
        <w:t>AC</w:t>
      </w:r>
      <w:r w:rsidRPr="00E01CCC">
        <w:t xml:space="preserve">.2 при первой возможности, и должно быть принято решение о том, разрешить или не разрешить заявителю присутствовать в зале заседаний. В случае одобрения должно быть указано, на какой срок оно предоставлено. </w:t>
      </w:r>
    </w:p>
    <w:p w:rsidR="00E01CCC" w:rsidRPr="00E01CCC" w:rsidRDefault="00E01CCC" w:rsidP="00E01CCC">
      <w:pPr>
        <w:pStyle w:val="SingleTxtGR"/>
      </w:pPr>
      <w:r w:rsidRPr="00E01CCC">
        <w:t>9.</w:t>
      </w:r>
      <w:r w:rsidRPr="00E01CCC">
        <w:tab/>
        <w:t xml:space="preserve">Пока еще неясно, пожелает ли </w:t>
      </w:r>
      <w:r w:rsidRPr="00E01CCC">
        <w:rPr>
          <w:lang w:val="en-GB"/>
        </w:rPr>
        <w:t>WP</w:t>
      </w:r>
      <w:r w:rsidRPr="00E01CCC">
        <w:t xml:space="preserve">.29 принимать решения в каждом отдельном случае или же выработать строгие дополнительные условия. В этом отношении резолюция 1996/31 ЭКОСОС уже предусматривает всеобъемлющий свод принципов для механизма консультаций с НПО. Введение еще одной бюрократической процедуры могло бы привести к большим затратам времени на проверку соблюдения условий и вновь ограничить гибкость </w:t>
      </w:r>
      <w:r w:rsidRPr="00E01CCC">
        <w:rPr>
          <w:lang w:val="en-GB"/>
        </w:rPr>
        <w:t>WP</w:t>
      </w:r>
      <w:r w:rsidRPr="00E01CCC">
        <w:t>.29 в принятии решений в нестандартных ситуациях.</w:t>
      </w:r>
    </w:p>
    <w:p w:rsidR="00E01CCC" w:rsidRPr="00E01CCC" w:rsidRDefault="00E01CCC" w:rsidP="00E01CCC">
      <w:pPr>
        <w:pStyle w:val="SingleTxtGR"/>
      </w:pPr>
      <w:r w:rsidRPr="00E01CCC">
        <w:t>10.</w:t>
      </w:r>
      <w:r w:rsidRPr="00E01CCC">
        <w:tab/>
        <w:t>Что касается участия экспертов в инди</w:t>
      </w:r>
      <w:r w:rsidR="00EC108D">
        <w:t>видуальном качестве, то правило</w:t>
      </w:r>
      <w:r w:rsidR="00EC108D">
        <w:rPr>
          <w:lang w:val="en-US"/>
        </w:rPr>
        <w:t> </w:t>
      </w:r>
      <w:r w:rsidRPr="00E01CCC">
        <w:t xml:space="preserve">30 ПП </w:t>
      </w:r>
      <w:r w:rsidRPr="00E01CCC">
        <w:rPr>
          <w:lang w:val="en-GB"/>
        </w:rPr>
        <w:t>WP</w:t>
      </w:r>
      <w:r w:rsidRPr="00E01CCC">
        <w:t>.29 предусматривает, что «</w:t>
      </w:r>
      <w:r w:rsidRPr="00E01CCC">
        <w:rPr>
          <w:lang w:val="en-GB"/>
        </w:rPr>
        <w:t>AC</w:t>
      </w:r>
      <w:r w:rsidRPr="00E01CCC">
        <w:t xml:space="preserve">.2 может приглашать других лиц для участия в своей работе с консультативным статусом». Данное положение можно было бы также распространить на участие в сессиях </w:t>
      </w:r>
      <w:r w:rsidRPr="00E01CCC">
        <w:rPr>
          <w:lang w:val="en-GB"/>
        </w:rPr>
        <w:t>WP</w:t>
      </w:r>
      <w:r w:rsidRPr="00E01CCC">
        <w:t>.29.</w:t>
      </w:r>
    </w:p>
    <w:p w:rsidR="00E01CCC" w:rsidRPr="00E01CCC" w:rsidRDefault="00E01CCC" w:rsidP="00E01CCC">
      <w:pPr>
        <w:pStyle w:val="HChGR"/>
      </w:pPr>
      <w:r w:rsidRPr="00E01CCC">
        <w:tab/>
      </w:r>
      <w:r w:rsidRPr="00E01CCC">
        <w:rPr>
          <w:lang w:val="en-GB"/>
        </w:rPr>
        <w:t>IV</w:t>
      </w:r>
      <w:r w:rsidRPr="00E01CCC">
        <w:t>.</w:t>
      </w:r>
      <w:r w:rsidRPr="00E01CCC">
        <w:tab/>
        <w:t xml:space="preserve">Мнения </w:t>
      </w:r>
      <w:r w:rsidRPr="00E01CCC">
        <w:rPr>
          <w:lang w:val="en-GB"/>
        </w:rPr>
        <w:t>AC</w:t>
      </w:r>
      <w:r w:rsidRPr="00E01CCC">
        <w:t>.2</w:t>
      </w:r>
    </w:p>
    <w:p w:rsidR="00E01CCC" w:rsidRPr="00E01CCC" w:rsidRDefault="00E01CCC" w:rsidP="00E01CCC">
      <w:pPr>
        <w:pStyle w:val="SingleTxtGR"/>
      </w:pPr>
      <w:r w:rsidRPr="00E01CCC">
        <w:t>11.</w:t>
      </w:r>
      <w:r w:rsidRPr="00E01CCC">
        <w:tab/>
        <w:t xml:space="preserve">На своих 122-й и 123-й сессиях </w:t>
      </w:r>
      <w:r w:rsidRPr="00E01CCC">
        <w:rPr>
          <w:lang w:val="en-GB"/>
        </w:rPr>
        <w:t>AC</w:t>
      </w:r>
      <w:r w:rsidRPr="00E01CCC">
        <w:t xml:space="preserve">.2 поднял ряд вопросов с целью обеспечить равное обращение с наблюдателями и создать четкую правовую основу для их участия в сессиях </w:t>
      </w:r>
      <w:r w:rsidRPr="00E01CCC">
        <w:rPr>
          <w:lang w:val="en-GB"/>
        </w:rPr>
        <w:t>WP</w:t>
      </w:r>
      <w:r w:rsidRPr="00E01CCC">
        <w:t xml:space="preserve">.29. На своей 124-й сессии </w:t>
      </w:r>
      <w:r w:rsidRPr="00E01CCC">
        <w:rPr>
          <w:lang w:val="en-GB"/>
        </w:rPr>
        <w:t>AC</w:t>
      </w:r>
      <w:r w:rsidRPr="00E01CCC">
        <w:t xml:space="preserve">.2 вновь заявил о необходимости повышения транспарентности работы </w:t>
      </w:r>
      <w:r w:rsidRPr="00E01CCC">
        <w:rPr>
          <w:lang w:val="en-GB"/>
        </w:rPr>
        <w:t>WP</w:t>
      </w:r>
      <w:r w:rsidRPr="00E01CCC">
        <w:t xml:space="preserve">.29 и подчеркнул, что процедура одобрения участия наблюдателей должна осуществляться в возможно короткие сроки. </w:t>
      </w:r>
      <w:r w:rsidRPr="00E01CCC">
        <w:rPr>
          <w:lang w:val="en-GB"/>
        </w:rPr>
        <w:t>AC</w:t>
      </w:r>
      <w:r w:rsidRPr="00E01CCC">
        <w:t>.2 также в принципе согласился с подходами, изложенными в пунктах 8 и 10 выше.</w:t>
      </w:r>
    </w:p>
    <w:p w:rsidR="00E01CCC" w:rsidRPr="00E01CCC" w:rsidRDefault="00E01CCC" w:rsidP="00E01CCC">
      <w:pPr>
        <w:pStyle w:val="HChGR"/>
      </w:pPr>
      <w:r w:rsidRPr="00E01CCC">
        <w:tab/>
      </w:r>
      <w:r w:rsidRPr="00E01CCC">
        <w:rPr>
          <w:lang w:val="en-GB"/>
        </w:rPr>
        <w:t>V</w:t>
      </w:r>
      <w:r w:rsidRPr="00E01CCC">
        <w:t>.</w:t>
      </w:r>
      <w:r w:rsidRPr="00E01CCC">
        <w:tab/>
        <w:t>Предложение</w:t>
      </w:r>
    </w:p>
    <w:p w:rsidR="00E01CCC" w:rsidRPr="00E01CCC" w:rsidRDefault="00E01CCC" w:rsidP="00E01CCC">
      <w:pPr>
        <w:pStyle w:val="SingleTxtGR"/>
      </w:pPr>
      <w:r w:rsidRPr="00E01CCC">
        <w:t>12.</w:t>
      </w:r>
      <w:r w:rsidRPr="00E01CCC">
        <w:tab/>
        <w:t xml:space="preserve">На основании вышеизложенных соображений предлагаются следующие поправки к правилам процедуры </w:t>
      </w:r>
      <w:r w:rsidRPr="00E01CCC">
        <w:rPr>
          <w:lang w:val="en-GB"/>
        </w:rPr>
        <w:t>WP</w:t>
      </w:r>
      <w:r w:rsidRPr="00E01CCC">
        <w:t>.29:</w:t>
      </w:r>
    </w:p>
    <w:p w:rsidR="00E01CCC" w:rsidRPr="00E01CCC" w:rsidRDefault="00E01CCC" w:rsidP="00E01CCC">
      <w:pPr>
        <w:pStyle w:val="SingleTxtGR"/>
      </w:pPr>
      <w:r w:rsidRPr="00E01CCC">
        <w:rPr>
          <w:i/>
        </w:rPr>
        <w:t>Правило 1,</w:t>
      </w:r>
      <w:r w:rsidRPr="00E01CCC">
        <w:t xml:space="preserve"> добавить новые подпункты </w:t>
      </w:r>
      <w:r w:rsidRPr="00E01CCC">
        <w:rPr>
          <w:lang w:val="en-GB"/>
        </w:rPr>
        <w:t>d</w:t>
      </w:r>
      <w:r w:rsidRPr="00E01CCC">
        <w:t xml:space="preserve">) и </w:t>
      </w:r>
      <w:r w:rsidRPr="00E01CCC">
        <w:rPr>
          <w:lang w:val="en-GB"/>
        </w:rPr>
        <w:t>e</w:t>
      </w:r>
      <w:r w:rsidRPr="00E01CCC">
        <w:t>) следующего содержания:</w:t>
      </w:r>
    </w:p>
    <w:p w:rsidR="00E01CCC" w:rsidRPr="00E01CCC" w:rsidRDefault="00E01CCC" w:rsidP="00E01CCC">
      <w:pPr>
        <w:pStyle w:val="SingleTxtGR"/>
        <w:ind w:left="1701" w:hanging="567"/>
      </w:pPr>
      <w:r w:rsidRPr="00EC108D">
        <w:rPr>
          <w:b/>
        </w:rPr>
        <w:tab/>
      </w:r>
      <w:r w:rsidRPr="00EC108D">
        <w:rPr>
          <w:b/>
        </w:rPr>
        <w:tab/>
      </w:r>
      <w:r w:rsidRPr="00EC108D">
        <w:t>«</w:t>
      </w:r>
      <w:r w:rsidRPr="00E01CCC">
        <w:rPr>
          <w:b/>
          <w:lang w:val="en-GB"/>
        </w:rPr>
        <w:t>d</w:t>
      </w:r>
      <w:r w:rsidRPr="00E01CCC">
        <w:rPr>
          <w:b/>
        </w:rPr>
        <w:t>)</w:t>
      </w:r>
      <w:r w:rsidRPr="00E01CCC">
        <w:rPr>
          <w:b/>
        </w:rPr>
        <w:tab/>
        <w:t>Неправительственные организации (НПО), которым Экономическим и Социальным Советом не предоставлен консультативный статус, при условии предварительного одобрения Административным комитетом по координации работы (</w:t>
      </w:r>
      <w:r w:rsidRPr="00E01CCC">
        <w:rPr>
          <w:b/>
          <w:lang w:val="en-GB"/>
        </w:rPr>
        <w:t>WP</w:t>
      </w:r>
      <w:r w:rsidRPr="00E01CCC">
        <w:rPr>
          <w:b/>
        </w:rPr>
        <w:t>.29/</w:t>
      </w:r>
      <w:r w:rsidRPr="00E01CCC">
        <w:rPr>
          <w:b/>
          <w:lang w:val="en-GB"/>
        </w:rPr>
        <w:t>AC</w:t>
      </w:r>
      <w:r w:rsidRPr="00E01CCC">
        <w:rPr>
          <w:b/>
        </w:rPr>
        <w:t>.2) могут участвовать на консультативных началах.</w:t>
      </w:r>
      <w:r w:rsidRPr="00E01CCC">
        <w:t xml:space="preserve"> </w:t>
      </w:r>
      <w:r w:rsidRPr="00E01CCC">
        <w:rPr>
          <w:b/>
        </w:rPr>
        <w:t xml:space="preserve">Для получения одобрения </w:t>
      </w:r>
      <w:r w:rsidRPr="00E01CCC">
        <w:rPr>
          <w:b/>
        </w:rPr>
        <w:lastRenderedPageBreak/>
        <w:t>НПО представляет секретариату заявку в письменном виде.</w:t>
      </w:r>
      <w:r w:rsidRPr="00E01CCC">
        <w:t xml:space="preserve"> </w:t>
      </w:r>
      <w:r w:rsidRPr="00E01CCC">
        <w:rPr>
          <w:b/>
        </w:rPr>
        <w:t>В заявке содержится обязательство соблюдать принципы, изложенные в резолюции 1996/31 ЭКОСОС, и указываются номер(а) сессии(й)</w:t>
      </w:r>
      <w:r w:rsidRPr="00E01CCC">
        <w:t xml:space="preserve"> </w:t>
      </w:r>
      <w:r w:rsidRPr="00E01CCC">
        <w:rPr>
          <w:b/>
          <w:lang w:val="en-GB"/>
        </w:rPr>
        <w:t>WP</w:t>
      </w:r>
      <w:r w:rsidRPr="00E01CCC">
        <w:rPr>
          <w:b/>
        </w:rPr>
        <w:t>.29 и пункт(ы) повестки дня, в рамках которого(ых) данная НПО</w:t>
      </w:r>
      <w:r w:rsidRPr="00E01CCC">
        <w:t xml:space="preserve"> </w:t>
      </w:r>
      <w:r w:rsidRPr="00E01CCC">
        <w:rPr>
          <w:b/>
        </w:rPr>
        <w:t xml:space="preserve">была бы готова внести вклад. Секретариат передает такие заявки первой предстоящей сессии </w:t>
      </w:r>
      <w:r w:rsidRPr="00E01CCC">
        <w:rPr>
          <w:b/>
          <w:lang w:val="en-GB"/>
        </w:rPr>
        <w:t>WP</w:t>
      </w:r>
      <w:r w:rsidRPr="00E01CCC">
        <w:rPr>
          <w:b/>
        </w:rPr>
        <w:t>.29/</w:t>
      </w:r>
      <w:r w:rsidRPr="00E01CCC">
        <w:rPr>
          <w:b/>
          <w:lang w:val="en-GB"/>
        </w:rPr>
        <w:t>AC</w:t>
      </w:r>
      <w:r w:rsidRPr="00E01CCC">
        <w:rPr>
          <w:b/>
        </w:rPr>
        <w:t xml:space="preserve">.2. </w:t>
      </w:r>
      <w:r w:rsidRPr="00E01CCC">
        <w:rPr>
          <w:b/>
          <w:lang w:val="en-GB"/>
        </w:rPr>
        <w:t>WP</w:t>
      </w:r>
      <w:r w:rsidRPr="00E01CCC">
        <w:rPr>
          <w:b/>
        </w:rPr>
        <w:t>.29/</w:t>
      </w:r>
      <w:r w:rsidRPr="00E01CCC">
        <w:rPr>
          <w:b/>
          <w:lang w:val="en-GB"/>
        </w:rPr>
        <w:t>AC</w:t>
      </w:r>
      <w:r w:rsidRPr="00E01CCC">
        <w:rPr>
          <w:b/>
        </w:rPr>
        <w:t xml:space="preserve">.2 рассматривает каждую новую заявку, полученную со времени проведения его предыдущей сессии, и принимает решение о том, можно ли предоставить одобрение. В случае предоставления одобрения в нем указываются срок действия и соответствующие номера сессий </w:t>
      </w:r>
      <w:r w:rsidRPr="00E01CCC">
        <w:rPr>
          <w:b/>
          <w:lang w:val="en-GB"/>
        </w:rPr>
        <w:t>WP</w:t>
      </w:r>
      <w:r w:rsidRPr="00E01CCC">
        <w:rPr>
          <w:b/>
        </w:rPr>
        <w:t>.29.</w:t>
      </w:r>
    </w:p>
    <w:p w:rsidR="00E01CCC" w:rsidRPr="00E01CCC" w:rsidRDefault="00E01CCC" w:rsidP="00E01CCC">
      <w:pPr>
        <w:pStyle w:val="SingleTxtGR"/>
        <w:ind w:left="1701" w:hanging="567"/>
        <w:rPr>
          <w:b/>
        </w:rPr>
      </w:pPr>
      <w:r w:rsidRPr="00EC108D">
        <w:rPr>
          <w:b/>
        </w:rPr>
        <w:tab/>
      </w:r>
      <w:r w:rsidRPr="00EC108D">
        <w:rPr>
          <w:b/>
        </w:rPr>
        <w:tab/>
      </w:r>
      <w:r w:rsidRPr="00E01CCC">
        <w:rPr>
          <w:b/>
          <w:lang w:val="en-GB"/>
        </w:rPr>
        <w:t>e</w:t>
      </w:r>
      <w:r w:rsidRPr="00E01CCC">
        <w:rPr>
          <w:b/>
        </w:rPr>
        <w:t>)</w:t>
      </w:r>
      <w:r w:rsidRPr="00E01CCC">
        <w:rPr>
          <w:b/>
        </w:rPr>
        <w:tab/>
      </w:r>
      <w:r w:rsidRPr="00E01CCC">
        <w:rPr>
          <w:b/>
          <w:lang w:val="en-GB"/>
        </w:rPr>
        <w:t>WP</w:t>
      </w:r>
      <w:r w:rsidRPr="00E01CCC">
        <w:rPr>
          <w:b/>
        </w:rPr>
        <w:t>.29 может, через своего Председателя, приглашать других лиц участвовать в своих сессиях на консультативных началах</w:t>
      </w:r>
      <w:r w:rsidRPr="00E01CCC">
        <w:t>».</w:t>
      </w:r>
    </w:p>
    <w:p w:rsidR="00E01CCC" w:rsidRPr="00E01CCC" w:rsidRDefault="00E01CCC" w:rsidP="00E01CCC">
      <w:pPr>
        <w:pStyle w:val="SingleTxtGR"/>
      </w:pPr>
      <w:r w:rsidRPr="00E01CCC">
        <w:t>13.</w:t>
      </w:r>
      <w:r w:rsidRPr="00E01CCC">
        <w:tab/>
        <w:t>Всемирному форуму предлагается рассмотреть приведенные выше предложения и дать секретариату соответствующие указания.</w:t>
      </w:r>
    </w:p>
    <w:p w:rsidR="00E12C5F" w:rsidRPr="00E01CCC" w:rsidRDefault="00E01CCC" w:rsidP="00E01CC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01CCC" w:rsidSect="00E01CC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63" w:rsidRPr="00A312BC" w:rsidRDefault="001A6D63" w:rsidP="00A312BC"/>
  </w:endnote>
  <w:endnote w:type="continuationSeparator" w:id="0">
    <w:p w:rsidR="001A6D63" w:rsidRPr="00A312BC" w:rsidRDefault="001A6D6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CC" w:rsidRPr="00E01CCC" w:rsidRDefault="00E01CCC">
    <w:pPr>
      <w:pStyle w:val="Footer"/>
    </w:pPr>
    <w:r w:rsidRPr="00E01CCC">
      <w:rPr>
        <w:b/>
        <w:sz w:val="18"/>
      </w:rPr>
      <w:fldChar w:fldCharType="begin"/>
    </w:r>
    <w:r w:rsidRPr="00E01CCC">
      <w:rPr>
        <w:b/>
        <w:sz w:val="18"/>
      </w:rPr>
      <w:instrText xml:space="preserve"> PAGE  \* MERGEFORMAT </w:instrText>
    </w:r>
    <w:r w:rsidRPr="00E01CCC">
      <w:rPr>
        <w:b/>
        <w:sz w:val="18"/>
      </w:rPr>
      <w:fldChar w:fldCharType="separate"/>
    </w:r>
    <w:r w:rsidR="005D5EBF">
      <w:rPr>
        <w:b/>
        <w:noProof/>
        <w:sz w:val="18"/>
      </w:rPr>
      <w:t>2</w:t>
    </w:r>
    <w:r w:rsidRPr="00E01CCC">
      <w:rPr>
        <w:b/>
        <w:sz w:val="18"/>
      </w:rPr>
      <w:fldChar w:fldCharType="end"/>
    </w:r>
    <w:r>
      <w:rPr>
        <w:b/>
        <w:sz w:val="18"/>
      </w:rPr>
      <w:tab/>
    </w:r>
    <w:r>
      <w:t>GE.17-15372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CC" w:rsidRPr="00E01CCC" w:rsidRDefault="00E01CCC" w:rsidP="00E01CCC">
    <w:pPr>
      <w:pStyle w:val="Footer"/>
      <w:tabs>
        <w:tab w:val="clear" w:pos="9639"/>
        <w:tab w:val="right" w:pos="9638"/>
      </w:tabs>
      <w:rPr>
        <w:b/>
        <w:sz w:val="18"/>
      </w:rPr>
    </w:pPr>
    <w:r>
      <w:t>GE.17-15372</w:t>
    </w:r>
    <w:r>
      <w:tab/>
    </w:r>
    <w:r w:rsidRPr="00E01CCC">
      <w:rPr>
        <w:b/>
        <w:sz w:val="18"/>
      </w:rPr>
      <w:fldChar w:fldCharType="begin"/>
    </w:r>
    <w:r w:rsidRPr="00E01CCC">
      <w:rPr>
        <w:b/>
        <w:sz w:val="18"/>
      </w:rPr>
      <w:instrText xml:space="preserve"> PAGE  \* MERGEFORMAT </w:instrText>
    </w:r>
    <w:r w:rsidRPr="00E01CCC">
      <w:rPr>
        <w:b/>
        <w:sz w:val="18"/>
      </w:rPr>
      <w:fldChar w:fldCharType="separate"/>
    </w:r>
    <w:r w:rsidR="005D5EBF">
      <w:rPr>
        <w:b/>
        <w:noProof/>
        <w:sz w:val="18"/>
      </w:rPr>
      <w:t>3</w:t>
    </w:r>
    <w:r w:rsidRPr="00E01C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01CCC" w:rsidRDefault="00E01CCC" w:rsidP="00E01CCC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2A1C1C1" wp14:editId="5292E02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17-15372  (R)</w:t>
    </w:r>
    <w:r>
      <w:rPr>
        <w:lang w:val="en-US"/>
      </w:rPr>
      <w:t xml:space="preserve">   220917  220917</w:t>
    </w:r>
    <w:r>
      <w:br/>
    </w:r>
    <w:r w:rsidRPr="00E01CCC">
      <w:rPr>
        <w:rFonts w:ascii="C39T30Lfz" w:hAnsi="C39T30Lfz"/>
        <w:spacing w:val="0"/>
        <w:w w:val="100"/>
        <w:sz w:val="56"/>
      </w:rPr>
      <w:t></w:t>
    </w:r>
    <w:r w:rsidRPr="00E01CCC">
      <w:rPr>
        <w:rFonts w:ascii="C39T30Lfz" w:hAnsi="C39T30Lfz"/>
        <w:spacing w:val="0"/>
        <w:w w:val="100"/>
        <w:sz w:val="56"/>
      </w:rPr>
      <w:t></w:t>
    </w:r>
    <w:r w:rsidRPr="00E01CCC">
      <w:rPr>
        <w:rFonts w:ascii="C39T30Lfz" w:hAnsi="C39T30Lfz"/>
        <w:spacing w:val="0"/>
        <w:w w:val="100"/>
        <w:sz w:val="56"/>
      </w:rPr>
      <w:t></w:t>
    </w:r>
    <w:r w:rsidRPr="00E01CCC">
      <w:rPr>
        <w:rFonts w:ascii="C39T30Lfz" w:hAnsi="C39T30Lfz"/>
        <w:spacing w:val="0"/>
        <w:w w:val="100"/>
        <w:sz w:val="56"/>
      </w:rPr>
      <w:t></w:t>
    </w:r>
    <w:r w:rsidRPr="00E01CCC">
      <w:rPr>
        <w:rFonts w:ascii="C39T30Lfz" w:hAnsi="C39T30Lfz"/>
        <w:spacing w:val="0"/>
        <w:w w:val="100"/>
        <w:sz w:val="56"/>
      </w:rPr>
      <w:t></w:t>
    </w:r>
    <w:r w:rsidRPr="00E01CCC">
      <w:rPr>
        <w:rFonts w:ascii="C39T30Lfz" w:hAnsi="C39T30Lfz"/>
        <w:spacing w:val="0"/>
        <w:w w:val="100"/>
        <w:sz w:val="56"/>
      </w:rPr>
      <w:t></w:t>
    </w:r>
    <w:r w:rsidRPr="00E01CCC">
      <w:rPr>
        <w:rFonts w:ascii="C39T30Lfz" w:hAnsi="C39T30Lfz"/>
        <w:spacing w:val="0"/>
        <w:w w:val="100"/>
        <w:sz w:val="56"/>
      </w:rPr>
      <w:t></w:t>
    </w:r>
    <w:r w:rsidRPr="00E01CCC">
      <w:rPr>
        <w:rFonts w:ascii="C39T30Lfz" w:hAnsi="C39T30Lfz"/>
        <w:spacing w:val="0"/>
        <w:w w:val="100"/>
        <w:sz w:val="56"/>
      </w:rPr>
      <w:t></w:t>
    </w:r>
    <w:r w:rsidRPr="00E01CC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7/13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3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63" w:rsidRPr="001075E9" w:rsidRDefault="001A6D6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6D63" w:rsidRDefault="001A6D6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01CCC" w:rsidRPr="005A1645" w:rsidRDefault="00E01CCC" w:rsidP="00E01CCC">
      <w:pPr>
        <w:pStyle w:val="FootnoteText"/>
        <w:rPr>
          <w:lang w:val="ru-RU"/>
        </w:rPr>
      </w:pPr>
      <w:r>
        <w:tab/>
      </w:r>
      <w:r w:rsidRPr="00E01CCC">
        <w:rPr>
          <w:rStyle w:val="FootnoteReference"/>
          <w:sz w:val="20"/>
          <w:vertAlign w:val="baseline"/>
          <w:lang w:val="ru-RU"/>
        </w:rPr>
        <w:t>*</w:t>
      </w:r>
      <w:r w:rsidRPr="00E01CCC">
        <w:rPr>
          <w:lang w:val="ru-RU"/>
        </w:rPr>
        <w:t xml:space="preserve"> </w:t>
      </w:r>
      <w:r w:rsidRPr="005A1645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CC" w:rsidRPr="00E01CCC" w:rsidRDefault="00C508A2">
    <w:pPr>
      <w:pStyle w:val="Header"/>
    </w:pPr>
    <w:fldSimple w:instr=" TITLE  \* MERGEFORMAT ">
      <w:r w:rsidR="005D5EBF">
        <w:t>ECE/TRANS/WP.29/2017/137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CC" w:rsidRPr="00E01CCC" w:rsidRDefault="00C508A2" w:rsidP="00E01CCC">
    <w:pPr>
      <w:pStyle w:val="Header"/>
      <w:jc w:val="right"/>
    </w:pPr>
    <w:fldSimple w:instr=" TITLE  \* MERGEFORMAT ">
      <w:r w:rsidR="005D5EBF">
        <w:t>ECE/TRANS/WP.29/2017/137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6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6D63"/>
    <w:rsid w:val="001B3EF6"/>
    <w:rsid w:val="001C7A89"/>
    <w:rsid w:val="001D5DB9"/>
    <w:rsid w:val="00255343"/>
    <w:rsid w:val="0027151D"/>
    <w:rsid w:val="002A2EFC"/>
    <w:rsid w:val="002B0106"/>
    <w:rsid w:val="002B49AB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5EBF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44DD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08A2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01CCC"/>
    <w:rsid w:val="00E12C5F"/>
    <w:rsid w:val="00E73F76"/>
    <w:rsid w:val="00EA2C9F"/>
    <w:rsid w:val="00EA420E"/>
    <w:rsid w:val="00EC108D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1E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8E8DEAA-29F3-4F56-B8AB-C0AD9EDC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E01CCC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E01CC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E01CCC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locked/>
    <w:rsid w:val="00E01CC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ECE/TRANS/WP.29/2017/137</vt:lpstr>
      <vt:lpstr>ECE/TRANS/WP.29/2017/137</vt:lpstr>
      <vt:lpstr>A/</vt:lpstr>
    </vt:vector>
  </TitlesOfParts>
  <Company>DCM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ECE/TRANS/WP.29/2017/137</dc:title>
  <dc:subject/>
  <dc:creator>Anna Blagodatskikh</dc:creator>
  <cp:keywords/>
  <cp:lastModifiedBy>Marie-Claude Collet</cp:lastModifiedBy>
  <cp:revision>3</cp:revision>
  <cp:lastPrinted>2017-09-26T13:11:00Z</cp:lastPrinted>
  <dcterms:created xsi:type="dcterms:W3CDTF">2017-09-26T13:11:00Z</dcterms:created>
  <dcterms:modified xsi:type="dcterms:W3CDTF">2017-09-26T13:25:00Z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