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1442C7" w:rsidTr="00C97039">
        <w:trPr>
          <w:trHeight w:hRule="exact" w:val="851"/>
        </w:trPr>
        <w:tc>
          <w:tcPr>
            <w:tcW w:w="1276" w:type="dxa"/>
            <w:tcBorders>
              <w:bottom w:val="single" w:sz="4" w:space="0" w:color="auto"/>
            </w:tcBorders>
          </w:tcPr>
          <w:p w:rsidR="00F35BAF" w:rsidRPr="001442C7" w:rsidRDefault="00F35BAF" w:rsidP="005253B2">
            <w:bookmarkStart w:id="0" w:name="_GoBack"/>
            <w:bookmarkEnd w:id="0"/>
          </w:p>
        </w:tc>
        <w:tc>
          <w:tcPr>
            <w:tcW w:w="2268" w:type="dxa"/>
            <w:tcBorders>
              <w:bottom w:val="single" w:sz="4" w:space="0" w:color="auto"/>
            </w:tcBorders>
            <w:vAlign w:val="bottom"/>
          </w:tcPr>
          <w:p w:rsidR="00F35BAF" w:rsidRPr="001442C7" w:rsidRDefault="00F35BAF" w:rsidP="00C97039">
            <w:pPr>
              <w:spacing w:after="80" w:line="300" w:lineRule="exact"/>
              <w:rPr>
                <w:sz w:val="28"/>
              </w:rPr>
            </w:pPr>
            <w:r w:rsidRPr="001442C7">
              <w:rPr>
                <w:sz w:val="28"/>
              </w:rPr>
              <w:t>Nations Unies</w:t>
            </w:r>
          </w:p>
        </w:tc>
        <w:tc>
          <w:tcPr>
            <w:tcW w:w="6095" w:type="dxa"/>
            <w:gridSpan w:val="2"/>
            <w:tcBorders>
              <w:bottom w:val="single" w:sz="4" w:space="0" w:color="auto"/>
            </w:tcBorders>
            <w:vAlign w:val="bottom"/>
          </w:tcPr>
          <w:p w:rsidR="00F35BAF" w:rsidRPr="001442C7" w:rsidRDefault="005253B2" w:rsidP="005253B2">
            <w:pPr>
              <w:jc w:val="right"/>
            </w:pPr>
            <w:r w:rsidRPr="001442C7">
              <w:rPr>
                <w:sz w:val="40"/>
              </w:rPr>
              <w:t>ECE</w:t>
            </w:r>
            <w:r w:rsidRPr="001442C7">
              <w:t>/TRANS/WP.29/2017/124</w:t>
            </w:r>
          </w:p>
        </w:tc>
      </w:tr>
      <w:tr w:rsidR="00F35BAF" w:rsidRPr="001442C7" w:rsidTr="00C97039">
        <w:trPr>
          <w:trHeight w:hRule="exact" w:val="2835"/>
        </w:trPr>
        <w:tc>
          <w:tcPr>
            <w:tcW w:w="1276" w:type="dxa"/>
            <w:tcBorders>
              <w:top w:val="single" w:sz="4" w:space="0" w:color="auto"/>
              <w:bottom w:val="single" w:sz="12" w:space="0" w:color="auto"/>
            </w:tcBorders>
          </w:tcPr>
          <w:p w:rsidR="00F35BAF" w:rsidRPr="001442C7" w:rsidRDefault="00F35BAF" w:rsidP="00C97039">
            <w:pPr>
              <w:spacing w:before="120"/>
              <w:jc w:val="center"/>
            </w:pPr>
            <w:r w:rsidRPr="001442C7">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1442C7" w:rsidRDefault="00F35BAF" w:rsidP="00C97039">
            <w:pPr>
              <w:spacing w:before="120" w:line="420" w:lineRule="exact"/>
              <w:rPr>
                <w:b/>
                <w:sz w:val="40"/>
                <w:szCs w:val="40"/>
              </w:rPr>
            </w:pPr>
            <w:r w:rsidRPr="001442C7">
              <w:rPr>
                <w:b/>
                <w:sz w:val="40"/>
                <w:szCs w:val="40"/>
              </w:rPr>
              <w:t>Conseil économique et social</w:t>
            </w:r>
          </w:p>
        </w:tc>
        <w:tc>
          <w:tcPr>
            <w:tcW w:w="2835" w:type="dxa"/>
            <w:tcBorders>
              <w:top w:val="single" w:sz="4" w:space="0" w:color="auto"/>
              <w:bottom w:val="single" w:sz="12" w:space="0" w:color="auto"/>
            </w:tcBorders>
          </w:tcPr>
          <w:p w:rsidR="00F35BAF" w:rsidRPr="001442C7" w:rsidRDefault="005253B2" w:rsidP="00C97039">
            <w:pPr>
              <w:spacing w:before="240"/>
            </w:pPr>
            <w:r w:rsidRPr="001442C7">
              <w:t xml:space="preserve">Distr. </w:t>
            </w:r>
            <w:proofErr w:type="gramStart"/>
            <w:r w:rsidRPr="001442C7">
              <w:t>générale</w:t>
            </w:r>
            <w:proofErr w:type="gramEnd"/>
          </w:p>
          <w:p w:rsidR="005253B2" w:rsidRPr="001442C7" w:rsidRDefault="005253B2" w:rsidP="005253B2">
            <w:pPr>
              <w:spacing w:line="240" w:lineRule="exact"/>
            </w:pPr>
            <w:r w:rsidRPr="001442C7">
              <w:t>23 août 2017</w:t>
            </w:r>
          </w:p>
          <w:p w:rsidR="005253B2" w:rsidRPr="001442C7" w:rsidRDefault="005253B2" w:rsidP="005253B2">
            <w:pPr>
              <w:spacing w:line="240" w:lineRule="exact"/>
            </w:pPr>
            <w:r w:rsidRPr="001442C7">
              <w:t>Français</w:t>
            </w:r>
          </w:p>
          <w:p w:rsidR="005253B2" w:rsidRPr="001442C7" w:rsidRDefault="005253B2" w:rsidP="005253B2">
            <w:pPr>
              <w:spacing w:line="240" w:lineRule="exact"/>
            </w:pPr>
            <w:r w:rsidRPr="001442C7">
              <w:t>Original : anglais</w:t>
            </w:r>
          </w:p>
        </w:tc>
      </w:tr>
    </w:tbl>
    <w:p w:rsidR="007F20FA" w:rsidRPr="001442C7" w:rsidRDefault="007F20FA" w:rsidP="007F20FA">
      <w:pPr>
        <w:spacing w:before="120"/>
        <w:rPr>
          <w:b/>
          <w:sz w:val="28"/>
          <w:szCs w:val="28"/>
        </w:rPr>
      </w:pPr>
      <w:r w:rsidRPr="001442C7">
        <w:rPr>
          <w:b/>
          <w:sz w:val="28"/>
          <w:szCs w:val="28"/>
        </w:rPr>
        <w:t>Commission économique pour l’Europe</w:t>
      </w:r>
    </w:p>
    <w:p w:rsidR="007F20FA" w:rsidRPr="001442C7" w:rsidRDefault="007F20FA" w:rsidP="007F20FA">
      <w:pPr>
        <w:spacing w:before="120"/>
        <w:rPr>
          <w:sz w:val="28"/>
          <w:szCs w:val="28"/>
        </w:rPr>
      </w:pPr>
      <w:r w:rsidRPr="001442C7">
        <w:rPr>
          <w:sz w:val="28"/>
          <w:szCs w:val="28"/>
        </w:rPr>
        <w:t>Comité des transports intérieurs</w:t>
      </w:r>
    </w:p>
    <w:p w:rsidR="001442C7" w:rsidRPr="001442C7" w:rsidRDefault="001442C7" w:rsidP="00AF0CB5">
      <w:pPr>
        <w:spacing w:before="120"/>
        <w:rPr>
          <w:b/>
          <w:sz w:val="24"/>
          <w:szCs w:val="24"/>
        </w:rPr>
      </w:pPr>
      <w:r w:rsidRPr="001442C7">
        <w:rPr>
          <w:b/>
          <w:sz w:val="24"/>
          <w:szCs w:val="24"/>
        </w:rPr>
        <w:t>Forum mondial de l’harmonisation</w:t>
      </w:r>
      <w:r w:rsidRPr="001442C7">
        <w:rPr>
          <w:b/>
          <w:sz w:val="24"/>
          <w:szCs w:val="24"/>
        </w:rPr>
        <w:br/>
        <w:t>des Règlements concernant les véhicules</w:t>
      </w:r>
    </w:p>
    <w:p w:rsidR="001442C7" w:rsidRPr="001442C7" w:rsidRDefault="001442C7" w:rsidP="00AF0CB5">
      <w:pPr>
        <w:spacing w:before="120" w:line="240" w:lineRule="exact"/>
        <w:rPr>
          <w:b/>
        </w:rPr>
      </w:pPr>
      <w:r w:rsidRPr="001442C7">
        <w:rPr>
          <w:b/>
        </w:rPr>
        <w:t>173</w:t>
      </w:r>
      <w:r w:rsidRPr="001442C7">
        <w:rPr>
          <w:b/>
          <w:vertAlign w:val="superscript"/>
        </w:rPr>
        <w:t>e</w:t>
      </w:r>
      <w:r w:rsidRPr="001442C7">
        <w:rPr>
          <w:b/>
        </w:rPr>
        <w:t> session</w:t>
      </w:r>
    </w:p>
    <w:p w:rsidR="001442C7" w:rsidRPr="001442C7" w:rsidRDefault="001442C7" w:rsidP="00AF0CB5">
      <w:pPr>
        <w:spacing w:line="240" w:lineRule="exact"/>
      </w:pPr>
      <w:r w:rsidRPr="001442C7">
        <w:t>Genève, 14-17 novembre 2017</w:t>
      </w:r>
    </w:p>
    <w:p w:rsidR="001442C7" w:rsidRPr="001442C7" w:rsidRDefault="001442C7" w:rsidP="00AF0CB5">
      <w:pPr>
        <w:spacing w:line="240" w:lineRule="exact"/>
      </w:pPr>
      <w:r w:rsidRPr="001442C7">
        <w:t>Point 4.8.7 de l’ordre du jour provisoire</w:t>
      </w:r>
    </w:p>
    <w:p w:rsidR="00F9573C" w:rsidRPr="001442C7" w:rsidRDefault="001442C7" w:rsidP="00AF0CB5">
      <w:pPr>
        <w:rPr>
          <w:b/>
        </w:rPr>
      </w:pPr>
      <w:r w:rsidRPr="001442C7">
        <w:rPr>
          <w:b/>
        </w:rPr>
        <w:t xml:space="preserve">Accord de 1958 : </w:t>
      </w:r>
      <w:r w:rsidRPr="001442C7">
        <w:rPr>
          <w:b/>
        </w:rPr>
        <w:br/>
        <w:t xml:space="preserve">Examen de projets d’amendements à des Règlements </w:t>
      </w:r>
      <w:r w:rsidRPr="001442C7">
        <w:rPr>
          <w:b/>
        </w:rPr>
        <w:br/>
        <w:t>existants, soumis par le GRSP</w:t>
      </w:r>
    </w:p>
    <w:p w:rsidR="001442C7" w:rsidRPr="001442C7" w:rsidRDefault="001442C7" w:rsidP="001442C7">
      <w:pPr>
        <w:pStyle w:val="HChG"/>
      </w:pPr>
      <w:r w:rsidRPr="001442C7">
        <w:tab/>
      </w:r>
      <w:r w:rsidRPr="001442C7">
        <w:tab/>
        <w:t xml:space="preserve">Proposition de complément 6 au Règlement </w:t>
      </w:r>
      <w:r w:rsidRPr="001442C7">
        <w:rPr>
          <w:rFonts w:eastAsia="MS Mincho"/>
          <w:szCs w:val="22"/>
        </w:rPr>
        <w:t>n</w:t>
      </w:r>
      <w:r w:rsidRPr="001442C7">
        <w:rPr>
          <w:rFonts w:eastAsia="MS Mincho"/>
          <w:szCs w:val="22"/>
          <w:vertAlign w:val="superscript"/>
        </w:rPr>
        <w:t>o</w:t>
      </w:r>
      <w:r w:rsidRPr="001442C7">
        <w:t xml:space="preserve"> 129 (Dispositifs améliorés de retenue pour enfants) </w:t>
      </w:r>
    </w:p>
    <w:p w:rsidR="001442C7" w:rsidRPr="001442C7" w:rsidRDefault="001442C7" w:rsidP="001442C7">
      <w:pPr>
        <w:pStyle w:val="H1G"/>
      </w:pPr>
      <w:r w:rsidRPr="001442C7">
        <w:tab/>
      </w:r>
      <w:r w:rsidRPr="001442C7">
        <w:tab/>
        <w:t>Communication du Groupe de travail de la sécurité passive</w:t>
      </w:r>
      <w:r w:rsidRPr="001442C7">
        <w:rPr>
          <w:b w:val="0"/>
          <w:sz w:val="20"/>
        </w:rPr>
        <w:footnoteReference w:customMarkFollows="1" w:id="2"/>
        <w:t>*</w:t>
      </w:r>
    </w:p>
    <w:p w:rsidR="001442C7" w:rsidRPr="001442C7" w:rsidRDefault="001442C7" w:rsidP="001442C7">
      <w:pPr>
        <w:pStyle w:val="SingleTxtG"/>
        <w:ind w:firstLine="567"/>
      </w:pPr>
      <w:r w:rsidRPr="001442C7">
        <w:t xml:space="preserve">Le texte reproduit ci-dessous, adopté par le Groupe de travail de la sécurité </w:t>
      </w:r>
      <w:r w:rsidR="00652EFF">
        <w:t xml:space="preserve">passive (GRSP) à sa soixantième et </w:t>
      </w:r>
      <w:r w:rsidRPr="001442C7">
        <w:t>unième session (ECE/TRANS/WP.29/GRSP/61, par. 34), est fondé sur le document informel GRSP-61-27 tel que reproduit à l’annexe VI du rapport. Il est soumis au Forum mondial de l’harmonisation des Règlements concernant les véhicules (WP.29) et au Comité d’administration de l’Accord de 1958 (AC.1) pour examen à leurs sessions de novembre 2017.</w:t>
      </w:r>
    </w:p>
    <w:p w:rsidR="001442C7" w:rsidRPr="001442C7" w:rsidRDefault="001442C7" w:rsidP="001442C7">
      <w:pPr>
        <w:pStyle w:val="HChG"/>
      </w:pPr>
      <w:r w:rsidRPr="001442C7">
        <w:br w:type="page"/>
      </w:r>
      <w:r w:rsidRPr="001442C7">
        <w:lastRenderedPageBreak/>
        <w:tab/>
      </w:r>
      <w:r w:rsidRPr="001442C7">
        <w:tab/>
        <w:t xml:space="preserve">Proposition de complément 6 au Règlement </w:t>
      </w:r>
      <w:r w:rsidRPr="001442C7">
        <w:rPr>
          <w:rFonts w:eastAsia="MS Mincho"/>
          <w:szCs w:val="22"/>
        </w:rPr>
        <w:t>n</w:t>
      </w:r>
      <w:r w:rsidRPr="001442C7">
        <w:rPr>
          <w:rFonts w:eastAsia="MS Mincho"/>
          <w:szCs w:val="22"/>
          <w:vertAlign w:val="superscript"/>
        </w:rPr>
        <w:t>o</w:t>
      </w:r>
      <w:r w:rsidRPr="001442C7">
        <w:t> 129 (Dispositifs améliorés de retenue pour enfants)</w:t>
      </w:r>
    </w:p>
    <w:p w:rsidR="001442C7" w:rsidRPr="001442C7" w:rsidRDefault="001442C7" w:rsidP="0008347D">
      <w:pPr>
        <w:pStyle w:val="SingleTxtG"/>
        <w:keepNext/>
        <w:keepLines/>
      </w:pPr>
      <w:r w:rsidRPr="001442C7">
        <w:rPr>
          <w:i/>
          <w:iCs/>
        </w:rPr>
        <w:t>Paragraphe 2.3</w:t>
      </w:r>
      <w:r w:rsidRPr="001442C7">
        <w:t>, modifier comme suit :</w:t>
      </w:r>
    </w:p>
    <w:p w:rsidR="001442C7" w:rsidRPr="001442C7" w:rsidRDefault="001442C7" w:rsidP="0008347D">
      <w:pPr>
        <w:pStyle w:val="SingleTxtG"/>
        <w:ind w:left="2268" w:hanging="1134"/>
      </w:pPr>
      <w:r w:rsidRPr="001442C7">
        <w:t>« 2.3</w:t>
      </w:r>
      <w:r w:rsidRPr="001442C7">
        <w:tab/>
      </w:r>
      <w:r>
        <w:rPr>
          <w:lang w:val="en-US"/>
        </w:rPr>
        <w:t>“</w:t>
      </w:r>
      <w:r w:rsidRPr="001442C7">
        <w:rPr>
          <w:i/>
          <w:iCs/>
        </w:rPr>
        <w:t>i-Size</w:t>
      </w:r>
      <w:r>
        <w:rPr>
          <w:lang w:val="en-US"/>
        </w:rPr>
        <w:t>”</w:t>
      </w:r>
      <w:r w:rsidRPr="001442C7">
        <w:t xml:space="preserve"> (Dispositif de retenue pour enfants ISOFIX universel intégral), un type de dispositif de retenue pour enfants utilisable à toutes les places assises i-Size d’un véhicule, telles qu’elles sont définies et homologuées conformément aux Règlements n</w:t>
      </w:r>
      <w:r w:rsidRPr="001442C7">
        <w:rPr>
          <w:vertAlign w:val="superscript"/>
        </w:rPr>
        <w:t>os</w:t>
      </w:r>
      <w:r>
        <w:t> 14 ou [XX] et 16. »</w:t>
      </w:r>
    </w:p>
    <w:p w:rsidR="001442C7" w:rsidRPr="001442C7" w:rsidRDefault="001442C7" w:rsidP="0008347D">
      <w:pPr>
        <w:pStyle w:val="SingleTxtG"/>
        <w:keepNext/>
        <w:keepLines/>
      </w:pPr>
      <w:r>
        <w:rPr>
          <w:i/>
          <w:iCs/>
        </w:rPr>
        <w:t>Paragraphe </w:t>
      </w:r>
      <w:r w:rsidRPr="001442C7">
        <w:rPr>
          <w:i/>
          <w:iCs/>
        </w:rPr>
        <w:t>2.5</w:t>
      </w:r>
      <w:r>
        <w:t>, modifier comme suit :</w:t>
      </w:r>
    </w:p>
    <w:p w:rsidR="001442C7" w:rsidRPr="001442C7" w:rsidRDefault="001442C7" w:rsidP="0008347D">
      <w:pPr>
        <w:pStyle w:val="SingleTxtG"/>
        <w:ind w:left="2268" w:hanging="1134"/>
      </w:pPr>
      <w:r>
        <w:t>« </w:t>
      </w:r>
      <w:r w:rsidRPr="001442C7">
        <w:t>2.5</w:t>
      </w:r>
      <w:r w:rsidRPr="001442C7">
        <w:tab/>
      </w:r>
      <w:r>
        <w:rPr>
          <w:lang w:val="en-US"/>
        </w:rPr>
        <w:t>“</w:t>
      </w:r>
      <w:r w:rsidRPr="001442C7">
        <w:rPr>
          <w:i/>
          <w:iCs/>
        </w:rPr>
        <w:t>Système ISOFIX</w:t>
      </w:r>
      <w:r>
        <w:rPr>
          <w:lang w:val="en-US"/>
        </w:rPr>
        <w:t>”</w:t>
      </w:r>
      <w:r w:rsidRPr="001442C7">
        <w:t xml:space="preserve">, un système permettant de fixer le dispositif de retenue pour enfants au véhicule. Il se compose de deux ancrages sur le véhicule et de deux attaches correspondantes sur le dispositif de retenue, ainsi que d’un système permettant de limiter la rotation en tangage du dispositif de retenue. Les trois ancrages doivent être homologués conformément au Règlement </w:t>
      </w:r>
      <w:r w:rsidR="0008347D" w:rsidRPr="002D76F4">
        <w:rPr>
          <w:rFonts w:eastAsia="MS Mincho"/>
          <w:szCs w:val="22"/>
        </w:rPr>
        <w:t>n</w:t>
      </w:r>
      <w:r w:rsidR="0008347D" w:rsidRPr="002D76F4">
        <w:rPr>
          <w:rFonts w:eastAsia="MS Mincho"/>
          <w:szCs w:val="22"/>
          <w:vertAlign w:val="superscript"/>
        </w:rPr>
        <w:t>o</w:t>
      </w:r>
      <w:r w:rsidR="0008347D">
        <w:t xml:space="preserve"> 14 ou au Règlement </w:t>
      </w:r>
      <w:r w:rsidR="0008347D" w:rsidRPr="002D76F4">
        <w:rPr>
          <w:rFonts w:eastAsia="MS Mincho"/>
          <w:szCs w:val="22"/>
        </w:rPr>
        <w:t>n</w:t>
      </w:r>
      <w:r w:rsidR="0008347D" w:rsidRPr="002D76F4">
        <w:rPr>
          <w:rFonts w:eastAsia="MS Mincho"/>
          <w:szCs w:val="22"/>
          <w:vertAlign w:val="superscript"/>
        </w:rPr>
        <w:t>o</w:t>
      </w:r>
      <w:r w:rsidR="0008347D">
        <w:t> [XX]. »</w:t>
      </w:r>
    </w:p>
    <w:p w:rsidR="001442C7" w:rsidRPr="001442C7" w:rsidRDefault="0008347D" w:rsidP="0008347D">
      <w:pPr>
        <w:pStyle w:val="SingleTxtG"/>
        <w:keepNext/>
        <w:keepLines/>
      </w:pPr>
      <w:r>
        <w:rPr>
          <w:i/>
          <w:iCs/>
        </w:rPr>
        <w:t>Paragraphe </w:t>
      </w:r>
      <w:r w:rsidR="001442C7" w:rsidRPr="001442C7">
        <w:rPr>
          <w:i/>
          <w:iCs/>
        </w:rPr>
        <w:t>2.7</w:t>
      </w:r>
      <w:r w:rsidR="001442C7" w:rsidRPr="001442C7">
        <w:t>, modifier comme suit</w:t>
      </w:r>
      <w:r>
        <w:t> :</w:t>
      </w:r>
    </w:p>
    <w:p w:rsidR="001442C7" w:rsidRPr="001442C7" w:rsidRDefault="0008347D" w:rsidP="0008347D">
      <w:pPr>
        <w:pStyle w:val="SingleTxtG"/>
        <w:ind w:left="2268" w:hanging="1134"/>
      </w:pPr>
      <w:r>
        <w:t>« </w:t>
      </w:r>
      <w:r w:rsidR="001442C7" w:rsidRPr="001442C7">
        <w:t>2.7</w:t>
      </w:r>
      <w:r w:rsidR="001442C7" w:rsidRPr="001442C7">
        <w:tab/>
      </w:r>
      <w:r w:rsidR="001442C7">
        <w:rPr>
          <w:lang w:val="en-US"/>
        </w:rPr>
        <w:t>“</w:t>
      </w:r>
      <w:r w:rsidR="001442C7" w:rsidRPr="00652EFF">
        <w:rPr>
          <w:i/>
        </w:rPr>
        <w:t>Système ISOFIX spécifique à un véhicule</w:t>
      </w:r>
      <w:r w:rsidR="001442C7" w:rsidRPr="001442C7">
        <w:t xml:space="preserve">”, une catégorie de dispositif amélioré de retenue pour enfants intégral utilisable seulement sur certains types de véhicules. Tous les ancrages du véhicule doivent être homologués conformément au Règlement </w:t>
      </w:r>
      <w:r w:rsidRPr="002D76F4">
        <w:rPr>
          <w:rFonts w:eastAsia="MS Mincho"/>
          <w:szCs w:val="22"/>
        </w:rPr>
        <w:t>n</w:t>
      </w:r>
      <w:r w:rsidRPr="002D76F4">
        <w:rPr>
          <w:rFonts w:eastAsia="MS Mincho"/>
          <w:szCs w:val="22"/>
          <w:vertAlign w:val="superscript"/>
        </w:rPr>
        <w:t>o</w:t>
      </w:r>
      <w:r>
        <w:t> </w:t>
      </w:r>
      <w:r w:rsidR="001442C7" w:rsidRPr="001442C7">
        <w:t xml:space="preserve">14 ou au Règlement </w:t>
      </w:r>
      <w:r w:rsidRPr="002D76F4">
        <w:rPr>
          <w:rFonts w:eastAsia="MS Mincho"/>
          <w:szCs w:val="22"/>
        </w:rPr>
        <w:t>n</w:t>
      </w:r>
      <w:r w:rsidRPr="002D76F4">
        <w:rPr>
          <w:rFonts w:eastAsia="MS Mincho"/>
          <w:szCs w:val="22"/>
          <w:vertAlign w:val="superscript"/>
        </w:rPr>
        <w:t>o</w:t>
      </w:r>
      <w:r w:rsidR="001442C7" w:rsidRPr="001442C7">
        <w:t> [XX]. Il peut aussi s’agir d’un dispositif amélioré de retenue pour enfants ayant le tableau</w:t>
      </w:r>
      <w:r>
        <w:t xml:space="preserve"> de bord comme zone de contact. »</w:t>
      </w:r>
    </w:p>
    <w:p w:rsidR="001442C7" w:rsidRPr="001442C7" w:rsidRDefault="001442C7" w:rsidP="0008347D">
      <w:pPr>
        <w:pStyle w:val="SingleTxtG"/>
        <w:keepNext/>
        <w:keepLines/>
      </w:pPr>
      <w:r w:rsidRPr="001442C7">
        <w:rPr>
          <w:i/>
          <w:iCs/>
        </w:rPr>
        <w:t>Paragraphe</w:t>
      </w:r>
      <w:r w:rsidR="0008347D">
        <w:rPr>
          <w:i/>
          <w:iCs/>
        </w:rPr>
        <w:t> </w:t>
      </w:r>
      <w:r w:rsidRPr="001442C7">
        <w:rPr>
          <w:i/>
          <w:iCs/>
        </w:rPr>
        <w:t>2.11</w:t>
      </w:r>
      <w:r w:rsidRPr="001442C7">
        <w:t>, modifier comme suit</w:t>
      </w:r>
      <w:r w:rsidR="0008347D">
        <w:t> :</w:t>
      </w:r>
    </w:p>
    <w:p w:rsidR="001442C7" w:rsidRPr="001442C7" w:rsidRDefault="0008347D" w:rsidP="0008347D">
      <w:pPr>
        <w:pStyle w:val="SingleTxtG"/>
        <w:ind w:left="2268" w:hanging="1134"/>
        <w:rPr>
          <w:bCs/>
        </w:rPr>
      </w:pPr>
      <w:r>
        <w:t>« </w:t>
      </w:r>
      <w:r w:rsidR="001442C7" w:rsidRPr="001442C7">
        <w:t>2.11</w:t>
      </w:r>
      <w:r w:rsidR="001442C7" w:rsidRPr="001442C7">
        <w:tab/>
      </w:r>
      <w:r w:rsidR="001442C7">
        <w:rPr>
          <w:lang w:val="en-US"/>
        </w:rPr>
        <w:t>“</w:t>
      </w:r>
      <w:r w:rsidR="001442C7" w:rsidRPr="00652EFF">
        <w:rPr>
          <w:i/>
        </w:rPr>
        <w:t>Système d’ancrages ISOFIX</w:t>
      </w:r>
      <w:r w:rsidR="001442C7">
        <w:rPr>
          <w:lang w:val="en-US"/>
        </w:rPr>
        <w:t>”</w:t>
      </w:r>
      <w:r w:rsidR="001442C7" w:rsidRPr="001442C7">
        <w:t xml:space="preserve">, un système composé de deux ancrages ISOFIX, conforme aux prescriptions du Règlement </w:t>
      </w:r>
      <w:r w:rsidRPr="002D76F4">
        <w:rPr>
          <w:rFonts w:eastAsia="MS Mincho"/>
          <w:szCs w:val="22"/>
        </w:rPr>
        <w:t>n</w:t>
      </w:r>
      <w:r w:rsidRPr="002D76F4">
        <w:rPr>
          <w:rFonts w:eastAsia="MS Mincho"/>
          <w:szCs w:val="22"/>
          <w:vertAlign w:val="superscript"/>
        </w:rPr>
        <w:t>o</w:t>
      </w:r>
      <w:r w:rsidR="001442C7" w:rsidRPr="001442C7">
        <w:t xml:space="preserve"> 14 ou du Règlement </w:t>
      </w:r>
      <w:r w:rsidRPr="002D76F4">
        <w:rPr>
          <w:rFonts w:eastAsia="MS Mincho"/>
          <w:szCs w:val="22"/>
        </w:rPr>
        <w:t>n</w:t>
      </w:r>
      <w:r w:rsidRPr="002D76F4">
        <w:rPr>
          <w:rFonts w:eastAsia="MS Mincho"/>
          <w:szCs w:val="22"/>
          <w:vertAlign w:val="superscript"/>
        </w:rPr>
        <w:t>o</w:t>
      </w:r>
      <w:r w:rsidR="001442C7" w:rsidRPr="001442C7">
        <w:t> [XX], destiné à attacher un dispositif de retenue pour enfants ISOFIX ass</w:t>
      </w:r>
      <w:r>
        <w:t>ocié à un système antirotation. »</w:t>
      </w:r>
    </w:p>
    <w:p w:rsidR="001442C7" w:rsidRPr="001442C7" w:rsidRDefault="0008347D" w:rsidP="0008347D">
      <w:pPr>
        <w:pStyle w:val="SingleTxtG"/>
        <w:keepNext/>
        <w:keepLines/>
      </w:pPr>
      <w:r>
        <w:rPr>
          <w:i/>
          <w:iCs/>
        </w:rPr>
        <w:t>Paragraphe </w:t>
      </w:r>
      <w:r w:rsidR="001442C7" w:rsidRPr="001442C7">
        <w:rPr>
          <w:i/>
          <w:iCs/>
        </w:rPr>
        <w:t>2.12</w:t>
      </w:r>
      <w:r w:rsidR="001442C7" w:rsidRPr="001442C7">
        <w:t>, modifier comme suit</w:t>
      </w:r>
      <w:r>
        <w:t> :</w:t>
      </w:r>
    </w:p>
    <w:p w:rsidR="001442C7" w:rsidRPr="001442C7" w:rsidRDefault="0008347D" w:rsidP="0008347D">
      <w:pPr>
        <w:pStyle w:val="SingleTxtG"/>
        <w:ind w:left="2268" w:hanging="1134"/>
        <w:rPr>
          <w:bCs/>
        </w:rPr>
      </w:pPr>
      <w:r>
        <w:t>« 2.12</w:t>
      </w:r>
      <w:r>
        <w:tab/>
      </w:r>
      <w:r w:rsidR="001442C7" w:rsidRPr="0008347D">
        <w:t>“</w:t>
      </w:r>
      <w:r w:rsidR="001442C7" w:rsidRPr="00652EFF">
        <w:rPr>
          <w:i/>
        </w:rPr>
        <w:t>Système antirotation</w:t>
      </w:r>
      <w:r w:rsidR="001442C7" w:rsidRPr="0008347D">
        <w:t>”</w:t>
      </w:r>
      <w:r w:rsidR="001442C7" w:rsidRPr="001442C7">
        <w:t>, un système conçu pour limiter la rotation du dispositif de retenue pour enfants en cas de choc, composé</w:t>
      </w:r>
      <w:r w:rsidR="00CE53BB">
        <w:t> :</w:t>
      </w:r>
    </w:p>
    <w:p w:rsidR="001442C7" w:rsidRPr="001442C7" w:rsidRDefault="001442C7" w:rsidP="0008347D">
      <w:pPr>
        <w:pStyle w:val="SingleTxtG"/>
        <w:ind w:left="2835" w:hanging="567"/>
      </w:pPr>
      <w:r w:rsidRPr="001442C7">
        <w:t>a)</w:t>
      </w:r>
      <w:r w:rsidRPr="001442C7">
        <w:tab/>
        <w:t>D’une sangle de fixation supérieure</w:t>
      </w:r>
      <w:r w:rsidR="0008347D">
        <w:t> ;</w:t>
      </w:r>
      <w:r w:rsidRPr="001442C7">
        <w:t xml:space="preserve"> </w:t>
      </w:r>
      <w:proofErr w:type="gramStart"/>
      <w:r w:rsidRPr="001442C7">
        <w:t>ou</w:t>
      </w:r>
      <w:proofErr w:type="gramEnd"/>
    </w:p>
    <w:p w:rsidR="001442C7" w:rsidRPr="001442C7" w:rsidRDefault="001442C7" w:rsidP="0008347D">
      <w:pPr>
        <w:pStyle w:val="SingleTxtG"/>
        <w:ind w:left="2835" w:hanging="567"/>
      </w:pPr>
      <w:r w:rsidRPr="001442C7">
        <w:t>b)</w:t>
      </w:r>
      <w:r w:rsidRPr="001442C7">
        <w:tab/>
        <w:t>D’une jambe de force.</w:t>
      </w:r>
    </w:p>
    <w:p w:rsidR="001442C7" w:rsidRPr="001442C7" w:rsidRDefault="001442C7" w:rsidP="0008347D">
      <w:pPr>
        <w:pStyle w:val="SingleTxtG"/>
        <w:ind w:left="2268" w:hanging="1134"/>
      </w:pPr>
      <w:r w:rsidRPr="001442C7">
        <w:tab/>
        <w:t xml:space="preserve">Ce système, qui doit satisfaire aux prescriptions du présent Règlement, doit être fixé à un système d’ancrages ISOFIX, à des ancrages supérieurs ISOFIX ou à la surface de contact avec le plancher du véhicule conformes aux prescriptions du Règlement </w:t>
      </w:r>
      <w:r w:rsidR="0008347D" w:rsidRPr="002D76F4">
        <w:rPr>
          <w:rFonts w:eastAsia="MS Mincho"/>
          <w:szCs w:val="22"/>
        </w:rPr>
        <w:t>n</w:t>
      </w:r>
      <w:r w:rsidR="0008347D" w:rsidRPr="002D76F4">
        <w:rPr>
          <w:rFonts w:eastAsia="MS Mincho"/>
          <w:szCs w:val="22"/>
          <w:vertAlign w:val="superscript"/>
        </w:rPr>
        <w:t>o</w:t>
      </w:r>
      <w:r w:rsidRPr="001442C7">
        <w:t xml:space="preserve"> 14 ou du Règlement </w:t>
      </w:r>
      <w:r w:rsidR="0008347D" w:rsidRPr="002D76F4">
        <w:rPr>
          <w:rFonts w:eastAsia="MS Mincho"/>
          <w:szCs w:val="22"/>
        </w:rPr>
        <w:t>n</w:t>
      </w:r>
      <w:r w:rsidR="0008347D" w:rsidRPr="002D76F4">
        <w:rPr>
          <w:rFonts w:eastAsia="MS Mincho"/>
          <w:szCs w:val="22"/>
          <w:vertAlign w:val="superscript"/>
        </w:rPr>
        <w:t>o</w:t>
      </w:r>
      <w:r w:rsidR="0008347D">
        <w:t> [XX]. »</w:t>
      </w:r>
    </w:p>
    <w:p w:rsidR="001442C7" w:rsidRPr="001442C7" w:rsidRDefault="0008347D" w:rsidP="0008347D">
      <w:pPr>
        <w:pStyle w:val="SingleTxtG"/>
        <w:keepNext/>
        <w:keepLines/>
      </w:pPr>
      <w:r>
        <w:rPr>
          <w:i/>
          <w:iCs/>
        </w:rPr>
        <w:t>Paragraphes </w:t>
      </w:r>
      <w:r w:rsidR="001442C7" w:rsidRPr="001442C7">
        <w:rPr>
          <w:i/>
          <w:iCs/>
        </w:rPr>
        <w:t>2.13 et 2.13.1</w:t>
      </w:r>
      <w:r w:rsidR="001442C7" w:rsidRPr="001442C7">
        <w:t>, modifier comme suit</w:t>
      </w:r>
      <w:r>
        <w:t> :</w:t>
      </w:r>
    </w:p>
    <w:p w:rsidR="001442C7" w:rsidRPr="001442C7" w:rsidRDefault="0008347D" w:rsidP="0008347D">
      <w:pPr>
        <w:pStyle w:val="SingleTxtG"/>
        <w:ind w:left="2268" w:hanging="1134"/>
        <w:rPr>
          <w:bCs/>
        </w:rPr>
      </w:pPr>
      <w:r>
        <w:t>« </w:t>
      </w:r>
      <w:r w:rsidR="001442C7" w:rsidRPr="001442C7">
        <w:t xml:space="preserve">2.13 </w:t>
      </w:r>
      <w:r w:rsidR="001442C7" w:rsidRPr="001442C7">
        <w:tab/>
      </w:r>
      <w:r w:rsidR="001442C7">
        <w:rPr>
          <w:lang w:val="en-US"/>
        </w:rPr>
        <w:t>“</w:t>
      </w:r>
      <w:r w:rsidR="001442C7" w:rsidRPr="00652EFF">
        <w:rPr>
          <w:i/>
        </w:rPr>
        <w:t>Sangle de fixation supérieure ISOFIX</w:t>
      </w:r>
      <w:r w:rsidR="001442C7" w:rsidRPr="001442C7">
        <w:t>”, …</w:t>
      </w:r>
    </w:p>
    <w:p w:rsidR="001442C7" w:rsidRPr="001442C7" w:rsidRDefault="001442C7" w:rsidP="0008347D">
      <w:pPr>
        <w:pStyle w:val="SingleTxtG"/>
        <w:ind w:left="2268" w:hanging="1134"/>
      </w:pPr>
      <w:r w:rsidRPr="001442C7">
        <w:t xml:space="preserve">2.13.1 </w:t>
      </w:r>
      <w:r w:rsidRPr="001442C7">
        <w:tab/>
      </w:r>
      <w:r>
        <w:rPr>
          <w:lang w:val="en-US"/>
        </w:rPr>
        <w:t>“</w:t>
      </w:r>
      <w:r w:rsidRPr="00652EFF">
        <w:rPr>
          <w:i/>
        </w:rPr>
        <w:t>Ancrage pour fixation supérieure ISOFIX</w:t>
      </w:r>
      <w:r w:rsidRPr="001442C7">
        <w:t xml:space="preserve">”, un dispositif conforme aux exigences du Règlement </w:t>
      </w:r>
      <w:r w:rsidR="0008347D" w:rsidRPr="002D76F4">
        <w:rPr>
          <w:rFonts w:eastAsia="MS Mincho"/>
          <w:szCs w:val="22"/>
        </w:rPr>
        <w:t>n</w:t>
      </w:r>
      <w:r w:rsidR="0008347D" w:rsidRPr="002D76F4">
        <w:rPr>
          <w:rFonts w:eastAsia="MS Mincho"/>
          <w:szCs w:val="22"/>
          <w:vertAlign w:val="superscript"/>
        </w:rPr>
        <w:t>o</w:t>
      </w:r>
      <w:r w:rsidRPr="001442C7">
        <w:t xml:space="preserve"> 14 ou du Règlement </w:t>
      </w:r>
      <w:r w:rsidR="0008347D" w:rsidRPr="002D76F4">
        <w:rPr>
          <w:rFonts w:eastAsia="MS Mincho"/>
          <w:szCs w:val="22"/>
        </w:rPr>
        <w:t>n</w:t>
      </w:r>
      <w:r w:rsidR="0008347D" w:rsidRPr="002D76F4">
        <w:rPr>
          <w:rFonts w:eastAsia="MS Mincho"/>
          <w:szCs w:val="22"/>
          <w:vertAlign w:val="superscript"/>
        </w:rPr>
        <w:t>o</w:t>
      </w:r>
      <w:r w:rsidRPr="001442C7">
        <w:t> [XX], par exemple une barre, située dans une zone définie, conçu pour recevoir un connecteur de sangle d’ancrage supérieur ISOFIX et transférer son effort de rétentio</w:t>
      </w:r>
      <w:r w:rsidR="0008347D">
        <w:t>n sur la structure du véhicule. »</w:t>
      </w:r>
    </w:p>
    <w:p w:rsidR="001442C7" w:rsidRPr="001442C7" w:rsidRDefault="001442C7" w:rsidP="0008347D">
      <w:pPr>
        <w:pStyle w:val="SingleTxtG"/>
        <w:keepNext/>
        <w:keepLines/>
      </w:pPr>
      <w:r w:rsidRPr="001442C7">
        <w:rPr>
          <w:i/>
          <w:iCs/>
        </w:rPr>
        <w:t>Paragraphe 2.13.3</w:t>
      </w:r>
      <w:r w:rsidR="0008347D">
        <w:t>, modifier comme suit :</w:t>
      </w:r>
    </w:p>
    <w:p w:rsidR="001442C7" w:rsidRPr="001442C7" w:rsidRDefault="0008347D" w:rsidP="0008347D">
      <w:pPr>
        <w:pStyle w:val="SingleTxtG"/>
        <w:ind w:left="2268" w:hanging="1134"/>
      </w:pPr>
      <w:r>
        <w:t>« </w:t>
      </w:r>
      <w:r w:rsidR="001442C7" w:rsidRPr="001442C7">
        <w:t xml:space="preserve">2.13.3 </w:t>
      </w:r>
      <w:r w:rsidR="001442C7" w:rsidRPr="001442C7">
        <w:tab/>
      </w:r>
      <w:r w:rsidR="001442C7">
        <w:rPr>
          <w:lang w:val="en-US"/>
        </w:rPr>
        <w:t>“</w:t>
      </w:r>
      <w:r w:rsidR="001442C7" w:rsidRPr="008A2DF3">
        <w:rPr>
          <w:i/>
        </w:rPr>
        <w:t>Crochet pour fixation supérieure ISOFIX</w:t>
      </w:r>
      <w:r w:rsidR="001442C7">
        <w:rPr>
          <w:lang w:val="en-US"/>
        </w:rPr>
        <w:t>”</w:t>
      </w:r>
      <w:r w:rsidR="001442C7" w:rsidRPr="001442C7">
        <w:t>, un connecteur d’ancrage supérieur ISOFIX généralement utilisé pour attacher une sangle de fixation supérieure ISOFIX à un ancrage pour fixation supérieure ISOFIX t</w:t>
      </w:r>
      <w:r>
        <w:t>el que défini à la figure </w:t>
      </w:r>
      <w:r w:rsidR="001442C7" w:rsidRPr="001442C7">
        <w:t>3 du Règlement</w:t>
      </w:r>
      <w:r>
        <w:t xml:space="preserve"> </w:t>
      </w:r>
      <w:r w:rsidRPr="002D76F4">
        <w:rPr>
          <w:rFonts w:eastAsia="MS Mincho"/>
          <w:szCs w:val="22"/>
        </w:rPr>
        <w:t>n</w:t>
      </w:r>
      <w:r w:rsidRPr="002D76F4">
        <w:rPr>
          <w:rFonts w:eastAsia="MS Mincho"/>
          <w:szCs w:val="22"/>
          <w:vertAlign w:val="superscript"/>
        </w:rPr>
        <w:t>o</w:t>
      </w:r>
      <w:r>
        <w:t xml:space="preserve"> 14 ou au Règlement </w:t>
      </w:r>
      <w:r w:rsidRPr="002D76F4">
        <w:rPr>
          <w:rFonts w:eastAsia="MS Mincho"/>
          <w:szCs w:val="22"/>
        </w:rPr>
        <w:t>n</w:t>
      </w:r>
      <w:r w:rsidRPr="002D76F4">
        <w:rPr>
          <w:rFonts w:eastAsia="MS Mincho"/>
          <w:szCs w:val="22"/>
          <w:vertAlign w:val="superscript"/>
        </w:rPr>
        <w:t>o</w:t>
      </w:r>
      <w:r>
        <w:t> [XX]. »</w:t>
      </w:r>
    </w:p>
    <w:p w:rsidR="001442C7" w:rsidRPr="001442C7" w:rsidRDefault="00472C08" w:rsidP="0008347D">
      <w:pPr>
        <w:pStyle w:val="SingleTxtG"/>
        <w:keepNext/>
        <w:keepLines/>
      </w:pPr>
      <w:r>
        <w:rPr>
          <w:i/>
          <w:iCs/>
        </w:rPr>
        <w:lastRenderedPageBreak/>
        <w:t>Paragraphe </w:t>
      </w:r>
      <w:r w:rsidR="001442C7" w:rsidRPr="001442C7">
        <w:rPr>
          <w:i/>
          <w:iCs/>
        </w:rPr>
        <w:t>2.15.3</w:t>
      </w:r>
      <w:r w:rsidR="001442C7" w:rsidRPr="001442C7">
        <w:t>, modifier comme suit</w:t>
      </w:r>
      <w:r>
        <w:t> :</w:t>
      </w:r>
    </w:p>
    <w:p w:rsidR="001442C7" w:rsidRPr="001442C7" w:rsidRDefault="00472C08" w:rsidP="0008347D">
      <w:pPr>
        <w:pStyle w:val="SingleTxtG"/>
        <w:ind w:left="2268" w:hanging="1134"/>
      </w:pPr>
      <w:r>
        <w:t>« </w:t>
      </w:r>
      <w:r w:rsidR="001442C7" w:rsidRPr="001442C7">
        <w:t xml:space="preserve">2.15.3 </w:t>
      </w:r>
      <w:r w:rsidR="001442C7" w:rsidRPr="001442C7">
        <w:tab/>
      </w:r>
      <w:r w:rsidR="001442C7">
        <w:rPr>
          <w:lang w:val="en-US"/>
        </w:rPr>
        <w:t>“</w:t>
      </w:r>
      <w:r w:rsidR="001442C7" w:rsidRPr="008A2DF3">
        <w:rPr>
          <w:i/>
        </w:rPr>
        <w:t>Volume imparti au socle de la jambe de force</w:t>
      </w:r>
      <w:r w:rsidR="001442C7" w:rsidRPr="001442C7">
        <w:t>”, l’espace dans lequel le socle de la jambe de force peut se déplacer. Ce volume correspond au volume imparti au socle de la jambe de force pour les véhicules, tel qu’il est défini à l’</w:t>
      </w:r>
      <w:r>
        <w:t>annexe </w:t>
      </w:r>
      <w:r w:rsidR="001442C7" w:rsidRPr="001442C7">
        <w:t xml:space="preserve">10 du Règlement </w:t>
      </w:r>
      <w:r w:rsidRPr="002D76F4">
        <w:rPr>
          <w:rFonts w:eastAsia="MS Mincho"/>
          <w:szCs w:val="22"/>
        </w:rPr>
        <w:t>n</w:t>
      </w:r>
      <w:r w:rsidRPr="002D76F4">
        <w:rPr>
          <w:rFonts w:eastAsia="MS Mincho"/>
          <w:szCs w:val="22"/>
          <w:vertAlign w:val="superscript"/>
        </w:rPr>
        <w:t>o</w:t>
      </w:r>
      <w:r w:rsidR="001442C7" w:rsidRPr="001442C7">
        <w:t> 14 ou à l’</w:t>
      </w:r>
      <w:r>
        <w:t>annexe </w:t>
      </w:r>
      <w:r w:rsidR="001442C7" w:rsidRPr="001442C7">
        <w:t xml:space="preserve">5 du Règlement </w:t>
      </w:r>
      <w:r w:rsidRPr="002D76F4">
        <w:rPr>
          <w:rFonts w:eastAsia="MS Mincho"/>
          <w:szCs w:val="22"/>
        </w:rPr>
        <w:t>n</w:t>
      </w:r>
      <w:r w:rsidRPr="002D76F4">
        <w:rPr>
          <w:rFonts w:eastAsia="MS Mincho"/>
          <w:szCs w:val="22"/>
          <w:vertAlign w:val="superscript"/>
        </w:rPr>
        <w:t>o</w:t>
      </w:r>
      <w:r>
        <w:t> [XX]. »</w:t>
      </w:r>
    </w:p>
    <w:p w:rsidR="001442C7" w:rsidRPr="001442C7" w:rsidRDefault="00472C08" w:rsidP="0008347D">
      <w:pPr>
        <w:pStyle w:val="SingleTxtG"/>
        <w:keepNext/>
        <w:keepLines/>
      </w:pPr>
      <w:r>
        <w:rPr>
          <w:i/>
          <w:iCs/>
        </w:rPr>
        <w:t>Paragraph</w:t>
      </w:r>
      <w:r w:rsidR="00CE53BB">
        <w:rPr>
          <w:i/>
          <w:iCs/>
        </w:rPr>
        <w:t>e</w:t>
      </w:r>
      <w:r>
        <w:rPr>
          <w:i/>
          <w:iCs/>
        </w:rPr>
        <w:t> </w:t>
      </w:r>
      <w:r w:rsidR="001442C7" w:rsidRPr="001442C7">
        <w:rPr>
          <w:i/>
          <w:iCs/>
        </w:rPr>
        <w:t>2.16</w:t>
      </w:r>
      <w:r w:rsidR="001442C7" w:rsidRPr="001442C7">
        <w:t>, modifier comme suit</w:t>
      </w:r>
      <w:r>
        <w:t> :</w:t>
      </w:r>
    </w:p>
    <w:p w:rsidR="001442C7" w:rsidRPr="001442C7" w:rsidRDefault="00472C08" w:rsidP="0008347D">
      <w:pPr>
        <w:pStyle w:val="SingleTxtG"/>
        <w:ind w:left="2268" w:hanging="1134"/>
        <w:rPr>
          <w:bCs/>
        </w:rPr>
      </w:pPr>
      <w:r>
        <w:t>« </w:t>
      </w:r>
      <w:r w:rsidR="001442C7" w:rsidRPr="001442C7">
        <w:t xml:space="preserve">2.16 </w:t>
      </w:r>
      <w:r w:rsidR="001442C7" w:rsidRPr="001442C7">
        <w:tab/>
      </w:r>
      <w:r w:rsidR="001442C7">
        <w:rPr>
          <w:lang w:val="en-US"/>
        </w:rPr>
        <w:t>“</w:t>
      </w:r>
      <w:r w:rsidR="001442C7" w:rsidRPr="008A2DF3">
        <w:rPr>
          <w:i/>
        </w:rPr>
        <w:t>Angle de tangage du gabarit</w:t>
      </w:r>
      <w:r w:rsidR="001442C7">
        <w:rPr>
          <w:lang w:val="en-US"/>
        </w:rPr>
        <w:t>”</w:t>
      </w:r>
      <w:r w:rsidR="001442C7" w:rsidRPr="001442C7">
        <w:t xml:space="preserve">, l’angle que forment la surface inférieure du gabarit ISO/F2 (B), tel qu’il est défini dans le Règlement </w:t>
      </w:r>
      <w:r w:rsidRPr="002D76F4">
        <w:rPr>
          <w:rFonts w:eastAsia="MS Mincho"/>
          <w:szCs w:val="22"/>
        </w:rPr>
        <w:t>n</w:t>
      </w:r>
      <w:r w:rsidRPr="002D76F4">
        <w:rPr>
          <w:rFonts w:eastAsia="MS Mincho"/>
          <w:szCs w:val="22"/>
          <w:vertAlign w:val="superscript"/>
        </w:rPr>
        <w:t>o</w:t>
      </w:r>
      <w:r>
        <w:t> 16 (annexe 17, appendice 2, fig. </w:t>
      </w:r>
      <w:r w:rsidR="001442C7" w:rsidRPr="001442C7">
        <w:t xml:space="preserve">2), et le plan horizontal Z du véhicule, tel qu’il est défini dans le Règlement </w:t>
      </w:r>
      <w:r w:rsidRPr="002D76F4">
        <w:rPr>
          <w:rFonts w:eastAsia="MS Mincho"/>
          <w:szCs w:val="22"/>
        </w:rPr>
        <w:t>n</w:t>
      </w:r>
      <w:r w:rsidRPr="002D76F4">
        <w:rPr>
          <w:rFonts w:eastAsia="MS Mincho"/>
          <w:szCs w:val="22"/>
          <w:vertAlign w:val="superscript"/>
        </w:rPr>
        <w:t>o</w:t>
      </w:r>
      <w:r>
        <w:t> 14 (annexe 4, appendice </w:t>
      </w:r>
      <w:r w:rsidR="001442C7" w:rsidRPr="001442C7">
        <w:t xml:space="preserve">2) ou dans le Règlement </w:t>
      </w:r>
      <w:r w:rsidRPr="002D76F4">
        <w:rPr>
          <w:rFonts w:eastAsia="MS Mincho"/>
          <w:szCs w:val="22"/>
        </w:rPr>
        <w:t>n</w:t>
      </w:r>
      <w:r w:rsidRPr="002D76F4">
        <w:rPr>
          <w:rFonts w:eastAsia="MS Mincho"/>
          <w:szCs w:val="22"/>
          <w:vertAlign w:val="superscript"/>
        </w:rPr>
        <w:t>o</w:t>
      </w:r>
      <w:r>
        <w:t> [XX] (annexe 3, appendice </w:t>
      </w:r>
      <w:r w:rsidR="001442C7" w:rsidRPr="001442C7">
        <w:t xml:space="preserve">2), le gabarit étant installé dans le véhicule comme prescrit dans le Règlement </w:t>
      </w:r>
      <w:r w:rsidRPr="002D76F4">
        <w:rPr>
          <w:rFonts w:eastAsia="MS Mincho"/>
          <w:szCs w:val="22"/>
        </w:rPr>
        <w:t>n</w:t>
      </w:r>
      <w:r w:rsidRPr="002D76F4">
        <w:rPr>
          <w:rFonts w:eastAsia="MS Mincho"/>
          <w:szCs w:val="22"/>
          <w:vertAlign w:val="superscript"/>
        </w:rPr>
        <w:t>o</w:t>
      </w:r>
      <w:r>
        <w:t> 16 (annexe 17, appendice 2). »</w:t>
      </w:r>
    </w:p>
    <w:p w:rsidR="001442C7" w:rsidRPr="0008347D" w:rsidRDefault="0008347D" w:rsidP="0008347D">
      <w:pPr>
        <w:pStyle w:val="SingleTxtG"/>
        <w:spacing w:before="240" w:after="0"/>
        <w:jc w:val="center"/>
        <w:rPr>
          <w:u w:val="single"/>
        </w:rPr>
      </w:pPr>
      <w:r>
        <w:rPr>
          <w:u w:val="single"/>
        </w:rPr>
        <w:tab/>
      </w:r>
      <w:r>
        <w:rPr>
          <w:u w:val="single"/>
        </w:rPr>
        <w:tab/>
      </w:r>
      <w:r>
        <w:rPr>
          <w:u w:val="single"/>
        </w:rPr>
        <w:tab/>
      </w:r>
    </w:p>
    <w:sectPr w:rsidR="001442C7" w:rsidRPr="0008347D" w:rsidSect="005253B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199" w:rsidRDefault="004E6199" w:rsidP="00F95C08">
      <w:pPr>
        <w:spacing w:line="240" w:lineRule="auto"/>
      </w:pPr>
    </w:p>
  </w:endnote>
  <w:endnote w:type="continuationSeparator" w:id="0">
    <w:p w:rsidR="004E6199" w:rsidRPr="00AC3823" w:rsidRDefault="004E6199" w:rsidP="00AC3823">
      <w:pPr>
        <w:pStyle w:val="Footer"/>
      </w:pPr>
    </w:p>
  </w:endnote>
  <w:endnote w:type="continuationNotice" w:id="1">
    <w:p w:rsidR="004E6199" w:rsidRDefault="004E61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B2" w:rsidRPr="005253B2" w:rsidRDefault="005253B2" w:rsidP="005253B2">
    <w:pPr>
      <w:pStyle w:val="Footer"/>
      <w:tabs>
        <w:tab w:val="right" w:pos="9638"/>
      </w:tabs>
    </w:pPr>
    <w:r w:rsidRPr="005253B2">
      <w:rPr>
        <w:b/>
        <w:sz w:val="18"/>
      </w:rPr>
      <w:fldChar w:fldCharType="begin"/>
    </w:r>
    <w:r w:rsidRPr="005253B2">
      <w:rPr>
        <w:b/>
        <w:sz w:val="18"/>
      </w:rPr>
      <w:instrText xml:space="preserve"> PAGE  \* MERGEFORMAT </w:instrText>
    </w:r>
    <w:r w:rsidRPr="005253B2">
      <w:rPr>
        <w:b/>
        <w:sz w:val="18"/>
      </w:rPr>
      <w:fldChar w:fldCharType="separate"/>
    </w:r>
    <w:r w:rsidR="001A636C">
      <w:rPr>
        <w:b/>
        <w:noProof/>
        <w:sz w:val="18"/>
      </w:rPr>
      <w:t>2</w:t>
    </w:r>
    <w:r w:rsidRPr="005253B2">
      <w:rPr>
        <w:b/>
        <w:sz w:val="18"/>
      </w:rPr>
      <w:fldChar w:fldCharType="end"/>
    </w:r>
    <w:r>
      <w:rPr>
        <w:b/>
        <w:sz w:val="18"/>
      </w:rPr>
      <w:tab/>
    </w:r>
    <w:r>
      <w:t>GE.17-14541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B2" w:rsidRPr="005253B2" w:rsidRDefault="005253B2" w:rsidP="005253B2">
    <w:pPr>
      <w:pStyle w:val="Footer"/>
      <w:tabs>
        <w:tab w:val="right" w:pos="9638"/>
      </w:tabs>
      <w:rPr>
        <w:b/>
        <w:sz w:val="18"/>
      </w:rPr>
    </w:pPr>
    <w:r>
      <w:t>GE.17-14541</w:t>
    </w:r>
    <w:r>
      <w:tab/>
    </w:r>
    <w:r w:rsidRPr="005253B2">
      <w:rPr>
        <w:b/>
        <w:sz w:val="18"/>
      </w:rPr>
      <w:fldChar w:fldCharType="begin"/>
    </w:r>
    <w:r w:rsidRPr="005253B2">
      <w:rPr>
        <w:b/>
        <w:sz w:val="18"/>
      </w:rPr>
      <w:instrText xml:space="preserve"> PAGE  \* MERGEFORMAT </w:instrText>
    </w:r>
    <w:r w:rsidRPr="005253B2">
      <w:rPr>
        <w:b/>
        <w:sz w:val="18"/>
      </w:rPr>
      <w:fldChar w:fldCharType="separate"/>
    </w:r>
    <w:r w:rsidR="001A636C">
      <w:rPr>
        <w:b/>
        <w:noProof/>
        <w:sz w:val="18"/>
      </w:rPr>
      <w:t>3</w:t>
    </w:r>
    <w:r w:rsidRPr="005253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5253B2" w:rsidRDefault="005253B2" w:rsidP="005253B2">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17-14541  (F)    200917    260917</w:t>
    </w:r>
    <w:r>
      <w:rPr>
        <w:sz w:val="20"/>
      </w:rPr>
      <w:br/>
    </w:r>
    <w:r w:rsidRPr="005253B2">
      <w:rPr>
        <w:rFonts w:ascii="C39T30Lfz" w:hAnsi="C39T30Lfz"/>
        <w:sz w:val="56"/>
      </w:rPr>
      <w:t></w:t>
    </w:r>
    <w:r w:rsidRPr="005253B2">
      <w:rPr>
        <w:rFonts w:ascii="C39T30Lfz" w:hAnsi="C39T30Lfz"/>
        <w:sz w:val="56"/>
      </w:rPr>
      <w:t></w:t>
    </w:r>
    <w:r w:rsidRPr="005253B2">
      <w:rPr>
        <w:rFonts w:ascii="C39T30Lfz" w:hAnsi="C39T30Lfz"/>
        <w:sz w:val="56"/>
      </w:rPr>
      <w:t></w:t>
    </w:r>
    <w:r w:rsidRPr="005253B2">
      <w:rPr>
        <w:rFonts w:ascii="C39T30Lfz" w:hAnsi="C39T30Lfz"/>
        <w:sz w:val="56"/>
      </w:rPr>
      <w:t></w:t>
    </w:r>
    <w:r w:rsidRPr="005253B2">
      <w:rPr>
        <w:rFonts w:ascii="C39T30Lfz" w:hAnsi="C39T30Lfz"/>
        <w:sz w:val="56"/>
      </w:rPr>
      <w:t></w:t>
    </w:r>
    <w:r w:rsidRPr="005253B2">
      <w:rPr>
        <w:rFonts w:ascii="C39T30Lfz" w:hAnsi="C39T30Lfz"/>
        <w:sz w:val="56"/>
      </w:rPr>
      <w:t></w:t>
    </w:r>
    <w:r w:rsidRPr="005253B2">
      <w:rPr>
        <w:rFonts w:ascii="C39T30Lfz" w:hAnsi="C39T30Lfz"/>
        <w:sz w:val="56"/>
      </w:rPr>
      <w:t></w:t>
    </w:r>
    <w:r w:rsidRPr="005253B2">
      <w:rPr>
        <w:rFonts w:ascii="C39T30Lfz" w:hAnsi="C39T30Lfz"/>
        <w:sz w:val="56"/>
      </w:rPr>
      <w:t></w:t>
    </w:r>
    <w:r w:rsidRPr="005253B2">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1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199" w:rsidRPr="00AC3823" w:rsidRDefault="004E6199" w:rsidP="00AC3823">
      <w:pPr>
        <w:pStyle w:val="Footer"/>
        <w:tabs>
          <w:tab w:val="right" w:pos="2155"/>
        </w:tabs>
        <w:spacing w:after="80" w:line="240" w:lineRule="atLeast"/>
        <w:ind w:left="680"/>
        <w:rPr>
          <w:u w:val="single"/>
        </w:rPr>
      </w:pPr>
      <w:r>
        <w:rPr>
          <w:u w:val="single"/>
        </w:rPr>
        <w:tab/>
      </w:r>
    </w:p>
  </w:footnote>
  <w:footnote w:type="continuationSeparator" w:id="0">
    <w:p w:rsidR="004E6199" w:rsidRPr="00AC3823" w:rsidRDefault="004E6199" w:rsidP="00AC3823">
      <w:pPr>
        <w:pStyle w:val="Footer"/>
        <w:tabs>
          <w:tab w:val="right" w:pos="2155"/>
        </w:tabs>
        <w:spacing w:after="80" w:line="240" w:lineRule="atLeast"/>
        <w:ind w:left="680"/>
        <w:rPr>
          <w:u w:val="single"/>
        </w:rPr>
      </w:pPr>
      <w:r>
        <w:rPr>
          <w:u w:val="single"/>
        </w:rPr>
        <w:tab/>
      </w:r>
    </w:p>
  </w:footnote>
  <w:footnote w:type="continuationNotice" w:id="1">
    <w:p w:rsidR="004E6199" w:rsidRPr="00AC3823" w:rsidRDefault="004E6199">
      <w:pPr>
        <w:spacing w:line="240" w:lineRule="auto"/>
        <w:rPr>
          <w:sz w:val="2"/>
          <w:szCs w:val="2"/>
        </w:rPr>
      </w:pPr>
    </w:p>
  </w:footnote>
  <w:footnote w:id="2">
    <w:p w:rsidR="001442C7" w:rsidRPr="00706101" w:rsidRDefault="001442C7" w:rsidP="001442C7">
      <w:pPr>
        <w:pStyle w:val="FootnoteText"/>
      </w:pPr>
      <w:r>
        <w:rPr>
          <w:lang w:val="fr-FR"/>
        </w:rPr>
        <w:tab/>
        <w:t>*</w:t>
      </w:r>
      <w:r>
        <w:rPr>
          <w:lang w:val="fr-FR"/>
        </w:rPr>
        <w:tab/>
        <w:t>Conformément au programme de travail du Comité des transports intérieurs pour la période 2016</w:t>
      </w:r>
      <w:r w:rsidR="00652EFF">
        <w:rPr>
          <w:lang w:val="fr-FR"/>
        </w:rPr>
        <w:noBreakHyphen/>
      </w:r>
      <w:r>
        <w:rPr>
          <w:lang w:val="fr-FR"/>
        </w:rPr>
        <w:t xml:space="preserve">2017 (ECE/TRANS/254, par. 159, et ECE/TRANS/2016/28/Add.1, module 3.1), le Forum mondial a pour mission d’élaborer, d’harmoniser et de mettre à jour les Règlements en vue d’améliorer les caractéristiques fonctionnelles des véhicules. Le présent document est soumis en vertu de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B2" w:rsidRPr="005253B2" w:rsidRDefault="001A636C">
    <w:pPr>
      <w:pStyle w:val="Header"/>
    </w:pPr>
    <w:r>
      <w:fldChar w:fldCharType="begin"/>
    </w:r>
    <w:r>
      <w:instrText xml:space="preserve"> TITLE  \* MERGEFORMAT </w:instrText>
    </w:r>
    <w:r>
      <w:fldChar w:fldCharType="separate"/>
    </w:r>
    <w:r>
      <w:t>ECE/TRANS/WP.29/2017/124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B2" w:rsidRPr="005253B2" w:rsidRDefault="001A636C" w:rsidP="005253B2">
    <w:pPr>
      <w:pStyle w:val="Header"/>
      <w:jc w:val="right"/>
    </w:pPr>
    <w:r>
      <w:fldChar w:fldCharType="begin"/>
    </w:r>
    <w:r>
      <w:instrText xml:space="preserve"> TITLE  \* MERGEFORMAT </w:instrText>
    </w:r>
    <w:r>
      <w:fldChar w:fldCharType="separate"/>
    </w:r>
    <w:r>
      <w:t>ECE/TRANS/WP.29/2017/124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99"/>
    <w:rsid w:val="00017F94"/>
    <w:rsid w:val="00023842"/>
    <w:rsid w:val="000334F9"/>
    <w:rsid w:val="00045FEB"/>
    <w:rsid w:val="0007796D"/>
    <w:rsid w:val="0008347D"/>
    <w:rsid w:val="000B7790"/>
    <w:rsid w:val="00111F2F"/>
    <w:rsid w:val="0014365E"/>
    <w:rsid w:val="00143C66"/>
    <w:rsid w:val="001442C7"/>
    <w:rsid w:val="00176178"/>
    <w:rsid w:val="001A636C"/>
    <w:rsid w:val="001F525A"/>
    <w:rsid w:val="00223272"/>
    <w:rsid w:val="0024779E"/>
    <w:rsid w:val="00257168"/>
    <w:rsid w:val="002744B8"/>
    <w:rsid w:val="002832AC"/>
    <w:rsid w:val="002D7C93"/>
    <w:rsid w:val="00305801"/>
    <w:rsid w:val="003916DE"/>
    <w:rsid w:val="00441C3B"/>
    <w:rsid w:val="00446FE5"/>
    <w:rsid w:val="00452396"/>
    <w:rsid w:val="00472C08"/>
    <w:rsid w:val="004837D8"/>
    <w:rsid w:val="004E468C"/>
    <w:rsid w:val="004E6199"/>
    <w:rsid w:val="005253B2"/>
    <w:rsid w:val="005505B7"/>
    <w:rsid w:val="00573BE5"/>
    <w:rsid w:val="00586ED3"/>
    <w:rsid w:val="00596AA9"/>
    <w:rsid w:val="00652EFF"/>
    <w:rsid w:val="0071601D"/>
    <w:rsid w:val="007A62E6"/>
    <w:rsid w:val="007F20FA"/>
    <w:rsid w:val="0080684C"/>
    <w:rsid w:val="00871C75"/>
    <w:rsid w:val="008776DC"/>
    <w:rsid w:val="008A2DF3"/>
    <w:rsid w:val="009446C0"/>
    <w:rsid w:val="009705C8"/>
    <w:rsid w:val="009C1CF4"/>
    <w:rsid w:val="009D5975"/>
    <w:rsid w:val="009E4453"/>
    <w:rsid w:val="009F6B74"/>
    <w:rsid w:val="00A30353"/>
    <w:rsid w:val="00AC3823"/>
    <w:rsid w:val="00AE323C"/>
    <w:rsid w:val="00AF0CB5"/>
    <w:rsid w:val="00B00181"/>
    <w:rsid w:val="00B00B0D"/>
    <w:rsid w:val="00B765F7"/>
    <w:rsid w:val="00BA0CA9"/>
    <w:rsid w:val="00C02897"/>
    <w:rsid w:val="00C97039"/>
    <w:rsid w:val="00CB55B7"/>
    <w:rsid w:val="00CE53BB"/>
    <w:rsid w:val="00D3439C"/>
    <w:rsid w:val="00DB1831"/>
    <w:rsid w:val="00DD3BFD"/>
    <w:rsid w:val="00DF6678"/>
    <w:rsid w:val="00E0299A"/>
    <w:rsid w:val="00E10344"/>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B5F532-7E8E-4A0B-B5E7-EE9988DC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ECE/TRANS/WP.29/2017/124</vt:lpstr>
      <vt:lpstr>ECE/TRANS/WP.29/2017/124</vt:lpstr>
    </vt:vector>
  </TitlesOfParts>
  <Company>DCM</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ECE/TRANS/WP.29/2017/124</dc:title>
  <dc:subject/>
  <dc:creator>Edith BOURION</dc:creator>
  <cp:keywords/>
  <cp:lastModifiedBy>Marie-Claude Collet</cp:lastModifiedBy>
  <cp:revision>3</cp:revision>
  <cp:lastPrinted>2017-09-26T12:59:00Z</cp:lastPrinted>
  <dcterms:created xsi:type="dcterms:W3CDTF">2017-09-26T12:59:00Z</dcterms:created>
  <dcterms:modified xsi:type="dcterms:W3CDTF">2017-09-26T12:59:00Z</dcterms:modified>
</cp:coreProperties>
</file>