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242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24268" w:rsidP="00324268">
            <w:pPr>
              <w:jc w:val="right"/>
            </w:pPr>
            <w:r w:rsidRPr="00324268">
              <w:rPr>
                <w:sz w:val="40"/>
              </w:rPr>
              <w:t>ECE</w:t>
            </w:r>
            <w:r>
              <w:t>/TRANS/WP.29/2017/97</w:t>
            </w:r>
          </w:p>
        </w:tc>
      </w:tr>
      <w:tr w:rsidR="002D5AAC" w:rsidRPr="0032426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242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24268" w:rsidRDefault="00324268" w:rsidP="00324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324268" w:rsidRDefault="00324268" w:rsidP="00324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24268" w:rsidRPr="008D53B6" w:rsidRDefault="00324268" w:rsidP="00324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32426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4268" w:rsidRPr="00324268" w:rsidRDefault="00324268" w:rsidP="0032426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24268">
        <w:rPr>
          <w:sz w:val="28"/>
          <w:szCs w:val="28"/>
        </w:rPr>
        <w:t>Комитет по внутреннему транспорту</w:t>
      </w:r>
    </w:p>
    <w:p w:rsidR="00324268" w:rsidRPr="00324268" w:rsidRDefault="00324268" w:rsidP="00324268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32426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24268">
        <w:rPr>
          <w:b/>
          <w:bCs/>
          <w:sz w:val="24"/>
          <w:szCs w:val="24"/>
        </w:rPr>
        <w:br/>
        <w:t>в области транспортных средств</w:t>
      </w:r>
    </w:p>
    <w:p w:rsidR="00324268" w:rsidRPr="00324268" w:rsidRDefault="00324268" w:rsidP="00324268">
      <w:pPr>
        <w:pStyle w:val="SingleTxtGR"/>
        <w:spacing w:after="0"/>
        <w:ind w:left="0"/>
        <w:jc w:val="left"/>
        <w:rPr>
          <w:b/>
        </w:rPr>
      </w:pPr>
      <w:r w:rsidRPr="00324268">
        <w:rPr>
          <w:b/>
          <w:bCs/>
        </w:rPr>
        <w:t>172-я сессия</w:t>
      </w:r>
    </w:p>
    <w:p w:rsidR="00324268" w:rsidRPr="00324268" w:rsidRDefault="00324268" w:rsidP="00324268">
      <w:pPr>
        <w:pStyle w:val="SingleTxtGR"/>
        <w:spacing w:after="0"/>
        <w:ind w:left="0"/>
        <w:jc w:val="left"/>
      </w:pPr>
      <w:r w:rsidRPr="00324268">
        <w:t>Женева, 20–23 июня 2017 года</w:t>
      </w:r>
    </w:p>
    <w:p w:rsidR="00324268" w:rsidRPr="00324268" w:rsidRDefault="00324268" w:rsidP="00324268">
      <w:pPr>
        <w:pStyle w:val="SingleTxtGR"/>
        <w:spacing w:after="0"/>
        <w:ind w:left="0"/>
        <w:jc w:val="left"/>
      </w:pPr>
      <w:r w:rsidRPr="00324268">
        <w:t>Пункт 14.2 предварительной повестки дня</w:t>
      </w:r>
    </w:p>
    <w:p w:rsidR="00324268" w:rsidRPr="00324268" w:rsidRDefault="00324268" w:rsidP="00324268">
      <w:pPr>
        <w:pStyle w:val="SingleTxtGR"/>
        <w:spacing w:after="0"/>
        <w:ind w:left="0"/>
        <w:jc w:val="left"/>
        <w:rPr>
          <w:b/>
        </w:rPr>
      </w:pPr>
      <w:r w:rsidRPr="00324268">
        <w:rPr>
          <w:b/>
          <w:bCs/>
        </w:rPr>
        <w:t xml:space="preserve">Рассмотрение AC.3 проектов глобальных технических </w:t>
      </w:r>
      <w:r w:rsidRPr="00324268">
        <w:rPr>
          <w:b/>
          <w:bCs/>
        </w:rPr>
        <w:br/>
        <w:t xml:space="preserve">правил и/или проектов поправок к введенным </w:t>
      </w:r>
      <w:r w:rsidRPr="00324268">
        <w:rPr>
          <w:b/>
          <w:bCs/>
        </w:rPr>
        <w:br/>
        <w:t xml:space="preserve">глобальным техническим правилам и голосование </w:t>
      </w:r>
      <w:r w:rsidRPr="00324268">
        <w:rPr>
          <w:b/>
          <w:bCs/>
        </w:rPr>
        <w:br/>
        <w:t xml:space="preserve">по ним, если таковые представлены: </w:t>
      </w:r>
      <w:r w:rsidR="00583084" w:rsidRPr="00583084">
        <w:rPr>
          <w:b/>
          <w:bCs/>
        </w:rPr>
        <w:br/>
      </w:r>
      <w:r w:rsidRPr="00324268">
        <w:rPr>
          <w:b/>
          <w:bCs/>
        </w:rPr>
        <w:t xml:space="preserve">Предложение по поправкам к Глобальным техническим </w:t>
      </w:r>
      <w:r w:rsidR="00583084" w:rsidRPr="00583084">
        <w:rPr>
          <w:b/>
          <w:bCs/>
        </w:rPr>
        <w:br/>
      </w:r>
      <w:r w:rsidRPr="00324268">
        <w:rPr>
          <w:b/>
          <w:bCs/>
        </w:rPr>
        <w:t xml:space="preserve">правилам № 1 (дверные замки и элементы крепления дверей) </w:t>
      </w:r>
    </w:p>
    <w:p w:rsidR="00324268" w:rsidRPr="00324268" w:rsidRDefault="00324268" w:rsidP="006A2044">
      <w:pPr>
        <w:pStyle w:val="HChGR"/>
      </w:pPr>
      <w:r w:rsidRPr="00324268">
        <w:tab/>
      </w:r>
      <w:r w:rsidRPr="00324268">
        <w:tab/>
        <w:t>Предложение по поправке 2 к Глобальным техническим правилам № 1 (дверные замки и</w:t>
      </w:r>
      <w:r w:rsidR="006A2044">
        <w:rPr>
          <w:lang w:val="en-US"/>
        </w:rPr>
        <w:t> </w:t>
      </w:r>
      <w:r w:rsidRPr="00324268">
        <w:t>элементы крепления дверей)</w:t>
      </w:r>
    </w:p>
    <w:p w:rsidR="00324268" w:rsidRPr="00324268" w:rsidRDefault="00324268" w:rsidP="006A2044">
      <w:pPr>
        <w:pStyle w:val="H1GR"/>
      </w:pPr>
      <w:r w:rsidRPr="00324268">
        <w:tab/>
      </w:r>
      <w:r w:rsidRPr="00324268">
        <w:tab/>
        <w:t>Представлено Рабочей группой по пассивной безопасности</w:t>
      </w:r>
      <w:r w:rsidRPr="006A2044">
        <w:rPr>
          <w:b w:val="0"/>
          <w:sz w:val="20"/>
        </w:rPr>
        <w:footnoteReference w:customMarkFollows="1" w:id="1"/>
        <w:t>*</w:t>
      </w:r>
      <w:r w:rsidRPr="00324268">
        <w:t xml:space="preserve"> </w:t>
      </w:r>
    </w:p>
    <w:p w:rsidR="00324268" w:rsidRPr="00324268" w:rsidRDefault="006A2044" w:rsidP="00324268">
      <w:pPr>
        <w:pStyle w:val="SingleTxtGR"/>
      </w:pPr>
      <w:r>
        <w:rPr>
          <w:lang w:val="en-US"/>
        </w:rPr>
        <w:tab/>
      </w:r>
      <w:r w:rsidR="00324268" w:rsidRPr="00324268">
        <w:t>Воспроизведенный ниже текст был рекомендован Рабочей группой по пассивной безопасности (GRSP) на ее шестидесятой сессии (ECE/TRANS/</w:t>
      </w:r>
      <w:r w:rsidRPr="006A2044">
        <w:t xml:space="preserve"> </w:t>
      </w:r>
      <w:r w:rsidR="00324268" w:rsidRPr="00324268">
        <w:t>WP.29/GRSP/60, пункт 4). В его основу положен документ GRSP-60-23, воспр</w:t>
      </w:r>
      <w:r w:rsidR="00324268" w:rsidRPr="00324268">
        <w:t>о</w:t>
      </w:r>
      <w:r w:rsidR="00324268" w:rsidRPr="00324268">
        <w:t>изведенный в приложении II к докладу. Этот текст представляется на рассмо</w:t>
      </w:r>
      <w:r w:rsidR="00324268" w:rsidRPr="00324268">
        <w:t>т</w:t>
      </w:r>
      <w:r w:rsidR="00324268" w:rsidRPr="00324268">
        <w:t>рение Всемирному форуму для согласования правил в области транспортных средств (WP.29) и Исполнительному комитету (АС.3) Соглашения 1998 года.</w:t>
      </w:r>
    </w:p>
    <w:p w:rsidR="00324268" w:rsidRPr="00324268" w:rsidRDefault="00324268" w:rsidP="006A2044">
      <w:pPr>
        <w:pStyle w:val="HChGR"/>
      </w:pPr>
      <w:r w:rsidRPr="00324268">
        <w:br w:type="page"/>
      </w:r>
      <w:r w:rsidRPr="00324268">
        <w:lastRenderedPageBreak/>
        <w:tab/>
      </w:r>
      <w:r w:rsidRPr="00324268">
        <w:tab/>
        <w:t>Предложение по поправке 2 к Глобальным техническим правилам № 1 (дверные замки и</w:t>
      </w:r>
      <w:r w:rsidR="006A2044">
        <w:rPr>
          <w:lang w:val="en-US"/>
        </w:rPr>
        <w:t> </w:t>
      </w:r>
      <w:r w:rsidRPr="00324268">
        <w:t>элементы крепления дверей)</w:t>
      </w:r>
    </w:p>
    <w:p w:rsidR="00324268" w:rsidRPr="00324268" w:rsidRDefault="00324268" w:rsidP="00324268">
      <w:pPr>
        <w:pStyle w:val="SingleTxtGR"/>
      </w:pPr>
      <w:r w:rsidRPr="00324268">
        <w:rPr>
          <w:i/>
        </w:rPr>
        <w:t xml:space="preserve">Заголовок части </w:t>
      </w:r>
      <w:r w:rsidRPr="00324268">
        <w:rPr>
          <w:i/>
          <w:lang w:val="en-GB"/>
        </w:rPr>
        <w:t>A</w:t>
      </w:r>
      <w:r w:rsidRPr="00324268">
        <w:t xml:space="preserve"> изменить следующим образом:</w:t>
      </w:r>
    </w:p>
    <w:p w:rsidR="00324268" w:rsidRPr="00324268" w:rsidRDefault="00324268" w:rsidP="006A2044">
      <w:pPr>
        <w:pStyle w:val="HChGR"/>
      </w:pPr>
      <w:r w:rsidRPr="00324268">
        <w:tab/>
        <w:t>«</w:t>
      </w:r>
      <w:r w:rsidRPr="00324268">
        <w:rPr>
          <w:lang w:val="en-GB"/>
        </w:rPr>
        <w:t>I</w:t>
      </w:r>
      <w:r w:rsidRPr="00324268">
        <w:t>.</w:t>
      </w:r>
      <w:r w:rsidRPr="00324268">
        <w:tab/>
        <w:t>Изложение технических соображений и обоснование»</w:t>
      </w:r>
    </w:p>
    <w:p w:rsidR="00324268" w:rsidRPr="00324268" w:rsidRDefault="00324268" w:rsidP="00324268">
      <w:pPr>
        <w:pStyle w:val="SingleTxtGR"/>
        <w:rPr>
          <w:i/>
        </w:rPr>
      </w:pPr>
      <w:bookmarkStart w:id="1" w:name="OLE_LINK1"/>
      <w:r w:rsidRPr="00324268">
        <w:rPr>
          <w:i/>
        </w:rPr>
        <w:t xml:space="preserve">Часть </w:t>
      </w:r>
      <w:r w:rsidRPr="00324268">
        <w:rPr>
          <w:i/>
          <w:lang w:val="en-GB"/>
        </w:rPr>
        <w:t>I</w:t>
      </w:r>
      <w:r w:rsidRPr="00324268">
        <w:rPr>
          <w:i/>
        </w:rPr>
        <w:t xml:space="preserve"> (прежняя</w:t>
      </w:r>
      <w:bookmarkEnd w:id="1"/>
      <w:r w:rsidRPr="00324268">
        <w:rPr>
          <w:i/>
        </w:rPr>
        <w:t xml:space="preserve"> </w:t>
      </w:r>
      <w:r w:rsidRPr="00324268">
        <w:rPr>
          <w:i/>
          <w:lang w:val="en-GB"/>
        </w:rPr>
        <w:t>A</w:t>
      </w:r>
      <w:r w:rsidRPr="00324268">
        <w:rPr>
          <w:i/>
        </w:rPr>
        <w:t>)</w:t>
      </w:r>
    </w:p>
    <w:p w:rsidR="00324268" w:rsidRPr="00324268" w:rsidRDefault="00324268" w:rsidP="00324268">
      <w:pPr>
        <w:pStyle w:val="SingleTxtGR"/>
        <w:rPr>
          <w:i/>
        </w:rPr>
      </w:pPr>
      <w:r w:rsidRPr="00324268">
        <w:rPr>
          <w:i/>
        </w:rPr>
        <w:t xml:space="preserve">Раздел </w:t>
      </w:r>
      <w:r w:rsidRPr="00324268">
        <w:rPr>
          <w:i/>
          <w:lang w:val="en-GB"/>
        </w:rPr>
        <w:t>IV</w:t>
      </w:r>
      <w:r w:rsidRPr="00324268">
        <w:rPr>
          <w:i/>
        </w:rPr>
        <w:t xml:space="preserve"> </w:t>
      </w:r>
      <w:r w:rsidRPr="00324268">
        <w:rPr>
          <w:i/>
          <w:lang w:val="en-GB"/>
        </w:rPr>
        <w:t>c</w:t>
      </w:r>
      <w:r w:rsidRPr="00324268">
        <w:rPr>
          <w:i/>
        </w:rPr>
        <w:t xml:space="preserve">) </w:t>
      </w:r>
      <w:r w:rsidRPr="00324268">
        <w:t>изменить следующим образом:</w:t>
      </w:r>
    </w:p>
    <w:p w:rsidR="00324268" w:rsidRPr="00324268" w:rsidRDefault="00324268" w:rsidP="00324268">
      <w:pPr>
        <w:pStyle w:val="SingleTxtGR"/>
      </w:pPr>
      <w:r w:rsidRPr="00324268">
        <w:t>«Были унифицированы уровни нагрузок… при их переводе из одной системы измерения в другую.</w:t>
      </w:r>
    </w:p>
    <w:p w:rsidR="00324268" w:rsidRPr="00324268" w:rsidRDefault="00324268" w:rsidP="00324268">
      <w:pPr>
        <w:pStyle w:val="SingleTxtGR"/>
        <w:rPr>
          <w:bCs/>
        </w:rPr>
      </w:pPr>
      <w:r w:rsidRPr="00324268">
        <w:rPr>
          <w:bCs/>
        </w:rPr>
        <w:t>Предусмотрены альтернативные возможности обеспечения надлежащей защиты для предотвращения случайного открывания двери при движении транспортн</w:t>
      </w:r>
      <w:r w:rsidRPr="00324268">
        <w:rPr>
          <w:bCs/>
        </w:rPr>
        <w:t>о</w:t>
      </w:r>
      <w:r w:rsidRPr="00324268">
        <w:rPr>
          <w:bCs/>
        </w:rPr>
        <w:t>го средства».</w:t>
      </w:r>
    </w:p>
    <w:p w:rsidR="00324268" w:rsidRPr="00324268" w:rsidRDefault="00324268" w:rsidP="00324268">
      <w:pPr>
        <w:pStyle w:val="SingleTxtGR"/>
        <w:rPr>
          <w:bCs/>
        </w:rPr>
      </w:pPr>
      <w:r w:rsidRPr="00324268">
        <w:rPr>
          <w:bCs/>
          <w:i/>
        </w:rPr>
        <w:t xml:space="preserve">Раздел </w:t>
      </w:r>
      <w:r w:rsidRPr="00324268">
        <w:rPr>
          <w:bCs/>
          <w:i/>
          <w:lang w:val="en-GB"/>
        </w:rPr>
        <w:t>IV</w:t>
      </w:r>
      <w:r w:rsidRPr="00324268">
        <w:rPr>
          <w:bCs/>
          <w:i/>
        </w:rPr>
        <w:t xml:space="preserve"> </w:t>
      </w:r>
      <w:r w:rsidRPr="00324268">
        <w:rPr>
          <w:bCs/>
          <w:i/>
          <w:lang w:val="en-GB"/>
        </w:rPr>
        <w:t>d</w:t>
      </w:r>
      <w:r w:rsidRPr="00324268">
        <w:rPr>
          <w:bCs/>
          <w:i/>
        </w:rPr>
        <w:t xml:space="preserve">) </w:t>
      </w:r>
      <w:r w:rsidRPr="00324268">
        <w:rPr>
          <w:bCs/>
          <w:i/>
          <w:lang w:val="en-GB"/>
        </w:rPr>
        <w:t>viii</w:t>
      </w:r>
      <w:r w:rsidRPr="00324268">
        <w:rPr>
          <w:bCs/>
          <w:i/>
        </w:rPr>
        <w:t xml:space="preserve">) </w:t>
      </w:r>
      <w:r w:rsidRPr="00324268">
        <w:rPr>
          <w:bCs/>
        </w:rPr>
        <w:t>изменить следующим образом:</w:t>
      </w:r>
    </w:p>
    <w:p w:rsidR="00324268" w:rsidRPr="00324268" w:rsidRDefault="00324268" w:rsidP="00324268">
      <w:pPr>
        <w:pStyle w:val="SingleTxtGR"/>
        <w:rPr>
          <w:bCs/>
        </w:rPr>
      </w:pPr>
      <w:r w:rsidRPr="00324268">
        <w:rPr>
          <w:bCs/>
        </w:rPr>
        <w:t xml:space="preserve">«Соединенные Штаты Америки… </w:t>
      </w:r>
      <w:bookmarkStart w:id="2" w:name="OLE_LINK2"/>
      <w:r w:rsidRPr="00324268">
        <w:rPr>
          <w:bCs/>
        </w:rPr>
        <w:t>в качестве основного средства.</w:t>
      </w:r>
      <w:bookmarkEnd w:id="2"/>
    </w:p>
    <w:p w:rsidR="00324268" w:rsidRPr="00324268" w:rsidRDefault="00324268" w:rsidP="00324268">
      <w:pPr>
        <w:pStyle w:val="SingleTxtGR"/>
      </w:pPr>
      <w:r w:rsidRPr="00324268">
        <w:rPr>
          <w:bCs/>
        </w:rPr>
        <w:t>В случае задних дверей применяется тот же концептуальный подход в отнош</w:t>
      </w:r>
      <w:r w:rsidRPr="00324268">
        <w:rPr>
          <w:bCs/>
        </w:rPr>
        <w:t>е</w:t>
      </w:r>
      <w:r w:rsidRPr="00324268">
        <w:rPr>
          <w:bCs/>
        </w:rPr>
        <w:t>нии высадки, что и выше, который позволит использовать системы, допуска</w:t>
      </w:r>
      <w:r w:rsidRPr="00324268">
        <w:rPr>
          <w:bCs/>
        </w:rPr>
        <w:t>ю</w:t>
      </w:r>
      <w:r w:rsidRPr="00324268">
        <w:rPr>
          <w:bCs/>
        </w:rPr>
        <w:t xml:space="preserve">щие открывание только задних дверей, </w:t>
      </w:r>
      <w:bookmarkStart w:id="3" w:name="OLE_LINK3"/>
      <w:r w:rsidRPr="00324268">
        <w:rPr>
          <w:bCs/>
        </w:rPr>
        <w:t>когда транспортное средство находится в неподвижном состоянии</w:t>
      </w:r>
      <w:bookmarkEnd w:id="3"/>
      <w:r w:rsidRPr="00324268">
        <w:rPr>
          <w:bCs/>
        </w:rPr>
        <w:t>. Когда транспортное средство находится в неп</w:t>
      </w:r>
      <w:r w:rsidRPr="00324268">
        <w:rPr>
          <w:bCs/>
        </w:rPr>
        <w:t>о</w:t>
      </w:r>
      <w:r w:rsidRPr="00324268">
        <w:rPr>
          <w:bCs/>
        </w:rPr>
        <w:t>движном состоянии, одиночная операция позволит открывать задние двери, что тем самым исключает возможность случайного выпадения из движущегося транспортного средства находящихся в нем лиц.»</w:t>
      </w:r>
    </w:p>
    <w:p w:rsidR="00324268" w:rsidRPr="00324268" w:rsidRDefault="00324268" w:rsidP="00324268">
      <w:pPr>
        <w:pStyle w:val="SingleTxtGR"/>
        <w:rPr>
          <w:i/>
        </w:rPr>
      </w:pPr>
      <w:r w:rsidRPr="00324268">
        <w:rPr>
          <w:i/>
        </w:rPr>
        <w:t xml:space="preserve">Заголовок части </w:t>
      </w:r>
      <w:r w:rsidRPr="00324268">
        <w:rPr>
          <w:i/>
          <w:lang w:val="en-GB"/>
        </w:rPr>
        <w:t>B</w:t>
      </w:r>
      <w:r w:rsidRPr="00324268">
        <w:rPr>
          <w:i/>
        </w:rPr>
        <w:t xml:space="preserve"> </w:t>
      </w:r>
      <w:r w:rsidRPr="00324268">
        <w:t>изменить следующим образом:</w:t>
      </w:r>
    </w:p>
    <w:p w:rsidR="00324268" w:rsidRPr="00324268" w:rsidRDefault="00324268" w:rsidP="006A2044">
      <w:pPr>
        <w:pStyle w:val="HChGR"/>
      </w:pPr>
      <w:r w:rsidRPr="00324268">
        <w:tab/>
        <w:t>«</w:t>
      </w:r>
      <w:r w:rsidRPr="00324268">
        <w:rPr>
          <w:lang w:val="en-GB"/>
        </w:rPr>
        <w:t>II</w:t>
      </w:r>
      <w:r w:rsidRPr="00324268">
        <w:t>.</w:t>
      </w:r>
      <w:r w:rsidRPr="00324268">
        <w:tab/>
        <w:t>Текст глобальных технических правил»</w:t>
      </w:r>
    </w:p>
    <w:p w:rsidR="00324268" w:rsidRPr="00324268" w:rsidRDefault="00324268" w:rsidP="00324268">
      <w:pPr>
        <w:pStyle w:val="SingleTxtGR"/>
        <w:rPr>
          <w:i/>
        </w:rPr>
      </w:pPr>
      <w:r w:rsidRPr="00324268">
        <w:rPr>
          <w:i/>
        </w:rPr>
        <w:t xml:space="preserve">Часть </w:t>
      </w:r>
      <w:r w:rsidRPr="00324268">
        <w:rPr>
          <w:i/>
          <w:lang w:val="en-GB"/>
        </w:rPr>
        <w:t>I</w:t>
      </w:r>
      <w:r w:rsidRPr="00324268">
        <w:rPr>
          <w:i/>
        </w:rPr>
        <w:t xml:space="preserve"> (прежняя </w:t>
      </w:r>
      <w:r w:rsidRPr="00324268">
        <w:rPr>
          <w:i/>
          <w:lang w:val="en-GB"/>
        </w:rPr>
        <w:t>B</w:t>
      </w:r>
      <w:r w:rsidRPr="00324268">
        <w:rPr>
          <w:i/>
        </w:rPr>
        <w:t>),</w:t>
      </w:r>
    </w:p>
    <w:p w:rsidR="00324268" w:rsidRPr="00324268" w:rsidRDefault="00324268" w:rsidP="00324268">
      <w:pPr>
        <w:pStyle w:val="SingleTxtGR"/>
      </w:pPr>
      <w:r w:rsidRPr="00324268">
        <w:rPr>
          <w:i/>
        </w:rPr>
        <w:t xml:space="preserve">Включить новый пункт 5.3.3.1 </w:t>
      </w:r>
      <w:r w:rsidRPr="00324268">
        <w:t>следующего содержания:</w:t>
      </w:r>
    </w:p>
    <w:p w:rsidR="00324268" w:rsidRPr="00324268" w:rsidRDefault="00324268" w:rsidP="00324268">
      <w:pPr>
        <w:pStyle w:val="SingleTxtGR"/>
      </w:pPr>
      <w:r w:rsidRPr="00324268">
        <w:t>«5.3.3.1</w:t>
      </w:r>
      <w:r w:rsidRPr="00324268">
        <w:tab/>
        <w:t>Блокирующим устройством может быть:</w:t>
      </w:r>
    </w:p>
    <w:p w:rsidR="00324268" w:rsidRPr="00324268" w:rsidRDefault="00324268" w:rsidP="006A2044">
      <w:pPr>
        <w:pStyle w:val="SingleTxtGR"/>
        <w:ind w:left="2268"/>
      </w:pPr>
      <w:r w:rsidRPr="00324268">
        <w:rPr>
          <w:lang w:val="en-GB"/>
        </w:rPr>
        <w:t>a</w:t>
      </w:r>
      <w:r w:rsidRPr="00324268">
        <w:t>)</w:t>
      </w:r>
      <w:r w:rsidRPr="00324268">
        <w:tab/>
        <w:t>детская предохранительная система;</w:t>
      </w:r>
    </w:p>
    <w:p w:rsidR="00324268" w:rsidRPr="00324268" w:rsidRDefault="00324268" w:rsidP="006A2044">
      <w:pPr>
        <w:pStyle w:val="SingleTxtGR"/>
        <w:ind w:left="2835" w:hanging="567"/>
      </w:pPr>
      <w:r w:rsidRPr="00324268">
        <w:rPr>
          <w:lang w:val="en-GB"/>
        </w:rPr>
        <w:t>b</w:t>
      </w:r>
      <w:r w:rsidRPr="00324268">
        <w:t>)</w:t>
      </w:r>
      <w:r w:rsidRPr="00324268">
        <w:tab/>
        <w:t>легкодоступное блокирующее/разблокирующее устройство, расположенное внутри транспортного средства;</w:t>
      </w:r>
    </w:p>
    <w:p w:rsidR="00324268" w:rsidRPr="00324268" w:rsidRDefault="00324268" w:rsidP="006A2044">
      <w:pPr>
        <w:pStyle w:val="SingleTxtGR"/>
        <w:ind w:left="2835" w:hanging="567"/>
      </w:pPr>
      <w:r w:rsidRPr="00324268">
        <w:rPr>
          <w:lang w:val="en-GB"/>
        </w:rPr>
        <w:t>c</w:t>
      </w:r>
      <w:r w:rsidRPr="00324268">
        <w:t>)</w:t>
      </w:r>
      <w:r w:rsidRPr="00324268">
        <w:tab/>
        <w:t>система, которая исключает возможность срабатывания внутренней дверной ручки или другого внутреннего отпир</w:t>
      </w:r>
      <w:r w:rsidRPr="00324268">
        <w:t>а</w:t>
      </w:r>
      <w:r w:rsidRPr="00324268">
        <w:t>ющего устройства при скорости транспортного средства 4</w:t>
      </w:r>
      <w:r w:rsidR="009745D6">
        <w:rPr>
          <w:lang w:val="en-US"/>
        </w:rPr>
        <w:t> </w:t>
      </w:r>
      <w:r w:rsidRPr="00324268">
        <w:t xml:space="preserve">км/ч или более; или </w:t>
      </w:r>
    </w:p>
    <w:p w:rsidR="00E12C5F" w:rsidRPr="006B3F8A" w:rsidRDefault="00324268" w:rsidP="006A2044">
      <w:pPr>
        <w:pStyle w:val="SingleTxtGR"/>
        <w:ind w:left="2835" w:hanging="567"/>
      </w:pPr>
      <w:r w:rsidRPr="00324268">
        <w:rPr>
          <w:lang w:val="en-GB"/>
        </w:rPr>
        <w:t>d</w:t>
      </w:r>
      <w:r w:rsidRPr="00324268">
        <w:t>)</w:t>
      </w:r>
      <w:r w:rsidRPr="00324268">
        <w:tab/>
        <w:t xml:space="preserve">любое сочетание систем, предусмотренных в пунктах а), </w:t>
      </w:r>
      <w:r w:rsidRPr="00324268">
        <w:rPr>
          <w:lang w:val="en-GB"/>
        </w:rPr>
        <w:t>b</w:t>
      </w:r>
      <w:r w:rsidRPr="00324268">
        <w:t>) или с) выше.»</w:t>
      </w:r>
      <w:r w:rsidR="006B3F8A" w:rsidRPr="006B3F8A">
        <w:t>.</w:t>
      </w:r>
    </w:p>
    <w:p w:rsidR="00324268" w:rsidRPr="006B3F8A" w:rsidRDefault="00324268" w:rsidP="00324268">
      <w:pPr>
        <w:pStyle w:val="SingleTxtGR"/>
        <w:spacing w:before="240" w:after="0"/>
        <w:jc w:val="center"/>
        <w:rPr>
          <w:u w:val="single"/>
        </w:rPr>
      </w:pPr>
      <w:r w:rsidRPr="006B3F8A">
        <w:rPr>
          <w:u w:val="single"/>
        </w:rPr>
        <w:tab/>
      </w:r>
      <w:r w:rsidRPr="006B3F8A">
        <w:rPr>
          <w:u w:val="single"/>
        </w:rPr>
        <w:tab/>
      </w:r>
      <w:r w:rsidRPr="006B3F8A">
        <w:rPr>
          <w:u w:val="single"/>
        </w:rPr>
        <w:tab/>
      </w:r>
    </w:p>
    <w:sectPr w:rsidR="00324268" w:rsidRPr="006B3F8A" w:rsidSect="00324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FA" w:rsidRPr="00A312BC" w:rsidRDefault="009002FA" w:rsidP="00A312BC"/>
  </w:endnote>
  <w:endnote w:type="continuationSeparator" w:id="0">
    <w:p w:rsidR="009002FA" w:rsidRPr="00A312BC" w:rsidRDefault="009002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8" w:rsidRPr="00324268" w:rsidRDefault="00324268">
    <w:pPr>
      <w:pStyle w:val="Footer"/>
    </w:pPr>
    <w:r w:rsidRPr="00324268">
      <w:rPr>
        <w:b/>
        <w:sz w:val="18"/>
      </w:rPr>
      <w:fldChar w:fldCharType="begin"/>
    </w:r>
    <w:r w:rsidRPr="00324268">
      <w:rPr>
        <w:b/>
        <w:sz w:val="18"/>
      </w:rPr>
      <w:instrText xml:space="preserve"> PAGE  \* MERGEFORMAT </w:instrText>
    </w:r>
    <w:r w:rsidRPr="00324268">
      <w:rPr>
        <w:b/>
        <w:sz w:val="18"/>
      </w:rPr>
      <w:fldChar w:fldCharType="separate"/>
    </w:r>
    <w:r w:rsidR="002F6B19">
      <w:rPr>
        <w:b/>
        <w:noProof/>
        <w:sz w:val="18"/>
      </w:rPr>
      <w:t>2</w:t>
    </w:r>
    <w:r w:rsidRPr="00324268">
      <w:rPr>
        <w:b/>
        <w:sz w:val="18"/>
      </w:rPr>
      <w:fldChar w:fldCharType="end"/>
    </w:r>
    <w:r>
      <w:rPr>
        <w:b/>
        <w:sz w:val="18"/>
      </w:rPr>
      <w:tab/>
    </w:r>
    <w:r>
      <w:t>GE.17-05618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8" w:rsidRPr="00324268" w:rsidRDefault="00324268" w:rsidP="0032426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GE.17-05618</w:t>
    </w:r>
    <w:r>
      <w:tab/>
    </w:r>
    <w:r w:rsidRPr="00324268">
      <w:rPr>
        <w:b/>
        <w:sz w:val="18"/>
      </w:rPr>
      <w:fldChar w:fldCharType="begin"/>
    </w:r>
    <w:r w:rsidRPr="00324268">
      <w:rPr>
        <w:b/>
        <w:sz w:val="18"/>
      </w:rPr>
      <w:instrText xml:space="preserve"> PAGE  \* MERGEFORMAT </w:instrText>
    </w:r>
    <w:r w:rsidRPr="00324268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3242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24268" w:rsidRDefault="00324268" w:rsidP="0032426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D66294" wp14:editId="3A906C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17-05618  (R)</w:t>
    </w:r>
    <w:r w:rsidR="00834872">
      <w:rPr>
        <w:lang w:val="en-US"/>
      </w:rPr>
      <w:t xml:space="preserve">  030517  030517</w:t>
    </w:r>
    <w:r>
      <w:br/>
    </w:r>
    <w:r w:rsidRPr="00324268">
      <w:rPr>
        <w:rFonts w:ascii="C39T30Lfz" w:hAnsi="C39T30Lfz"/>
        <w:spacing w:val="0"/>
        <w:w w:val="100"/>
        <w:sz w:val="56"/>
      </w:rPr>
      <w:t></w:t>
    </w:r>
    <w:r w:rsidRPr="00324268">
      <w:rPr>
        <w:rFonts w:ascii="C39T30Lfz" w:hAnsi="C39T30Lfz"/>
        <w:spacing w:val="0"/>
        <w:w w:val="100"/>
        <w:sz w:val="56"/>
      </w:rPr>
      <w:t></w:t>
    </w:r>
    <w:r w:rsidRPr="00324268">
      <w:rPr>
        <w:rFonts w:ascii="C39T30Lfz" w:hAnsi="C39T30Lfz"/>
        <w:spacing w:val="0"/>
        <w:w w:val="100"/>
        <w:sz w:val="56"/>
      </w:rPr>
      <w:t></w:t>
    </w:r>
    <w:r w:rsidRPr="00324268">
      <w:rPr>
        <w:rFonts w:ascii="C39T30Lfz" w:hAnsi="C39T30Lfz"/>
        <w:spacing w:val="0"/>
        <w:w w:val="100"/>
        <w:sz w:val="56"/>
      </w:rPr>
      <w:t></w:t>
    </w:r>
    <w:r w:rsidRPr="00324268">
      <w:rPr>
        <w:rFonts w:ascii="C39T30Lfz" w:hAnsi="C39T30Lfz"/>
        <w:spacing w:val="0"/>
        <w:w w:val="100"/>
        <w:sz w:val="56"/>
      </w:rPr>
      <w:t></w:t>
    </w:r>
    <w:r w:rsidRPr="00324268">
      <w:rPr>
        <w:rFonts w:ascii="C39T30Lfz" w:hAnsi="C39T30Lfz"/>
        <w:spacing w:val="0"/>
        <w:w w:val="100"/>
        <w:sz w:val="56"/>
      </w:rPr>
      <w:t></w:t>
    </w:r>
    <w:r w:rsidRPr="00324268">
      <w:rPr>
        <w:rFonts w:ascii="C39T30Lfz" w:hAnsi="C39T30Lfz"/>
        <w:spacing w:val="0"/>
        <w:w w:val="100"/>
        <w:sz w:val="56"/>
      </w:rPr>
      <w:t></w:t>
    </w:r>
    <w:r w:rsidRPr="00324268">
      <w:rPr>
        <w:rFonts w:ascii="C39T30Lfz" w:hAnsi="C39T30Lfz"/>
        <w:spacing w:val="0"/>
        <w:w w:val="100"/>
        <w:sz w:val="56"/>
      </w:rPr>
      <w:t></w:t>
    </w:r>
    <w:r w:rsidRPr="0032426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9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FA" w:rsidRPr="001075E9" w:rsidRDefault="009002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02FA" w:rsidRDefault="009002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4268" w:rsidRPr="00B9645F" w:rsidRDefault="00324268" w:rsidP="006A2044">
      <w:pPr>
        <w:pStyle w:val="FootnoteText"/>
        <w:rPr>
          <w:lang w:val="ru-RU"/>
        </w:rPr>
      </w:pPr>
      <w:r>
        <w:rPr>
          <w:lang w:val="ru-RU"/>
        </w:rPr>
        <w:tab/>
      </w:r>
      <w:r w:rsidRPr="006A2044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B9645F" w:rsidRPr="00B9645F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8" w:rsidRPr="00324268" w:rsidRDefault="002F6B19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 w:rsidR="00BA76EA">
      <w:t>ECE/TRANS/WP.29/2017/97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8" w:rsidRPr="00324268" w:rsidRDefault="002F6B19" w:rsidP="0032426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A76EA">
      <w:t>ECE/TRANS/WP.29/2017/97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72" w:rsidRDefault="00834872" w:rsidP="002402C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F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02C6"/>
    <w:rsid w:val="00255343"/>
    <w:rsid w:val="0027151D"/>
    <w:rsid w:val="002A2EFC"/>
    <w:rsid w:val="002B0106"/>
    <w:rsid w:val="002B74B1"/>
    <w:rsid w:val="002C0E18"/>
    <w:rsid w:val="002D101F"/>
    <w:rsid w:val="002D5AAC"/>
    <w:rsid w:val="002E5067"/>
    <w:rsid w:val="002F405F"/>
    <w:rsid w:val="002F6B19"/>
    <w:rsid w:val="002F7EEC"/>
    <w:rsid w:val="00301299"/>
    <w:rsid w:val="00305C08"/>
    <w:rsid w:val="00307FB6"/>
    <w:rsid w:val="00317339"/>
    <w:rsid w:val="00322004"/>
    <w:rsid w:val="00324268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3084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2044"/>
    <w:rsid w:val="006B3F8A"/>
    <w:rsid w:val="006C2031"/>
    <w:rsid w:val="006D1A81"/>
    <w:rsid w:val="006D461A"/>
    <w:rsid w:val="006E3580"/>
    <w:rsid w:val="006F35EE"/>
    <w:rsid w:val="007021FF"/>
    <w:rsid w:val="00712895"/>
    <w:rsid w:val="00734ACB"/>
    <w:rsid w:val="00757357"/>
    <w:rsid w:val="00792497"/>
    <w:rsid w:val="00793BA9"/>
    <w:rsid w:val="00806737"/>
    <w:rsid w:val="00825F8D"/>
    <w:rsid w:val="00834872"/>
    <w:rsid w:val="00834B71"/>
    <w:rsid w:val="0086445C"/>
    <w:rsid w:val="00894693"/>
    <w:rsid w:val="008A08D7"/>
    <w:rsid w:val="008A37C8"/>
    <w:rsid w:val="008B6909"/>
    <w:rsid w:val="008D53B6"/>
    <w:rsid w:val="008F7609"/>
    <w:rsid w:val="009002FA"/>
    <w:rsid w:val="00906890"/>
    <w:rsid w:val="00911BE4"/>
    <w:rsid w:val="00932EAF"/>
    <w:rsid w:val="00951972"/>
    <w:rsid w:val="00952995"/>
    <w:rsid w:val="009608F3"/>
    <w:rsid w:val="009745D6"/>
    <w:rsid w:val="009A24AC"/>
    <w:rsid w:val="009C6FE6"/>
    <w:rsid w:val="00A14DA8"/>
    <w:rsid w:val="00A312BC"/>
    <w:rsid w:val="00A84021"/>
    <w:rsid w:val="00A84D35"/>
    <w:rsid w:val="00A917B3"/>
    <w:rsid w:val="00AB4B51"/>
    <w:rsid w:val="00B007A7"/>
    <w:rsid w:val="00B10CC7"/>
    <w:rsid w:val="00B36DF7"/>
    <w:rsid w:val="00B539E7"/>
    <w:rsid w:val="00B60BBC"/>
    <w:rsid w:val="00B62458"/>
    <w:rsid w:val="00B9645F"/>
    <w:rsid w:val="00BA76E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447D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ECE/TRANS/WP.29/2017/97</vt:lpstr>
      <vt:lpstr>ECE/TRANS/WP.29/2017/97</vt:lpstr>
      <vt:lpstr>A/</vt:lpstr>
    </vt:vector>
  </TitlesOfParts>
  <Company>DCM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ECE/TRANS/WP.29/2017/97</dc:title>
  <dc:creator>Ovchinnikova Olga</dc:creator>
  <cp:lastModifiedBy>Benedicte Boudol</cp:lastModifiedBy>
  <cp:revision>2</cp:revision>
  <cp:lastPrinted>2017-05-03T10:40:00Z</cp:lastPrinted>
  <dcterms:created xsi:type="dcterms:W3CDTF">2017-05-10T13:26:00Z</dcterms:created>
  <dcterms:modified xsi:type="dcterms:W3CDTF">2017-05-10T13:26:00Z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