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5735B">
                <w:t>TRANS/WP.29/2017/46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C77C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05735B" w:rsidP="007B199D">
            <w:r>
              <w:rPr>
                <w:lang w:val="en-US"/>
              </w:rPr>
              <w:t>23 December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C77C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5735B" w:rsidRPr="0005735B" w:rsidRDefault="0005735B" w:rsidP="0005735B">
      <w:pPr>
        <w:spacing w:before="120" w:after="120"/>
        <w:rPr>
          <w:sz w:val="28"/>
          <w:szCs w:val="28"/>
        </w:rPr>
      </w:pPr>
      <w:r w:rsidRPr="0005735B">
        <w:rPr>
          <w:sz w:val="28"/>
          <w:szCs w:val="28"/>
        </w:rPr>
        <w:t>Комитет по внутреннему транспорту</w:t>
      </w:r>
    </w:p>
    <w:p w:rsidR="0005735B" w:rsidRPr="0005735B" w:rsidRDefault="0005735B" w:rsidP="0005735B">
      <w:pPr>
        <w:spacing w:before="120" w:after="120"/>
        <w:rPr>
          <w:b/>
          <w:sz w:val="24"/>
          <w:szCs w:val="24"/>
        </w:rPr>
      </w:pPr>
      <w:r w:rsidRPr="0005735B">
        <w:rPr>
          <w:b/>
          <w:sz w:val="24"/>
          <w:szCs w:val="24"/>
        </w:rPr>
        <w:t xml:space="preserve">Всемирный форум для согласования правил </w:t>
      </w:r>
      <w:r w:rsidRPr="0005735B">
        <w:rPr>
          <w:b/>
          <w:sz w:val="24"/>
          <w:szCs w:val="24"/>
        </w:rPr>
        <w:br/>
        <w:t>в области транспортных средств</w:t>
      </w:r>
    </w:p>
    <w:p w:rsidR="0005735B" w:rsidRPr="0005735B" w:rsidRDefault="0005735B" w:rsidP="0005735B">
      <w:pPr>
        <w:rPr>
          <w:b/>
        </w:rPr>
      </w:pPr>
      <w:r w:rsidRPr="0005735B">
        <w:rPr>
          <w:b/>
        </w:rPr>
        <w:t>171-я сессия</w:t>
      </w:r>
    </w:p>
    <w:p w:rsidR="0005735B" w:rsidRPr="0005735B" w:rsidRDefault="0005735B" w:rsidP="0005735B">
      <w:r w:rsidRPr="0005735B">
        <w:t>Женева, 14–17 марта 2017 года</w:t>
      </w:r>
    </w:p>
    <w:p w:rsidR="0005735B" w:rsidRPr="0005735B" w:rsidRDefault="0005735B" w:rsidP="0005735B">
      <w:r w:rsidRPr="0005735B">
        <w:t>Пункт 4.14 предварительной повестки дня</w:t>
      </w:r>
    </w:p>
    <w:p w:rsidR="0005735B" w:rsidRPr="0005735B" w:rsidRDefault="0005735B" w:rsidP="0005735B">
      <w:pPr>
        <w:rPr>
          <w:b/>
        </w:rPr>
      </w:pPr>
      <w:r w:rsidRPr="0005735B">
        <w:rPr>
          <w:b/>
        </w:rPr>
        <w:t xml:space="preserve">Соглашение 1958 года − Предложения по поправкам </w:t>
      </w:r>
      <w:r w:rsidRPr="0005735B">
        <w:rPr>
          <w:b/>
        </w:rPr>
        <w:br/>
        <w:t xml:space="preserve">к Сводной резолюции о конструкции транспортных </w:t>
      </w:r>
      <w:r w:rsidRPr="0005735B">
        <w:rPr>
          <w:b/>
        </w:rPr>
        <w:br/>
        <w:t xml:space="preserve">средств (СР.3), представленные рабочими группами </w:t>
      </w:r>
      <w:r w:rsidRPr="0005735B">
        <w:rPr>
          <w:b/>
        </w:rPr>
        <w:br/>
        <w:t>Всемирному форуму для рассмотрения</w:t>
      </w:r>
    </w:p>
    <w:p w:rsidR="0005735B" w:rsidRPr="0005735B" w:rsidRDefault="0005735B" w:rsidP="0005735B">
      <w:pPr>
        <w:pStyle w:val="HChGR"/>
      </w:pPr>
      <w:r w:rsidRPr="0005735B">
        <w:tab/>
      </w:r>
      <w:r w:rsidRPr="0005735B">
        <w:tab/>
        <w:t>Предложение по проекту руководящих положений о</w:t>
      </w:r>
      <w:r>
        <w:rPr>
          <w:lang w:val="en-US"/>
        </w:rPr>
        <w:t> </w:t>
      </w:r>
      <w:r w:rsidRPr="0005735B">
        <w:t>кибербезопасности и защите данных</w:t>
      </w:r>
    </w:p>
    <w:p w:rsidR="0005735B" w:rsidRPr="0005735B" w:rsidRDefault="0005735B" w:rsidP="0005735B">
      <w:pPr>
        <w:pStyle w:val="H1GR"/>
      </w:pPr>
      <w:r w:rsidRPr="0005735B">
        <w:tab/>
      </w:r>
      <w:r w:rsidRPr="0005735B">
        <w:tab/>
        <w:t>Представлено неофициальной рабочей группой по</w:t>
      </w:r>
      <w:r>
        <w:rPr>
          <w:lang w:val="en-US"/>
        </w:rPr>
        <w:t> </w:t>
      </w:r>
      <w:r w:rsidRPr="0005735B">
        <w:t>интеллектуальным транспортным системам/автоматизированному вождению</w:t>
      </w:r>
      <w:r w:rsidRPr="0005735B">
        <w:rPr>
          <w:b w:val="0"/>
          <w:sz w:val="20"/>
        </w:rPr>
        <w:footnoteReference w:customMarkFollows="1" w:id="1"/>
        <w:t>*</w:t>
      </w:r>
    </w:p>
    <w:p w:rsidR="0005735B" w:rsidRPr="0005735B" w:rsidRDefault="0005735B" w:rsidP="0005735B">
      <w:pPr>
        <w:pStyle w:val="SingleTxtGR"/>
      </w:pPr>
      <w:r w:rsidRPr="0005735B">
        <w:tab/>
        <w:t>Воспроизведенный ниже текст был подготовлен экспертом от неофициальной рабочей группы (НРГ) по интеллектуальным транспортным системам/</w:t>
      </w:r>
      <w:r w:rsidR="00093C60" w:rsidRPr="00093C60">
        <w:br/>
      </w:r>
      <w:r w:rsidRPr="0005735B">
        <w:t>автоматизированному вождению (ИТС/АВ). В его основу положен рабочий документ ITS/AD-10-11-Rev.1, распространенный в ходе десятой сессии неофициальной рабочей группы по ИТС/АВ. НРГ по ИТС/АВ предлагает Всемирному форуму для согласования правил в области транспортных средств (WP.29) принять настоящие Руководящие положения о кибербезопасности и защите данных на его мартовской сессии 2017 года.</w:t>
      </w:r>
    </w:p>
    <w:p w:rsidR="0005735B" w:rsidRPr="0005735B" w:rsidRDefault="0005735B" w:rsidP="0005735B">
      <w:pPr>
        <w:pStyle w:val="SingleTxtGR"/>
      </w:pPr>
      <w:r w:rsidRPr="0005735B">
        <w:br w:type="page"/>
      </w:r>
    </w:p>
    <w:p w:rsidR="0005735B" w:rsidRPr="0005735B" w:rsidRDefault="0005735B" w:rsidP="0005735B">
      <w:pPr>
        <w:pStyle w:val="HChGR"/>
      </w:pPr>
      <w:r w:rsidRPr="0005735B">
        <w:lastRenderedPageBreak/>
        <w:tab/>
        <w:t>I.</w:t>
      </w:r>
      <w:r w:rsidRPr="0005735B">
        <w:tab/>
        <w:t>Предложение</w:t>
      </w:r>
    </w:p>
    <w:p w:rsidR="0005735B" w:rsidRPr="0005735B" w:rsidRDefault="0005735B" w:rsidP="0005735B">
      <w:pPr>
        <w:pStyle w:val="HChGR"/>
      </w:pPr>
      <w:r w:rsidRPr="0005735B">
        <w:tab/>
      </w:r>
      <w:r w:rsidRPr="0005735B">
        <w:tab/>
      </w:r>
      <w:r w:rsidR="00093C60" w:rsidRPr="00093C60">
        <w:rPr>
          <w:b w:val="0"/>
          <w:sz w:val="20"/>
        </w:rPr>
        <w:t>"</w:t>
      </w:r>
      <w:r w:rsidRPr="0005735B">
        <w:t>Руководящие положения о кибербезопасности и</w:t>
      </w:r>
      <w:r>
        <w:rPr>
          <w:lang w:val="en-US"/>
        </w:rPr>
        <w:t> </w:t>
      </w:r>
      <w:r w:rsidRPr="0005735B">
        <w:t>защите данных</w:t>
      </w:r>
    </w:p>
    <w:p w:rsidR="0005735B" w:rsidRPr="0005735B" w:rsidRDefault="0005735B" w:rsidP="0005735B">
      <w:pPr>
        <w:pStyle w:val="H1GR"/>
      </w:pPr>
      <w:r w:rsidRPr="0005735B">
        <w:tab/>
      </w:r>
      <w:r w:rsidRPr="0005735B">
        <w:tab/>
        <w:t xml:space="preserve">Руководящие положения о мерах по обеспечению кибербезопасности и защиты данных подключенных транспортных средств и транспортных средств, оснащенных технологиями автоматизированного вождения </w:t>
      </w:r>
    </w:p>
    <w:p w:rsidR="0005735B" w:rsidRPr="0005735B" w:rsidRDefault="0005735B" w:rsidP="0005735B">
      <w:pPr>
        <w:pStyle w:val="H1GR"/>
      </w:pPr>
      <w:r w:rsidRPr="0005735B">
        <w:tab/>
      </w:r>
      <w:r w:rsidRPr="0005735B">
        <w:tab/>
        <w:t>1.</w:t>
      </w:r>
      <w:r w:rsidRPr="0005735B">
        <w:tab/>
      </w:r>
      <w:r w:rsidRPr="0005735B">
        <w:tab/>
        <w:t>Преамбула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1.1</w:t>
      </w:r>
      <w:r w:rsidRPr="0005735B">
        <w:tab/>
        <w:t xml:space="preserve">В связи с переходом к цифровым технологиям в области мобильности и сопутствующим ему увеличением объема данных к безопасности транспортных средств и инфраструктуре, а также к защите прав и свобод субъектов данных предъявляются новые требования.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1.2</w:t>
      </w:r>
      <w:r w:rsidRPr="0005735B">
        <w:tab/>
        <w:t>По мере увеличения степени автоматизации и взаимосвязанности функций управления будет расти значимость вопросов шифрования данных и кибербезопасности.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1.3</w:t>
      </w:r>
      <w:r w:rsidRPr="0005735B">
        <w:tab/>
        <w:t>Следовательно, необходимы четкие правила в области кибербезопасности и защиты данных для подключенных транспортных средств и транспортных средств, оснащенных технологиями автоматизированного вождения (ТАВ). Транспортные средства должны быть защищены от внешнего вмешательства и манипулирования.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1.4</w:t>
      </w:r>
      <w:r w:rsidRPr="0005735B">
        <w:tab/>
        <w:t xml:space="preserve">Настоящие руководящие положения призваны довести до сведения автопроизводителей, поставщиков компонентов/систем и поставщиков услуг требования, предъявляемые с целью обеспечения высокого уровня кибербезопасности и защиты данных систем, устанавливаемых на транспортных средствах. Они могут использовать альтернативные подходы при условии, что такие подходы доказуемо обеспечивают по меньшей мере эквивалентный уровень </w:t>
      </w:r>
      <w:r w:rsidR="008734F6" w:rsidRPr="008734F6">
        <w:br/>
      </w:r>
      <w:r w:rsidRPr="0005735B">
        <w:t>безопасности.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1.5</w:t>
      </w:r>
      <w:r w:rsidRPr="0005735B">
        <w:tab/>
        <w:t>Настоящие руководящие положения следует рассматривать в качестве временного руководства до завершения ведущихся исследований и совместных разработок, а также подготовки более подробных и согласованных на глобальном уровне требований к кибербезопасности и защите данных.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1.6</w:t>
      </w:r>
      <w:r w:rsidRPr="0005735B">
        <w:tab/>
        <w:t>Настоящие руководящие положения послужат основой для разработки в рамках правил ООН предписаний, направленных на обеспечение кибербезопасности и защиты данных.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1.7</w:t>
      </w:r>
      <w:r w:rsidRPr="0005735B">
        <w:tab/>
        <w:t xml:space="preserve">Настоящие руководящие положения не затрагивают существующее законодательство о защите данных. Они не направлены на уменьшение или увеличение содержания законодательных норм о защите данных. </w:t>
      </w:r>
    </w:p>
    <w:p w:rsidR="0005735B" w:rsidRPr="0005735B" w:rsidRDefault="0005735B" w:rsidP="0005735B">
      <w:pPr>
        <w:pStyle w:val="H1GR"/>
      </w:pPr>
      <w:r w:rsidRPr="0005735B">
        <w:lastRenderedPageBreak/>
        <w:tab/>
      </w:r>
      <w:r w:rsidRPr="0005735B">
        <w:tab/>
        <w:t>2.</w:t>
      </w:r>
      <w:r w:rsidRPr="0005735B">
        <w:tab/>
      </w:r>
      <w:r w:rsidRPr="0005735B">
        <w:tab/>
        <w:t>Область применения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2.1</w:t>
      </w:r>
      <w:r w:rsidRPr="0005735B">
        <w:tab/>
        <w:t>В настоящих руководящих положениях рассматриваются меры для подключенных транспортных средств и транспортных средств с ТАВ в плане кибербезопасности и защиты данных.</w:t>
      </w:r>
    </w:p>
    <w:p w:rsidR="0005735B" w:rsidRPr="0005735B" w:rsidRDefault="0005735B" w:rsidP="0005735B">
      <w:pPr>
        <w:pStyle w:val="H1GR"/>
      </w:pPr>
      <w:r w:rsidRPr="0005735B">
        <w:tab/>
      </w:r>
      <w:r w:rsidRPr="0005735B">
        <w:tab/>
        <w:t>3.</w:t>
      </w:r>
      <w:r w:rsidRPr="0005735B">
        <w:tab/>
      </w:r>
      <w:r w:rsidRPr="0005735B">
        <w:tab/>
        <w:t>Определения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3.1</w:t>
      </w:r>
      <w:r w:rsidRPr="0005735B">
        <w:tab/>
        <w:t>(Зарезервирован)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3.2</w:t>
      </w:r>
      <w:r w:rsidRPr="0005735B">
        <w:tab/>
        <w:t>"</w:t>
      </w:r>
      <w:r w:rsidRPr="0005735B">
        <w:rPr>
          <w:i/>
          <w:iCs/>
        </w:rPr>
        <w:t>Подключенное транспортное средство</w:t>
      </w:r>
      <w:r w:rsidRPr="0005735B">
        <w:t>" означает транспортное средство с установленным на нем устройством, предназначенным для обеспечения беспроводной связи или коммуникации – возможно в связи с технологиями автоматизированного вождения – с</w:t>
      </w:r>
      <w:r>
        <w:rPr>
          <w:lang w:val="en-US"/>
        </w:rPr>
        <w:t> </w:t>
      </w:r>
      <w:r w:rsidRPr="0005735B">
        <w:t>внешними устройствами, автомобилями, сетями или сервисами.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3.3</w:t>
      </w:r>
      <w:r w:rsidRPr="0005735B">
        <w:tab/>
        <w:t>"</w:t>
      </w:r>
      <w:r w:rsidRPr="0005735B">
        <w:rPr>
          <w:i/>
          <w:iCs/>
        </w:rPr>
        <w:t>Кибербезопасность</w:t>
      </w:r>
      <w:r w:rsidRPr="0005735B">
        <w:t>" означает сохранение конфиденциальности, целостности и доступности информации в "киберпространстве", т.е. в сложной среде, создаваемой в результате взаимодействия людей, программного обеспечения и сервисов (например, в Интернете) через подключенные к ней технические устройства и сети, которая не существует в какой-либо физической форме.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3.4</w:t>
      </w:r>
      <w:r w:rsidRPr="0005735B">
        <w:tab/>
        <w:t>"</w:t>
      </w:r>
      <w:r w:rsidRPr="0005735B">
        <w:rPr>
          <w:i/>
          <w:iCs/>
        </w:rPr>
        <w:t>Защита данных</w:t>
      </w:r>
      <w:r w:rsidRPr="0005735B">
        <w:t>" означает право физического лица на уважение его личной и семейной жизни, жилища и сообщений в связи с обработкой персональных данных.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3.5</w:t>
      </w:r>
      <w:r w:rsidRPr="0005735B">
        <w:tab/>
        <w:t>"</w:t>
      </w:r>
      <w:r w:rsidRPr="0005735B">
        <w:rPr>
          <w:i/>
          <w:iCs/>
        </w:rPr>
        <w:t>Субъект данных</w:t>
      </w:r>
      <w:r w:rsidRPr="0005735B">
        <w:t>" означает физическое лицо, являющееся субъектом персональных данных (например, владелец или водитель транспортного средства).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3.6</w:t>
      </w:r>
      <w:r w:rsidRPr="0005735B">
        <w:tab/>
        <w:t>"</w:t>
      </w:r>
      <w:r w:rsidRPr="0005735B">
        <w:rPr>
          <w:i/>
          <w:iCs/>
        </w:rPr>
        <w:t>Защита данных по умолчанию</w:t>
      </w:r>
      <w:r w:rsidRPr="0005735B">
        <w:t>" означает обязанность оператора осуществлять технические и организационные меры, обеспечивающие по умолчанию обработку только тех персональных данных, которые необходимы для достижения каждой конкретной цели обработки.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3.7</w:t>
      </w:r>
      <w:r w:rsidRPr="0005735B">
        <w:tab/>
        <w:t>"</w:t>
      </w:r>
      <w:r w:rsidRPr="0005735B">
        <w:rPr>
          <w:i/>
          <w:iCs/>
        </w:rPr>
        <w:t>Защита данных специальная</w:t>
      </w:r>
      <w:r w:rsidRPr="0005735B">
        <w:t>" означает обязанность оператора осуществлять технические и организационные меры, адаптированные к действиям оператора по обработке и направленные на обеспечение принципов защиты прав субъектов данных путем снижения вероятности и степени риска для их личной и семейной жизни, жилища и сообщений.</w:t>
      </w:r>
    </w:p>
    <w:p w:rsidR="0005735B" w:rsidRPr="0005735B" w:rsidRDefault="0005735B" w:rsidP="0005735B">
      <w:pPr>
        <w:pStyle w:val="H1GR"/>
        <w:tabs>
          <w:tab w:val="left" w:pos="1107"/>
        </w:tabs>
        <w:ind w:left="2268" w:hanging="2268"/>
      </w:pPr>
      <w:r w:rsidRPr="0005735B">
        <w:tab/>
      </w:r>
      <w:r w:rsidRPr="0005735B">
        <w:tab/>
        <w:t>4.</w:t>
      </w:r>
      <w:r w:rsidRPr="0005735B">
        <w:tab/>
      </w:r>
      <w:r w:rsidRPr="0005735B">
        <w:tab/>
        <w:t>Предъявляемые руководящими положениями требования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Pr="0005735B">
        <w:t>Для подключенных транспортных средств и транспортных средств с ТАВ должны приниматься меры обеспечения кибербезопасности и защиты данных, и они должны отвечать нижеизложенным требованиям.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4.1</w:t>
      </w:r>
      <w:r w:rsidRPr="0005735B">
        <w:tab/>
        <w:t>Общие положения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a)</w:t>
      </w:r>
      <w:r w:rsidRPr="0005735B">
        <w:tab/>
        <w:t>Должно уважаться право каждого человека на неприкосновенность частной жизни и сообщений.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b)</w:t>
      </w:r>
      <w:r w:rsidRPr="0005735B">
        <w:tab/>
        <w:t>Обработка персональных данных должна вестись законным, справедливым и транспарентным по отношению к субъекту данных образом.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c)</w:t>
      </w:r>
      <w:r w:rsidRPr="0005735B">
        <w:tab/>
        <w:t>Автопроизводители, поставщики компонентов/систем и поставщики услуг должны соблюдать принципы защиты данных по умолчанию и специальной защиты данных (см. определения в пунктах 3.6 и 3.7).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d)</w:t>
      </w:r>
      <w:r w:rsidRPr="0005735B">
        <w:tab/>
        <w:t xml:space="preserve">Автопроизводители, поставщики компонентов/систем и поставщики услуг должны обеспечивать надлежащую защиту как технических конструкций, так и данных и процессов от манипулирования и незаконного использования.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e)</w:t>
      </w:r>
      <w:r w:rsidRPr="0005735B">
        <w:tab/>
        <w:t>В целях предотвращения несанкционированного доступа к транспортным средствам через "киберпространство" автопроизводители, поставщики компонентов/систем и поставщики услуг должны обеспечивать надежное шифрование данных и сообщений.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f)</w:t>
      </w:r>
      <w:r w:rsidRPr="0005735B">
        <w:tab/>
        <w:t>Применительно к системе необходимо предусмотреть возможность проверки мер, принятых автопроизводителями, поставщиками компонентов/систем и поставщиками услуг для обеспечения кибербезопасности и защиты данных, путем независимого санкционированного аудита.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4.2</w:t>
      </w:r>
      <w:r w:rsidRPr="0005735B">
        <w:tab/>
        <w:t>Защита данных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4.2.1</w:t>
      </w:r>
      <w:r w:rsidRPr="0005735B">
        <w:tab/>
        <w:t>Принцип обработки персональных данных законным, справедливым и транспарентным образом означает, что необходимо, в частности: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a)</w:t>
      </w:r>
      <w:r w:rsidRPr="0005735B">
        <w:tab/>
        <w:t>уважать личность и неприкосновенность частной жизни субъекта данных;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b)</w:t>
      </w:r>
      <w:r w:rsidRPr="0005735B">
        <w:tab/>
        <w:t>не допускать дискриминации субъектов данных на основании их персональных данных;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c)</w:t>
      </w:r>
      <w:r w:rsidRPr="0005735B">
        <w:tab/>
        <w:t>учитывать разумные ожидания субъектов данных в отношении транспарентности и контекста обработки данных;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d)</w:t>
      </w:r>
      <w:r w:rsidRPr="0005735B">
        <w:tab/>
        <w:t>сохранять целостность и надежность систем информационных технологий и, в частности, не осуществлять тайных манипуляций при обработке данных;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e)</w:t>
      </w:r>
      <w:r w:rsidRPr="0005735B">
        <w:tab/>
        <w:t>учитывать преимущества обработки данных в условиях свободы потока информации, коммуникации и инноваций, причем субъекты данных должны соглашаться на обработку персональных данных, продиктованную превалирующими общественными интересами;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f)</w:t>
      </w:r>
      <w:r w:rsidRPr="0005735B">
        <w:tab/>
        <w:t>обеспечивать сохранение данных об индивидуальной мобильности, руководствуясь соображениями необходимости и целевого использования.</w:t>
      </w:r>
    </w:p>
    <w:p w:rsidR="0005735B" w:rsidRPr="0005735B" w:rsidRDefault="0005735B" w:rsidP="0005735B">
      <w:pPr>
        <w:pStyle w:val="SingleTxtGR"/>
        <w:keepNext/>
        <w:tabs>
          <w:tab w:val="clear" w:pos="1701"/>
        </w:tabs>
        <w:ind w:left="2268" w:hanging="1134"/>
      </w:pPr>
      <w:r w:rsidRPr="0005735B">
        <w:t>4.2.2</w:t>
      </w:r>
      <w:r w:rsidRPr="0005735B">
        <w:tab/>
        <w:t>Необходимо использовать технологии анонимизации и псевдонимизации данных.</w:t>
      </w:r>
    </w:p>
    <w:p w:rsidR="0005735B" w:rsidRPr="0005735B" w:rsidRDefault="0005735B" w:rsidP="0005735B">
      <w:pPr>
        <w:pStyle w:val="SingleTxtGR"/>
        <w:keepLines/>
        <w:tabs>
          <w:tab w:val="clear" w:pos="1701"/>
        </w:tabs>
        <w:ind w:left="2268" w:hanging="1134"/>
      </w:pPr>
      <w:r w:rsidRPr="0005735B">
        <w:tab/>
        <w:t xml:space="preserve">Субъекты данных должны получать полную информацию о том, какие данные, для каких целей и кем собираются и обрабатываются в процессе внедрения подключенных транспортных средств и транспортных средств с ТАВ. Субъекты данных должны давать свое информированное и добровольное согласие на сбор и обработку данных.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4.2.3</w:t>
      </w:r>
      <w:r w:rsidRPr="0005735B">
        <w:tab/>
        <w:t xml:space="preserve">Сбор и обработка персональных данных ограничиваются данными, актуальными в конкретном контексте их сбора. Если применимо, то субъект данных имеет право отозвать свое согласие, если речь идет о функциях, не являющихся необходимыми для эксплуатации его/ее транспортного средства или обеспечения безопасности дорожного движения.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4.2.4</w:t>
      </w:r>
      <w:r w:rsidRPr="0005735B">
        <w:tab/>
        <w:t>Кроме того, должны осуществляться надлежащие технические и организационные меры и процедуры, призванные обеспечить неприкосновенность частной жизни субъекта данных как при определении способов обработки, так и во время обработки. В конструкцию систем обработки данных, устанавливаемых на транспортных средствах, должна быть заложена функция защиты данных, т.е. при планировании компонентов ("специальная конфиденциальность") и в процессе разработки основных заводских настроек ("конфиденциальность по умолчанию") надлежит учитывать аспекты кибербезопасности и защиты данных.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4.3</w:t>
      </w:r>
      <w:r w:rsidRPr="0005735B">
        <w:tab/>
        <w:t>Защита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4.3.1</w:t>
      </w:r>
      <w:r w:rsidRPr="0005735B">
        <w:tab/>
        <w:t>С учетом требований, связанных с обеспечением безопасности подключенных транспортных средств и транспортных средств, оснащенных ТАВ, к важнейшим электрическим и электронным компонентам или системам транспортных средствах должны применяться стандарты функциональной безопасности, например ИСО</w:t>
      </w:r>
      <w:r>
        <w:rPr>
          <w:lang w:val="en-US"/>
        </w:rPr>
        <w:t> </w:t>
      </w:r>
      <w:r w:rsidRPr="0005735B">
        <w:t>26262.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4.3.2</w:t>
      </w:r>
      <w:r w:rsidRPr="0005735B">
        <w:tab/>
        <w:t>Подключение и связь подключенных транспортных средств и транспортных средств с ТАВ: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>
        <w:rPr>
          <w:lang w:val="en-US"/>
        </w:rPr>
        <w:tab/>
      </w:r>
      <w:r w:rsidRPr="0005735B">
        <w:t>а)</w:t>
      </w:r>
      <w:r w:rsidRPr="0005735B">
        <w:tab/>
        <w:t xml:space="preserve">не должны – без принятия соответствующих мер – влиять на генерирование внутренними устройствами и системами внутренней информации, необходимой для контроля над транспортным средством;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b)</w:t>
      </w:r>
      <w:r w:rsidRPr="0005735B">
        <w:tab/>
        <w:t>должны проектироваться таким образом, чтобы не допускать мошеннических действий с программным обеспечением подключенных транспортных средств и транспортных средств с ТАВ, а также мошеннического доступа к бортовой информации в результате кибератак по каналам: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BC77C3">
        <w:tab/>
      </w:r>
      <w:r w:rsidRPr="0005735B">
        <w:t>i)</w:t>
      </w:r>
      <w:r w:rsidRPr="0005735B">
        <w:tab/>
        <w:t xml:space="preserve">беспроводного подключения; 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3402" w:hanging="2268"/>
      </w:pPr>
      <w:r>
        <w:rPr>
          <w:lang w:val="en-US"/>
        </w:rPr>
        <w:tab/>
      </w:r>
      <w:r>
        <w:rPr>
          <w:lang w:val="en-US"/>
        </w:rPr>
        <w:tab/>
      </w:r>
      <w:r w:rsidRPr="0005735B">
        <w:t>ii)</w:t>
      </w:r>
      <w:r w:rsidRPr="0005735B">
        <w:tab/>
        <w:t>проводного подключения через порт диагностики и т.д.;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c)</w:t>
      </w:r>
      <w:r w:rsidRPr="0005735B">
        <w:tab/>
        <w:t>должны предусматривать меры обеспечения безопасного режима на случай сбоя в работе системы, например за счет дублирования в системе.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4.3.3</w:t>
      </w:r>
      <w:r w:rsidRPr="0005735B">
        <w:tab/>
        <w:t>В случае обнаружения подключенными транспортными средствами и транспортными средствами с ТАВ мошеннических действий, совершаемых путем кибератаки, система должна предупредить водителя и, при необходимости, контролировать безопасность транспортного средства в соответствии с вышеуказанными требованиями.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4.4</w:t>
      </w:r>
      <w:r w:rsidRPr="0005735B">
        <w:tab/>
        <w:t>Безопасность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4.4.1</w:t>
      </w:r>
      <w:r w:rsidRPr="0005735B">
        <w:tab/>
        <w:t>Для защиты подключенных транспортных средств и транспортных средств с ТАВ необходимы поддающиеся проверке меры безопасности, соответствующие стандартам безопасности (например, серии ИСО 27000, ИСО/МЭК 15408).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  <w:rPr>
          <w:bCs/>
        </w:rPr>
      </w:pPr>
      <w:r w:rsidRPr="0005735B">
        <w:t>4.4.2</w:t>
      </w:r>
      <w:r w:rsidRPr="0005735B">
        <w:tab/>
        <w:t>Для подключенных транспортных средств и транспортных средств с ТАВ должны быть предусмотрены: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a)</w:t>
      </w:r>
      <w:r w:rsidRPr="0005735B">
        <w:tab/>
        <w:t>меры защиты целостности информации, обеспечивающие, например, безопасное обновление программного обеспечения;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835" w:hanging="1701"/>
      </w:pPr>
      <w:r w:rsidRPr="00BC77C3">
        <w:tab/>
      </w:r>
      <w:r w:rsidRPr="0005735B">
        <w:t>b)</w:t>
      </w:r>
      <w:r w:rsidRPr="0005735B">
        <w:tab/>
        <w:t>надлежащие меры контроля криптографических ключей.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4.4.3</w:t>
      </w:r>
      <w:r w:rsidRPr="0005735B">
        <w:tab/>
        <w:t>Целостность внутренних сообщений между контроллерами внутри подключенных транспортных средств и транспортных средств с ТАВ должна быть защищена, например</w:t>
      </w:r>
      <w:r w:rsidR="008734F6">
        <w:t>,</w:t>
      </w:r>
      <w:r w:rsidRPr="0005735B">
        <w:t xml:space="preserve"> путем аутентификации.</w:t>
      </w:r>
    </w:p>
    <w:p w:rsidR="0005735B" w:rsidRPr="0005735B" w:rsidRDefault="0005735B" w:rsidP="0005735B">
      <w:pPr>
        <w:pStyle w:val="SingleTxtGR"/>
        <w:tabs>
          <w:tab w:val="clear" w:pos="1701"/>
        </w:tabs>
        <w:ind w:left="2268" w:hanging="1134"/>
      </w:pPr>
      <w:r w:rsidRPr="0005735B">
        <w:t>4.4.4</w:t>
      </w:r>
      <w:r w:rsidRPr="0005735B">
        <w:tab/>
        <w:t>Онлайновые сервисы для удаленного доступа к подключенным транспортным средствам и транспортным средствам с ТАВ должны предусматривать строгую процедуру взаимной аутентификации и обеспечивать защищенность обмена сообщениями (защита конфиденциальности и целостности) между заинтересованными субъектами</w:t>
      </w:r>
      <w:r w:rsidR="00093C60" w:rsidRPr="0005735B">
        <w:t>"</w:t>
      </w:r>
      <w:r w:rsidRPr="0005735B">
        <w:t>.</w:t>
      </w:r>
    </w:p>
    <w:p w:rsidR="0005735B" w:rsidRPr="0005735B" w:rsidRDefault="0005735B" w:rsidP="0005735B">
      <w:pPr>
        <w:pStyle w:val="HChGR"/>
      </w:pPr>
      <w:r w:rsidRPr="0005735B">
        <w:tab/>
        <w:t>II.</w:t>
      </w:r>
      <w:r w:rsidRPr="0005735B">
        <w:tab/>
        <w:t>Справочная информация и административное предложение</w:t>
      </w:r>
    </w:p>
    <w:p w:rsidR="0005735B" w:rsidRPr="0005735B" w:rsidRDefault="0005735B" w:rsidP="0005735B">
      <w:pPr>
        <w:pStyle w:val="H1GR"/>
      </w:pPr>
      <w:r w:rsidRPr="0005735B">
        <w:tab/>
        <w:t>A.</w:t>
      </w:r>
      <w:r w:rsidRPr="0005735B">
        <w:tab/>
        <w:t>Справочная информация</w:t>
      </w:r>
    </w:p>
    <w:p w:rsidR="0005735B" w:rsidRPr="0005735B" w:rsidRDefault="0005735B" w:rsidP="0005735B">
      <w:pPr>
        <w:pStyle w:val="SingleTxtGR"/>
      </w:pPr>
      <w:r w:rsidRPr="0005735B">
        <w:t>1.</w:t>
      </w:r>
      <w:r w:rsidRPr="0005735B">
        <w:tab/>
        <w:t>В рамках настоящих руководящих положений основное внимание уделяется подключенным транспортным средствам и транспортным средствам с ТАВ.</w:t>
      </w:r>
    </w:p>
    <w:p w:rsidR="0005735B" w:rsidRPr="0005735B" w:rsidRDefault="0005735B" w:rsidP="0005735B">
      <w:pPr>
        <w:pStyle w:val="SingleTxtGR"/>
      </w:pPr>
      <w:r w:rsidRPr="0005735B">
        <w:t>2.</w:t>
      </w:r>
      <w:r w:rsidRPr="0005735B">
        <w:tab/>
        <w:t>В связи с переходом к цифровым технологиям в области мобильности и сопутствующим ему увеличением объема данных к безопасности транспортных средств и инфраструктуре, а также к защите личных прав предъявляются новые требования. Следовательно, необходимо сформулировать четкие требования в отношении кибербезопасности и защиты данных для подключенных транспортных средств и транспортных средств с ТАВ.</w:t>
      </w:r>
    </w:p>
    <w:p w:rsidR="0005735B" w:rsidRPr="0005735B" w:rsidRDefault="0005735B" w:rsidP="0005735B">
      <w:pPr>
        <w:pStyle w:val="SingleTxtGR"/>
      </w:pPr>
      <w:r w:rsidRPr="0005735B">
        <w:t>3.</w:t>
      </w:r>
      <w:r w:rsidRPr="0005735B">
        <w:tab/>
        <w:t>Подключенные транспортные средства и транспортные средства с ТАВ должны функционировать безопасно и надежно на территориях, не ограниченных национальными границами. Права на данные о личной мобильности должны четко регулироваться.</w:t>
      </w:r>
    </w:p>
    <w:p w:rsidR="0005735B" w:rsidRPr="0005735B" w:rsidRDefault="0005735B" w:rsidP="0005735B">
      <w:pPr>
        <w:pStyle w:val="SingleTxtGR"/>
      </w:pPr>
      <w:r w:rsidRPr="0005735B">
        <w:t>4.</w:t>
      </w:r>
      <w:r w:rsidRPr="0005735B">
        <w:tab/>
        <w:t>Цель – обеспечить защиту транспортных средств от внешнего вмешательства и манипулирования. К защите данных применяются принципы глобального права о конфиденциальности данных.</w:t>
      </w:r>
    </w:p>
    <w:p w:rsidR="0005735B" w:rsidRPr="0005735B" w:rsidRDefault="0005735B" w:rsidP="0005735B">
      <w:pPr>
        <w:pStyle w:val="SingleTxtGR"/>
      </w:pPr>
      <w:r w:rsidRPr="0005735B">
        <w:t>5.</w:t>
      </w:r>
      <w:r w:rsidRPr="0005735B">
        <w:tab/>
        <w:t xml:space="preserve">Необходимые шаги по обеспечению кибербезопасности и защиты данных должны проходить проверку, например проверку системы внешними организациями. </w:t>
      </w:r>
    </w:p>
    <w:p w:rsidR="0005735B" w:rsidRPr="0005735B" w:rsidRDefault="0005735B" w:rsidP="0005735B">
      <w:pPr>
        <w:pStyle w:val="H1GR"/>
      </w:pPr>
      <w:r w:rsidRPr="0005735B">
        <w:tab/>
        <w:t>В.</w:t>
      </w:r>
      <w:r w:rsidRPr="0005735B">
        <w:tab/>
        <w:t>Административное предложение</w:t>
      </w:r>
    </w:p>
    <w:p w:rsidR="0005735B" w:rsidRPr="0005735B" w:rsidRDefault="0005735B" w:rsidP="0005735B">
      <w:pPr>
        <w:pStyle w:val="SingleTxtGR"/>
      </w:pPr>
      <w:r w:rsidRPr="0005735B">
        <w:t>6.</w:t>
      </w:r>
      <w:r w:rsidRPr="0005735B">
        <w:tab/>
        <w:t>Настоящие руководящие положения касаются конструкции транспортных средств, содержат информацию о нормативных текстах, применимых к конструкции транспортных средств, и нацелены на повышение уровня безопасности и охрану окружающей среды. Цель данных руководящих положений совпадает с целью, сформулированной в Сводной резолюции о конструкции транспортных средств (СР.3). Предлагается включить текст настоящих руководящих положений (раздел I) в СР.3 в качестве нового приложения 6.</w:t>
      </w:r>
    </w:p>
    <w:p w:rsidR="00A658DB" w:rsidRPr="0005735B" w:rsidRDefault="0005735B" w:rsidP="0005735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05735B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5B" w:rsidRDefault="0005735B" w:rsidP="00B471C5">
      <w:r>
        <w:separator/>
      </w:r>
    </w:p>
  </w:endnote>
  <w:endnote w:type="continuationSeparator" w:id="0">
    <w:p w:rsidR="0005735B" w:rsidRDefault="0005735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77C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05735B">
      <w:rPr>
        <w:lang w:val="en-US"/>
      </w:rPr>
      <w:t>22882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05735B">
      <w:rPr>
        <w:lang w:val="en-US"/>
      </w:rPr>
      <w:t>22882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C77C3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8A609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05735B">
            <w:rPr>
              <w:lang w:val="en-US"/>
            </w:rPr>
            <w:t>22882</w:t>
          </w:r>
          <w:r w:rsidRPr="001C3ABC">
            <w:rPr>
              <w:lang w:val="en-US"/>
            </w:rPr>
            <w:t xml:space="preserve"> (R)</w:t>
          </w:r>
          <w:r w:rsidR="0005735B">
            <w:rPr>
              <w:lang w:val="en-US"/>
            </w:rPr>
            <w:t xml:space="preserve">   060117   0</w:t>
          </w:r>
          <w:r w:rsidR="008A6095">
            <w:t>6</w:t>
          </w:r>
          <w:r w:rsidR="0005735B">
            <w:rPr>
              <w:lang w:val="en-US"/>
            </w:rPr>
            <w:t>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05735B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46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46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05735B" w:rsidRDefault="0005735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0573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5B" w:rsidRPr="009141DC" w:rsidRDefault="0005735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5735B" w:rsidRPr="00D1261C" w:rsidRDefault="0005735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5735B" w:rsidRPr="0005735B" w:rsidRDefault="0005735B" w:rsidP="0005735B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В соответствии с программой работы Комитета по внутреннему транспорту на 2016</w:t>
      </w:r>
      <w:r w:rsidRPr="0005735B">
        <w:rPr>
          <w:lang w:val="ru-RU"/>
        </w:rPr>
        <w:t>−</w:t>
      </w:r>
      <w:r>
        <w:rPr>
          <w:lang w:val="ru-RU"/>
        </w:rPr>
        <w:t>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05735B">
    <w:pPr>
      <w:pStyle w:val="Header"/>
      <w:rPr>
        <w:lang w:val="en-US"/>
      </w:rPr>
    </w:pPr>
    <w:r>
      <w:rPr>
        <w:lang w:val="en-US"/>
      </w:rPr>
      <w:t>ECE/TRANS/WP.29/2017/46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05735B" w:rsidP="007005EE">
    <w:pPr>
      <w:pStyle w:val="Header"/>
      <w:jc w:val="right"/>
      <w:rPr>
        <w:lang w:val="en-US"/>
      </w:rPr>
    </w:pPr>
    <w:r>
      <w:rPr>
        <w:lang w:val="en-US"/>
      </w:rPr>
      <w:t>ECE/TRANS/WP.29/2017/46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35B" w:rsidRDefault="0005735B" w:rsidP="0005735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B"/>
    <w:rsid w:val="000450D1"/>
    <w:rsid w:val="0005735B"/>
    <w:rsid w:val="00093C60"/>
    <w:rsid w:val="000B1FD5"/>
    <w:rsid w:val="000F2A4F"/>
    <w:rsid w:val="00203F84"/>
    <w:rsid w:val="00275188"/>
    <w:rsid w:val="0028687D"/>
    <w:rsid w:val="002B091C"/>
    <w:rsid w:val="002B3D40"/>
    <w:rsid w:val="002D0CCB"/>
    <w:rsid w:val="002E426C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734F6"/>
    <w:rsid w:val="008A6095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C77C3"/>
    <w:rsid w:val="00BE1742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367CC4F-4E26-407E-8CA2-02981F1B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0D53-F594-4473-AD98-33708A5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1939</Words>
  <Characters>11053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Maykov</dc:creator>
  <cp:lastModifiedBy>Lucille</cp:lastModifiedBy>
  <cp:revision>2</cp:revision>
  <dcterms:created xsi:type="dcterms:W3CDTF">2017-01-18T13:32:00Z</dcterms:created>
  <dcterms:modified xsi:type="dcterms:W3CDTF">2017-01-18T13:32:00Z</dcterms:modified>
</cp:coreProperties>
</file>