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B3638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3638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B3638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B3638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469A2">
                <w:t>TRANS/WP.29/2017/32</w:t>
              </w:r>
            </w:fldSimple>
            <w:r w:rsidR="003A7811">
              <w:t xml:space="preserve">         </w:t>
            </w:r>
          </w:p>
        </w:tc>
      </w:tr>
      <w:tr w:rsidR="00A658DB" w:rsidRPr="00245892" w:rsidTr="00B3638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3638B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FF815B" wp14:editId="231251E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B3638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B3638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F2D8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B3638B">
            <w:fldSimple w:instr=" FILLIN  &quot;Введите дату документа&quot; \* MERGEFORMAT ">
              <w:r w:rsidR="00B469A2">
                <w:t>20 December 2016</w:t>
              </w:r>
            </w:fldSimple>
          </w:p>
          <w:p w:rsidR="00A658DB" w:rsidRPr="00245892" w:rsidRDefault="00A658DB" w:rsidP="00B3638B">
            <w:r w:rsidRPr="00245892">
              <w:t>Russian</w:t>
            </w:r>
          </w:p>
          <w:p w:rsidR="00A658DB" w:rsidRPr="00245892" w:rsidRDefault="00A658DB" w:rsidP="00B3638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F2D8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B3638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52293" w:rsidRPr="003A7811" w:rsidRDefault="00552293" w:rsidP="003A7811">
      <w:pPr>
        <w:spacing w:before="120"/>
        <w:rPr>
          <w:sz w:val="28"/>
          <w:szCs w:val="28"/>
        </w:rPr>
      </w:pPr>
      <w:r w:rsidRPr="003A7811">
        <w:rPr>
          <w:sz w:val="28"/>
          <w:szCs w:val="28"/>
        </w:rPr>
        <w:t>Комитет по внутреннему транспорту</w:t>
      </w:r>
    </w:p>
    <w:p w:rsidR="00552293" w:rsidRPr="003A7811" w:rsidRDefault="00552293" w:rsidP="003A7811">
      <w:pPr>
        <w:spacing w:before="120"/>
        <w:rPr>
          <w:b/>
          <w:bCs/>
          <w:sz w:val="24"/>
          <w:szCs w:val="24"/>
        </w:rPr>
      </w:pPr>
      <w:r w:rsidRPr="003A781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A7811" w:rsidRPr="003A7811">
        <w:rPr>
          <w:b/>
          <w:bCs/>
          <w:sz w:val="24"/>
          <w:szCs w:val="24"/>
        </w:rPr>
        <w:br/>
      </w:r>
      <w:r w:rsidRPr="003A7811">
        <w:rPr>
          <w:b/>
          <w:bCs/>
          <w:sz w:val="24"/>
          <w:szCs w:val="24"/>
        </w:rPr>
        <w:t>в области транспортных средств</w:t>
      </w:r>
    </w:p>
    <w:p w:rsidR="00552293" w:rsidRPr="003A7811" w:rsidRDefault="00552293" w:rsidP="003A7811">
      <w:pPr>
        <w:spacing w:before="120"/>
        <w:rPr>
          <w:b/>
          <w:bCs/>
        </w:rPr>
      </w:pPr>
      <w:r w:rsidRPr="003A7811">
        <w:rPr>
          <w:b/>
          <w:bCs/>
        </w:rPr>
        <w:t>171-я сессия</w:t>
      </w:r>
    </w:p>
    <w:p w:rsidR="00552293" w:rsidRPr="00552293" w:rsidRDefault="00552293" w:rsidP="00552293">
      <w:r w:rsidRPr="00552293">
        <w:t>Женева</w:t>
      </w:r>
      <w:r w:rsidR="003A7811">
        <w:t>, 14</w:t>
      </w:r>
      <w:r w:rsidR="003A7811" w:rsidRPr="004761F4">
        <w:t>–</w:t>
      </w:r>
      <w:r w:rsidRPr="00552293">
        <w:t>17 марта 2017 года</w:t>
      </w:r>
    </w:p>
    <w:p w:rsidR="00552293" w:rsidRPr="00552293" w:rsidRDefault="00552293" w:rsidP="00552293">
      <w:r w:rsidRPr="00552293">
        <w:t>Пункт 4.9.14 предварительной повестки дня</w:t>
      </w:r>
    </w:p>
    <w:p w:rsidR="00552293" w:rsidRPr="003A7811" w:rsidRDefault="00552293" w:rsidP="00552293">
      <w:pPr>
        <w:rPr>
          <w:b/>
          <w:bCs/>
        </w:rPr>
      </w:pPr>
      <w:bookmarkStart w:id="3" w:name="OLE_LINK5"/>
      <w:bookmarkStart w:id="4" w:name="OLE_LINK6"/>
      <w:r w:rsidRPr="003A7811">
        <w:rPr>
          <w:b/>
          <w:bCs/>
        </w:rPr>
        <w:t>Соглашение 1958 года:</w:t>
      </w:r>
    </w:p>
    <w:p w:rsidR="00552293" w:rsidRPr="003A7811" w:rsidRDefault="00552293" w:rsidP="00552293">
      <w:pPr>
        <w:rPr>
          <w:b/>
          <w:bCs/>
        </w:rPr>
      </w:pPr>
      <w:r w:rsidRPr="003A7811">
        <w:rPr>
          <w:b/>
          <w:bCs/>
        </w:rPr>
        <w:t>Рассмотрение проектов поправок</w:t>
      </w:r>
    </w:p>
    <w:p w:rsidR="00552293" w:rsidRPr="003A7811" w:rsidRDefault="00552293" w:rsidP="00552293">
      <w:pPr>
        <w:rPr>
          <w:b/>
          <w:bCs/>
        </w:rPr>
      </w:pPr>
      <w:r w:rsidRPr="003A7811">
        <w:rPr>
          <w:b/>
          <w:bCs/>
        </w:rPr>
        <w:t xml:space="preserve">к существующим правилам, </w:t>
      </w:r>
      <w:r w:rsidR="003A7811" w:rsidRPr="003A7811">
        <w:rPr>
          <w:b/>
          <w:bCs/>
        </w:rPr>
        <w:br/>
      </w:r>
      <w:r w:rsidRPr="003A7811">
        <w:rPr>
          <w:b/>
          <w:bCs/>
        </w:rPr>
        <w:t>представленных</w:t>
      </w:r>
      <w:r w:rsidR="003A7811">
        <w:rPr>
          <w:b/>
          <w:bCs/>
        </w:rPr>
        <w:t xml:space="preserve"> </w:t>
      </w:r>
      <w:r w:rsidRPr="003A7811">
        <w:rPr>
          <w:b/>
          <w:bCs/>
        </w:rPr>
        <w:t>GRE</w:t>
      </w:r>
      <w:bookmarkEnd w:id="3"/>
      <w:bookmarkEnd w:id="4"/>
    </w:p>
    <w:p w:rsidR="00552293" w:rsidRPr="00552293" w:rsidRDefault="003A7811" w:rsidP="003A7811">
      <w:pPr>
        <w:pStyle w:val="HChGR"/>
      </w:pPr>
      <w:r w:rsidRPr="004761F4">
        <w:tab/>
      </w:r>
      <w:r w:rsidRPr="004761F4">
        <w:tab/>
      </w:r>
      <w:r w:rsidR="00552293" w:rsidRPr="00552293">
        <w:t xml:space="preserve">Предложение по дополнению 17 </w:t>
      </w:r>
      <w:bookmarkStart w:id="5" w:name="OLE_LINK7"/>
      <w:bookmarkStart w:id="6" w:name="OLE_LINK8"/>
      <w:r w:rsidR="00552293" w:rsidRPr="00552293">
        <w:t>к Правилам №</w:t>
      </w:r>
      <w:bookmarkEnd w:id="5"/>
      <w:bookmarkEnd w:id="6"/>
      <w:r w:rsidR="00552293" w:rsidRPr="00552293">
        <w:t xml:space="preserve"> 77 (стояночные огни) </w:t>
      </w:r>
    </w:p>
    <w:p w:rsidR="00552293" w:rsidRPr="00552293" w:rsidRDefault="003A7811" w:rsidP="003A7811">
      <w:pPr>
        <w:pStyle w:val="H1GR"/>
      </w:pPr>
      <w:r w:rsidRPr="004761F4">
        <w:tab/>
      </w:r>
      <w:r w:rsidRPr="004761F4">
        <w:tab/>
      </w:r>
      <w:r w:rsidR="00552293" w:rsidRPr="00552293">
        <w:t>Представлено Рабочей группой по вопросам освещения и</w:t>
      </w:r>
      <w:r>
        <w:rPr>
          <w:lang w:val="en-US"/>
        </w:rPr>
        <w:t> </w:t>
      </w:r>
      <w:r w:rsidR="00552293" w:rsidRPr="00552293">
        <w:t>световой сигнализации</w:t>
      </w:r>
      <w:r w:rsidR="00552293" w:rsidRPr="007C0317">
        <w:rPr>
          <w:b w:val="0"/>
          <w:bCs/>
          <w:sz w:val="20"/>
        </w:rPr>
        <w:footnoteReference w:customMarkFollows="1" w:id="1"/>
        <w:t>*</w:t>
      </w:r>
    </w:p>
    <w:p w:rsidR="00552293" w:rsidRPr="00A90D8E" w:rsidRDefault="007C5E23" w:rsidP="00A90D8E">
      <w:pPr>
        <w:pStyle w:val="SingleTxtGR"/>
      </w:pPr>
      <w:r w:rsidRPr="00A90D8E">
        <w:tab/>
      </w:r>
      <w:r w:rsidR="00552293" w:rsidRPr="00A90D8E">
        <w:t xml:space="preserve"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10, 13 и 14). В его основу положены документы </w:t>
      </w:r>
      <w:r w:rsidR="00552293" w:rsidRPr="00A90D8E">
        <w:rPr>
          <w:sz w:val="19"/>
          <w:szCs w:val="19"/>
        </w:rPr>
        <w:t>ECE/TRANS/WP.29/2013/87, ECE/TRANS/WP.29/GRE/2013/55/Rev.1, ECE/TRANS/WP.29/GRE/2014/3</w:t>
      </w:r>
      <w:r w:rsidR="00041C49" w:rsidRPr="00A90D8E">
        <w:rPr>
          <w:sz w:val="19"/>
          <w:szCs w:val="19"/>
        </w:rPr>
        <w:t>,</w:t>
      </w:r>
      <w:r w:rsidR="00552293" w:rsidRPr="00A90D8E">
        <w:rPr>
          <w:sz w:val="19"/>
          <w:szCs w:val="19"/>
        </w:rPr>
        <w:t xml:space="preserve"> ECE/TRANS/WP.29/GRE/2016/30 и ECE/TRANS/</w:t>
      </w:r>
      <w:r w:rsidR="00A90D8E" w:rsidRPr="00A90D8E">
        <w:rPr>
          <w:sz w:val="19"/>
          <w:szCs w:val="19"/>
        </w:rPr>
        <w:br/>
      </w:r>
      <w:r w:rsidR="00A90D8E">
        <w:rPr>
          <w:sz w:val="19"/>
          <w:szCs w:val="19"/>
          <w:lang w:val="en-US"/>
        </w:rPr>
        <w:t>W</w:t>
      </w:r>
      <w:r w:rsidR="00552293" w:rsidRPr="00A90D8E">
        <w:rPr>
          <w:sz w:val="19"/>
          <w:szCs w:val="19"/>
        </w:rPr>
        <w:t>P.29/GRE/2016/31</w:t>
      </w:r>
      <w:r w:rsidR="00552293" w:rsidRPr="00A90D8E">
        <w:t>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552293" w:rsidRPr="00552293" w:rsidRDefault="00552293" w:rsidP="00552293">
      <w:pPr>
        <w:pStyle w:val="SingleTxtGR"/>
      </w:pPr>
      <w:r w:rsidRPr="00552293">
        <w:br w:type="page"/>
      </w:r>
    </w:p>
    <w:p w:rsidR="00552293" w:rsidRPr="00552293" w:rsidRDefault="00A06A0D" w:rsidP="00A06A0D">
      <w:pPr>
        <w:pStyle w:val="HChGR"/>
      </w:pPr>
      <w:r w:rsidRPr="004761F4">
        <w:lastRenderedPageBreak/>
        <w:tab/>
      </w:r>
      <w:r w:rsidRPr="004761F4">
        <w:tab/>
      </w:r>
      <w:r w:rsidR="00552293" w:rsidRPr="00552293">
        <w:t xml:space="preserve">Дополнение 17 к Правилам № 77 (стояночные огни) </w:t>
      </w:r>
    </w:p>
    <w:p w:rsidR="00552293" w:rsidRPr="00552293" w:rsidRDefault="00552293" w:rsidP="00552293">
      <w:pPr>
        <w:pStyle w:val="SingleTxtGR"/>
        <w:rPr>
          <w:i/>
        </w:rPr>
      </w:pPr>
      <w:r w:rsidRPr="00552293">
        <w:rPr>
          <w:i/>
        </w:rPr>
        <w:t>Пункт 2.3</w:t>
      </w:r>
      <w:r w:rsidR="00053157">
        <w:rPr>
          <w:i/>
        </w:rPr>
        <w:t xml:space="preserve"> </w:t>
      </w:r>
      <w:r w:rsidRPr="00DA205B">
        <w:rPr>
          <w:iCs/>
        </w:rPr>
        <w:t>изменить</w:t>
      </w:r>
      <w:r w:rsidRPr="00552293">
        <w:rPr>
          <w:i/>
        </w:rPr>
        <w:t xml:space="preserve"> </w:t>
      </w:r>
      <w:r w:rsidRPr="00D015D2">
        <w:rPr>
          <w:iCs/>
        </w:rPr>
        <w:t>следующим образом:</w:t>
      </w:r>
    </w:p>
    <w:p w:rsidR="00552293" w:rsidRPr="00552293" w:rsidRDefault="00CA5DBF" w:rsidP="00D015D2">
      <w:pPr>
        <w:pStyle w:val="SingleTxtGR"/>
        <w:ind w:left="2268" w:hanging="1134"/>
        <w:rPr>
          <w:iCs/>
        </w:rPr>
      </w:pPr>
      <w:r>
        <w:t>«</w:t>
      </w:r>
      <w:r w:rsidR="00552293" w:rsidRPr="00552293">
        <w:t xml:space="preserve">2.3 </w:t>
      </w:r>
      <w:r w:rsidR="00552293" w:rsidRPr="00552293">
        <w:tab/>
      </w:r>
      <w:r w:rsidR="0061532F">
        <w:tab/>
      </w:r>
      <w:r w:rsidR="00D015D2" w:rsidRPr="006C2D01">
        <w:t>"</w:t>
      </w:r>
      <w:r w:rsidR="00552293" w:rsidRPr="00552293">
        <w:t>стояночные фонари различных типов</w:t>
      </w:r>
      <w:r w:rsidR="00D015D2" w:rsidRPr="006C2D01">
        <w:t>"</w:t>
      </w:r>
      <w:r w:rsidR="00552293" w:rsidRPr="00552293">
        <w:t xml:space="preserve"> означают фонари, которые различаются в отношении таких существенных аспектов, как:</w:t>
      </w:r>
      <w:r w:rsidR="00552293" w:rsidRPr="00552293">
        <w:rPr>
          <w:iCs/>
        </w:rPr>
        <w:t xml:space="preserve"> </w:t>
      </w:r>
    </w:p>
    <w:p w:rsidR="00552293" w:rsidRPr="00552293" w:rsidRDefault="0061532F" w:rsidP="00552293">
      <w:pPr>
        <w:pStyle w:val="SingleTxtGR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552293" w:rsidRPr="00552293">
        <w:rPr>
          <w:iCs/>
          <w:lang w:val="en-US"/>
        </w:rPr>
        <w:t>a</w:t>
      </w:r>
      <w:r w:rsidR="00552293" w:rsidRPr="00552293">
        <w:rPr>
          <w:iCs/>
        </w:rPr>
        <w:t xml:space="preserve">) </w:t>
      </w:r>
      <w:r w:rsidR="00552293" w:rsidRPr="00552293">
        <w:rPr>
          <w:iCs/>
        </w:rPr>
        <w:tab/>
        <w:t>торговое наименование или товарный знак:</w:t>
      </w:r>
    </w:p>
    <w:p w:rsidR="00552293" w:rsidRPr="00552293" w:rsidRDefault="0061532F" w:rsidP="0061532F">
      <w:pPr>
        <w:pStyle w:val="SingleTxtGR"/>
        <w:ind w:left="3402" w:hanging="2268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52293" w:rsidRPr="00552293">
        <w:rPr>
          <w:iCs/>
          <w:lang w:val="en-US"/>
        </w:rPr>
        <w:t>i</w:t>
      </w:r>
      <w:r w:rsidR="00552293" w:rsidRPr="00552293">
        <w:rPr>
          <w:iCs/>
        </w:rPr>
        <w:t>)</w:t>
      </w:r>
      <w:r w:rsidR="00552293" w:rsidRPr="00552293">
        <w:rPr>
          <w:iCs/>
        </w:rPr>
        <w:tab/>
        <w:t>фонари, имеющие одно и то же торговое наименование или товарный знак, но произведенные различными изготовителями, но изготовленные различными изготовителями, рассматриваются в качестве фонарей различных типов;</w:t>
      </w:r>
    </w:p>
    <w:p w:rsidR="00552293" w:rsidRPr="00552293" w:rsidRDefault="0061532F" w:rsidP="0061532F">
      <w:pPr>
        <w:pStyle w:val="SingleTxtGR"/>
        <w:ind w:left="3402" w:hanging="2268"/>
        <w:rPr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552293" w:rsidRPr="00552293">
        <w:rPr>
          <w:bCs/>
          <w:iCs/>
          <w:lang w:val="en-US"/>
        </w:rPr>
        <w:t>ii</w:t>
      </w:r>
      <w:r w:rsidR="00552293" w:rsidRPr="00552293">
        <w:rPr>
          <w:bCs/>
          <w:iCs/>
        </w:rPr>
        <w:t>)</w:t>
      </w:r>
      <w:r w:rsidR="00552293" w:rsidRPr="00552293">
        <w:rPr>
          <w:bCs/>
          <w:iCs/>
        </w:rPr>
        <w:tab/>
        <w:t>фонари, произведенные одним и тем же изготовителем, отличающиеся только торговым наименованием или товарным знаком, рассматриваются в качестве фонарей одного типа</w:t>
      </w:r>
      <w:r w:rsidR="00552293" w:rsidRPr="00552293">
        <w:rPr>
          <w:iCs/>
        </w:rPr>
        <w:t>.</w:t>
      </w:r>
    </w:p>
    <w:p w:rsidR="00552293" w:rsidRPr="00552293" w:rsidRDefault="0061532F" w:rsidP="00552293">
      <w:pPr>
        <w:pStyle w:val="SingleTxtGR"/>
        <w:rPr>
          <w:iCs/>
        </w:rPr>
      </w:pPr>
      <w:r>
        <w:rPr>
          <w:iCs/>
        </w:rPr>
        <w:tab/>
      </w:r>
      <w:r w:rsidR="00D015D2" w:rsidRPr="00F41669">
        <w:rPr>
          <w:iCs/>
        </w:rPr>
        <w:tab/>
      </w:r>
      <w:r w:rsidR="00552293" w:rsidRPr="00552293">
        <w:rPr>
          <w:iCs/>
          <w:lang w:val="en-US"/>
        </w:rPr>
        <w:t>b</w:t>
      </w:r>
      <w:r w:rsidR="00053157">
        <w:rPr>
          <w:iCs/>
        </w:rPr>
        <w:t xml:space="preserve">) </w:t>
      </w:r>
      <w:r w:rsidR="00053157">
        <w:rPr>
          <w:iCs/>
        </w:rPr>
        <w:tab/>
        <w:t>характеристики</w:t>
      </w:r>
      <w:r w:rsidR="00552293" w:rsidRPr="00552293">
        <w:rPr>
          <w:iCs/>
        </w:rPr>
        <w:t>…</w:t>
      </w:r>
      <w:r w:rsidR="00CA5DBF">
        <w:rPr>
          <w:iCs/>
        </w:rPr>
        <w:t>»</w:t>
      </w:r>
      <w:r>
        <w:rPr>
          <w:iCs/>
        </w:rPr>
        <w:t>.</w:t>
      </w:r>
    </w:p>
    <w:p w:rsidR="00552293" w:rsidRPr="00552293" w:rsidRDefault="0061532F" w:rsidP="00552293">
      <w:pPr>
        <w:pStyle w:val="SingleTxtGR"/>
      </w:pPr>
      <w:r w:rsidRPr="00552293">
        <w:rPr>
          <w:i/>
        </w:rPr>
        <w:t>Включить</w:t>
      </w:r>
      <w:r w:rsidR="00552293" w:rsidRPr="00552293">
        <w:rPr>
          <w:i/>
        </w:rPr>
        <w:t xml:space="preserve"> новый пункт 3.2.4 </w:t>
      </w:r>
      <w:r w:rsidR="00552293" w:rsidRPr="00552293">
        <w:rPr>
          <w:iCs/>
        </w:rPr>
        <w:t>следующего содержания:</w:t>
      </w:r>
    </w:p>
    <w:p w:rsidR="00552293" w:rsidRPr="00552293" w:rsidRDefault="00CA5DBF" w:rsidP="0061532F">
      <w:pPr>
        <w:pStyle w:val="SingleTxtGR"/>
        <w:ind w:left="2268" w:hanging="1134"/>
      </w:pPr>
      <w:r>
        <w:t>«</w:t>
      </w:r>
      <w:r w:rsidR="00552293" w:rsidRPr="00552293">
        <w:t>3.2.4</w:t>
      </w:r>
      <w:r w:rsidR="00552293" w:rsidRPr="00552293">
        <w:tab/>
      </w:r>
      <w:r w:rsidR="0061532F">
        <w:tab/>
      </w:r>
      <w:r w:rsidR="00552293" w:rsidRPr="00552293">
        <w:t>Если речь идет о типе фонаря,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552293" w:rsidRPr="00552293" w:rsidRDefault="00552293" w:rsidP="0061532F">
      <w:pPr>
        <w:pStyle w:val="SingleTxtGR"/>
        <w:ind w:left="2268" w:hanging="1134"/>
      </w:pPr>
      <w:r w:rsidRPr="00552293">
        <w:t>3.2.4.1</w:t>
      </w:r>
      <w:r w:rsidRPr="00552293">
        <w:tab/>
        <w:t>заявление изготовителя фонаря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552293" w:rsidRPr="00552293" w:rsidRDefault="00552293" w:rsidP="0061532F">
      <w:pPr>
        <w:pStyle w:val="SingleTxtGR"/>
        <w:ind w:left="2268" w:hanging="1134"/>
      </w:pPr>
      <w:r w:rsidRPr="00552293">
        <w:t>3.2.4.2</w:t>
      </w:r>
      <w:r w:rsidRPr="00552293">
        <w:tab/>
        <w:t>два образца с новым торговым наименованием или товарным знаком либо соответствующие документы</w:t>
      </w:r>
      <w:r w:rsidR="00CA5DBF">
        <w:t>»</w:t>
      </w:r>
      <w:r w:rsidR="0061532F">
        <w:t>.</w:t>
      </w:r>
    </w:p>
    <w:p w:rsidR="00552293" w:rsidRPr="00552293" w:rsidRDefault="00552293" w:rsidP="00552293">
      <w:pPr>
        <w:pStyle w:val="SingleTxtGR"/>
      </w:pPr>
      <w:r w:rsidRPr="00552293">
        <w:rPr>
          <w:i/>
          <w:iCs/>
        </w:rPr>
        <w:t>Включить новый пункт 3.2.5</w:t>
      </w:r>
      <w:r w:rsidRPr="00552293">
        <w:t xml:space="preserve"> следующего содержания:</w:t>
      </w:r>
    </w:p>
    <w:p w:rsidR="00552293" w:rsidRPr="00552293" w:rsidRDefault="00CA5DBF" w:rsidP="0061532F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552293" w:rsidRPr="00552293">
        <w:rPr>
          <w:bCs/>
        </w:rPr>
        <w:t>3.2.5</w:t>
      </w:r>
      <w:r w:rsidR="00552293" w:rsidRPr="00552293">
        <w:rPr>
          <w:bCs/>
        </w:rPr>
        <w:tab/>
      </w:r>
      <w:r w:rsidR="0061532F">
        <w:rPr>
          <w:bCs/>
        </w:rPr>
        <w:tab/>
      </w:r>
      <w:r w:rsidR="00552293" w:rsidRPr="00552293">
        <w:rPr>
          <w:bCs/>
        </w:rPr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 пунктом 6.5 настоящих Правил</w:t>
      </w:r>
      <w:r>
        <w:rPr>
          <w:bCs/>
        </w:rPr>
        <w:t>»</w:t>
      </w:r>
      <w:r w:rsidR="0061532F">
        <w:rPr>
          <w:bCs/>
        </w:rPr>
        <w:t>.</w:t>
      </w:r>
    </w:p>
    <w:p w:rsidR="00552293" w:rsidRPr="00B64A82" w:rsidRDefault="00552293" w:rsidP="00552293">
      <w:pPr>
        <w:pStyle w:val="SingleTxtGR"/>
        <w:rPr>
          <w:iCs/>
          <w:lang w:val="it-IT"/>
        </w:rPr>
      </w:pPr>
      <w:r w:rsidRPr="00552293">
        <w:rPr>
          <w:i/>
          <w:lang w:val="it-IT"/>
        </w:rPr>
        <w:t>Пункт 4.1.3</w:t>
      </w:r>
      <w:r w:rsidRPr="00552293">
        <w:rPr>
          <w:i/>
        </w:rPr>
        <w:t xml:space="preserve"> </w:t>
      </w:r>
      <w:r w:rsidRPr="00DA205B">
        <w:rPr>
          <w:iCs/>
          <w:lang w:val="it-IT"/>
        </w:rPr>
        <w:t>изменить</w:t>
      </w:r>
      <w:r w:rsidRPr="00552293">
        <w:rPr>
          <w:i/>
          <w:lang w:val="it-IT"/>
        </w:rPr>
        <w:t xml:space="preserve"> </w:t>
      </w:r>
      <w:r w:rsidRPr="00B64A82">
        <w:rPr>
          <w:iCs/>
          <w:lang w:val="it-IT"/>
        </w:rPr>
        <w:t>следующим образом:</w:t>
      </w:r>
    </w:p>
    <w:p w:rsidR="00552293" w:rsidRPr="00B64A82" w:rsidRDefault="00CA5DBF" w:rsidP="00B64A82">
      <w:pPr>
        <w:pStyle w:val="SingleTxtGR"/>
        <w:ind w:left="2268" w:hanging="1134"/>
      </w:pPr>
      <w:r>
        <w:t>«</w:t>
      </w:r>
      <w:r w:rsidR="00552293" w:rsidRPr="00552293">
        <w:t>4.1.3</w:t>
      </w:r>
      <w:r w:rsidR="00552293" w:rsidRPr="00552293">
        <w:tab/>
      </w:r>
      <w:r w:rsidR="0061532F">
        <w:tab/>
      </w:r>
      <w:r w:rsidR="00552293" w:rsidRPr="00552293">
        <w:t>в случае фонарей с несменными источниками света или модуля (модулей) источника света маркировку, указывающую номинальное напряжение или диапазон напряжений</w:t>
      </w:r>
      <w:r>
        <w:t>»</w:t>
      </w:r>
      <w:r w:rsidR="00B64A82" w:rsidRPr="00B64A82">
        <w:t>.</w:t>
      </w:r>
    </w:p>
    <w:p w:rsidR="00552293" w:rsidRPr="00B64A82" w:rsidRDefault="00552293" w:rsidP="00552293">
      <w:pPr>
        <w:pStyle w:val="SingleTxtGR"/>
        <w:rPr>
          <w:iCs/>
          <w:lang w:val="it-IT"/>
        </w:rPr>
      </w:pPr>
      <w:r w:rsidRPr="00552293">
        <w:rPr>
          <w:i/>
          <w:lang w:val="it-IT"/>
        </w:rPr>
        <w:t>Пункт 4.3.3</w:t>
      </w:r>
      <w:r w:rsidRPr="00552293">
        <w:rPr>
          <w:i/>
        </w:rPr>
        <w:t xml:space="preserve"> </w:t>
      </w:r>
      <w:r w:rsidRPr="00DA205B">
        <w:rPr>
          <w:iCs/>
          <w:lang w:val="it-IT"/>
        </w:rPr>
        <w:t>изменить</w:t>
      </w:r>
      <w:r w:rsidRPr="00552293">
        <w:rPr>
          <w:i/>
          <w:lang w:val="it-IT"/>
        </w:rPr>
        <w:t xml:space="preserve"> </w:t>
      </w:r>
      <w:r w:rsidRPr="00B64A82">
        <w:rPr>
          <w:iCs/>
          <w:lang w:val="it-IT"/>
        </w:rPr>
        <w:t>следующим образом:</w:t>
      </w:r>
    </w:p>
    <w:p w:rsidR="00552293" w:rsidRPr="00552293" w:rsidRDefault="00CA5DBF" w:rsidP="00053157">
      <w:pPr>
        <w:pStyle w:val="SingleTxtGR"/>
        <w:ind w:left="2268" w:hanging="1134"/>
      </w:pPr>
      <w:r>
        <w:t>«</w:t>
      </w:r>
      <w:r w:rsidR="00552293" w:rsidRPr="00552293">
        <w:t>4.3.3</w:t>
      </w:r>
      <w:r w:rsidR="00552293" w:rsidRPr="00552293">
        <w:tab/>
      </w:r>
      <w:r>
        <w:tab/>
      </w:r>
      <w:r w:rsidR="00552293" w:rsidRPr="00552293">
        <w:t>маркировка с указанием номинального напряжения или диапазона напряжений</w:t>
      </w:r>
      <w:r>
        <w:t>»</w:t>
      </w:r>
      <w:r w:rsidR="00053157">
        <w:t>.</w:t>
      </w:r>
    </w:p>
    <w:p w:rsidR="00053157" w:rsidRDefault="00053157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552293" w:rsidRPr="00B64A82" w:rsidRDefault="00552293" w:rsidP="00552293">
      <w:pPr>
        <w:pStyle w:val="SingleTxtGR"/>
      </w:pPr>
      <w:r w:rsidRPr="00552293">
        <w:rPr>
          <w:i/>
          <w:iCs/>
        </w:rPr>
        <w:lastRenderedPageBreak/>
        <w:t xml:space="preserve">Пункт 6 </w:t>
      </w:r>
      <w:r w:rsidRPr="00DA205B">
        <w:t>изменить</w:t>
      </w:r>
      <w:r w:rsidRPr="00552293">
        <w:rPr>
          <w:i/>
          <w:iCs/>
        </w:rPr>
        <w:t xml:space="preserve"> </w:t>
      </w:r>
      <w:r w:rsidRPr="00B64A82">
        <w:t>следующим образом:</w:t>
      </w:r>
    </w:p>
    <w:p w:rsidR="00552293" w:rsidRPr="00552293" w:rsidRDefault="00CA5DBF" w:rsidP="00CA5DBF">
      <w:pPr>
        <w:pStyle w:val="HChGR"/>
      </w:pPr>
      <w:r>
        <w:tab/>
      </w:r>
      <w:r>
        <w:tab/>
      </w:r>
      <w:r w:rsidRPr="00053157">
        <w:rPr>
          <w:b w:val="0"/>
          <w:bCs/>
          <w:sz w:val="20"/>
        </w:rPr>
        <w:t>«</w:t>
      </w:r>
      <w:r w:rsidR="00552293" w:rsidRPr="00552293">
        <w:t>6.</w:t>
      </w:r>
      <w:r w:rsidR="00552293" w:rsidRPr="00552293">
        <w:tab/>
      </w:r>
      <w:r>
        <w:tab/>
      </w:r>
      <w:r w:rsidR="00552293" w:rsidRPr="00552293">
        <w:t xml:space="preserve">Общие технические требования </w:t>
      </w:r>
    </w:p>
    <w:p w:rsidR="00552293" w:rsidRPr="00552293" w:rsidRDefault="00552293" w:rsidP="00053157">
      <w:pPr>
        <w:pStyle w:val="SingleTxtGR"/>
        <w:ind w:left="2268" w:hanging="1134"/>
      </w:pPr>
      <w:r w:rsidRPr="00552293">
        <w:tab/>
      </w:r>
      <w:r w:rsidR="00CA5DBF">
        <w:tab/>
      </w:r>
      <w:r w:rsidRPr="00552293">
        <w:t xml:space="preserve">К настоящим Правилам применяют требования, предусмотренные в разделе 5 </w:t>
      </w:r>
      <w:r w:rsidR="00053157" w:rsidRPr="006C2D01">
        <w:t>"</w:t>
      </w:r>
      <w:r w:rsidRPr="00552293">
        <w:t>Общие технические требования</w:t>
      </w:r>
      <w:r w:rsidR="00053157" w:rsidRPr="006C2D01">
        <w:t>"</w:t>
      </w:r>
      <w:r w:rsidRPr="00552293">
        <w:t xml:space="preserve">, разделе 6 </w:t>
      </w:r>
      <w:r w:rsidR="00053157" w:rsidRPr="006C2D01">
        <w:t>"</w:t>
      </w:r>
      <w:r w:rsidRPr="00552293">
        <w:t>Отдельные технические требования</w:t>
      </w:r>
      <w:r w:rsidR="00053157" w:rsidRPr="006C2D01">
        <w:t>"</w:t>
      </w:r>
      <w:r w:rsidRPr="00552293">
        <w:t xml:space="preserve"> и приложениях, на которые сделаны ссылки в вышеназванных разделах, правил № 48 или 86 и серий поправок к ним, действующих на момент подачи заявки на официальное утверждение типа огня.</w:t>
      </w:r>
    </w:p>
    <w:p w:rsidR="00552293" w:rsidRPr="00552293" w:rsidRDefault="00552293" w:rsidP="00CA5DBF">
      <w:pPr>
        <w:pStyle w:val="SingleTxtGR"/>
        <w:ind w:left="2268" w:hanging="1134"/>
      </w:pPr>
      <w:r w:rsidRPr="00552293">
        <w:tab/>
      </w:r>
      <w:r w:rsidR="00CA5DBF">
        <w:tab/>
      </w:r>
      <w:r w:rsidRPr="00552293">
        <w:t>Требования, касающиеся каждого огня и категории/ий транспортных средств, для установки на которых предназначен данный огонь, применяют в случае возможности проведения проверки огня в момент его официального утверждения типа.</w:t>
      </w:r>
    </w:p>
    <w:p w:rsidR="00552293" w:rsidRPr="00552293" w:rsidRDefault="00552293" w:rsidP="00552293">
      <w:pPr>
        <w:pStyle w:val="SingleTxtGR"/>
      </w:pPr>
      <w:r w:rsidRPr="00552293">
        <w:t>6.1</w:t>
      </w:r>
      <w:r w:rsidRPr="00552293">
        <w:tab/>
      </w:r>
      <w:r w:rsidR="00CA5DBF">
        <w:tab/>
      </w:r>
      <w:r w:rsidRPr="00552293">
        <w:t>…</w:t>
      </w:r>
      <w:r w:rsidR="00CA5DBF">
        <w:t>».</w:t>
      </w:r>
    </w:p>
    <w:p w:rsidR="00552293" w:rsidRPr="00552293" w:rsidRDefault="00552293" w:rsidP="00552293">
      <w:pPr>
        <w:pStyle w:val="SingleTxtGR"/>
      </w:pPr>
      <w:r w:rsidRPr="00552293">
        <w:rPr>
          <w:i/>
          <w:iCs/>
        </w:rPr>
        <w:t>Включить новый пункт 6.5</w:t>
      </w:r>
      <w:r w:rsidRPr="00552293">
        <w:t xml:space="preserve"> следующего содержания:</w:t>
      </w:r>
    </w:p>
    <w:p w:rsidR="00552293" w:rsidRPr="00552293" w:rsidRDefault="00CA5DBF" w:rsidP="00053157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552293" w:rsidRPr="00552293">
        <w:rPr>
          <w:bCs/>
        </w:rPr>
        <w:t>6.5</w:t>
      </w:r>
      <w:r w:rsidR="00552293" w:rsidRPr="00552293">
        <w:rPr>
          <w:bCs/>
        </w:rPr>
        <w:tab/>
      </w:r>
      <w:r>
        <w:rPr>
          <w:bCs/>
        </w:rPr>
        <w:tab/>
      </w:r>
      <w:r w:rsidR="00552293" w:rsidRPr="00552293">
        <w:rPr>
          <w:bCs/>
        </w:rPr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накаливания требованиям, предусмотренным в пункте 4.11 </w:t>
      </w:r>
      <w:r w:rsidR="00053157">
        <w:rPr>
          <w:bCs/>
        </w:rPr>
        <w:t>публикации МЭК 60809, издание 3</w:t>
      </w:r>
      <w:r>
        <w:rPr>
          <w:bCs/>
        </w:rPr>
        <w:t>»</w:t>
      </w:r>
      <w:r w:rsidR="00053157">
        <w:rPr>
          <w:bCs/>
        </w:rPr>
        <w:t>.</w:t>
      </w:r>
    </w:p>
    <w:p w:rsidR="00552293" w:rsidRPr="00552293" w:rsidRDefault="00552293" w:rsidP="00552293">
      <w:pPr>
        <w:pStyle w:val="SingleTxtGR"/>
        <w:rPr>
          <w:bCs/>
        </w:rPr>
      </w:pPr>
      <w:r w:rsidRPr="00552293">
        <w:rPr>
          <w:bCs/>
          <w:i/>
        </w:rPr>
        <w:t xml:space="preserve">Пункт 7.1.3 </w:t>
      </w:r>
      <w:r w:rsidRPr="00552293">
        <w:rPr>
          <w:bCs/>
          <w:iCs/>
        </w:rPr>
        <w:t>изменить следующим образом</w:t>
      </w:r>
      <w:r w:rsidRPr="00552293">
        <w:rPr>
          <w:bCs/>
        </w:rPr>
        <w:t>:</w:t>
      </w:r>
    </w:p>
    <w:p w:rsidR="00552293" w:rsidRPr="00552293" w:rsidRDefault="00CA5DBF" w:rsidP="00CA5DBF">
      <w:pPr>
        <w:pStyle w:val="SingleTxtGR"/>
        <w:ind w:left="2268" w:hanging="1134"/>
      </w:pPr>
      <w:r>
        <w:t>«</w:t>
      </w:r>
      <w:r w:rsidR="00552293" w:rsidRPr="00552293">
        <w:t>7.1.3</w:t>
      </w:r>
      <w:r w:rsidR="00552293" w:rsidRPr="00552293">
        <w:tab/>
      </w:r>
      <w:r>
        <w:tab/>
      </w:r>
      <w:r w:rsidR="00552293" w:rsidRPr="00552293">
        <w:t xml:space="preserve">В случае одиночного огня, имеющего более одного источника света, при функционировании всех источников света не должна превышаться величина </w:t>
      </w:r>
      <w:r w:rsidR="00053157">
        <w:t>максимальной силы света</w:t>
      </w:r>
      <w:r>
        <w:t>»</w:t>
      </w:r>
      <w:r w:rsidR="00053157">
        <w:t>.</w:t>
      </w:r>
    </w:p>
    <w:p w:rsidR="00552293" w:rsidRPr="00552293" w:rsidRDefault="00552293" w:rsidP="00552293">
      <w:pPr>
        <w:pStyle w:val="SingleTxtGR"/>
        <w:rPr>
          <w:bCs/>
        </w:rPr>
      </w:pPr>
      <w:r w:rsidRPr="00552293">
        <w:rPr>
          <w:bCs/>
          <w:i/>
        </w:rPr>
        <w:t>Включить новый пункт 7.1.4</w:t>
      </w:r>
      <w:r w:rsidRPr="00552293">
        <w:rPr>
          <w:bCs/>
        </w:rPr>
        <w:t xml:space="preserve"> следующего содержания:</w:t>
      </w:r>
    </w:p>
    <w:p w:rsidR="00552293" w:rsidRPr="00552293" w:rsidRDefault="00CA5DBF" w:rsidP="00CA5DBF">
      <w:pPr>
        <w:pStyle w:val="SingleTxtGR"/>
        <w:ind w:left="2268" w:hanging="1134"/>
      </w:pPr>
      <w:r>
        <w:t>«</w:t>
      </w:r>
      <w:r w:rsidR="00552293" w:rsidRPr="00552293">
        <w:t>7.1.4</w:t>
      </w:r>
      <w:r w:rsidR="00552293" w:rsidRPr="00552293">
        <w:tab/>
      </w:r>
      <w:r>
        <w:tab/>
      </w:r>
      <w:r w:rsidR="00552293" w:rsidRPr="00552293">
        <w:t>Несрабатывание одиночного огня, имеющего более одного источника света:</w:t>
      </w:r>
    </w:p>
    <w:p w:rsidR="00552293" w:rsidRPr="00552293" w:rsidRDefault="00552293" w:rsidP="00CA5DBF">
      <w:pPr>
        <w:pStyle w:val="SingleTxtGR"/>
        <w:ind w:left="2268" w:hanging="1134"/>
      </w:pPr>
      <w:r w:rsidRPr="00552293">
        <w:t>7.1.4.1</w:t>
      </w:r>
      <w:r w:rsidRPr="00552293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552293" w:rsidRPr="00552293" w:rsidRDefault="00552293" w:rsidP="00CA5DBF">
      <w:pPr>
        <w:pStyle w:val="SingleTxtGR"/>
        <w:ind w:left="2268" w:hanging="1134"/>
      </w:pPr>
      <w:r w:rsidRPr="00552293">
        <w:t>7.1.4.2</w:t>
      </w:r>
      <w:r w:rsidRPr="00552293">
        <w:tab/>
      </w:r>
      <w:r w:rsidRPr="00552293">
        <w:rPr>
          <w:bCs/>
        </w:rPr>
        <w:t>В случае сбоя в работе любого из источников света в одиночном огне, содержащем более одного источника света, применяют по меньшей мере одно из следующих положений:</w:t>
      </w:r>
    </w:p>
    <w:p w:rsidR="00552293" w:rsidRPr="00552293" w:rsidRDefault="00552293" w:rsidP="00CA5DBF">
      <w:pPr>
        <w:pStyle w:val="SingleTxtGR"/>
        <w:ind w:left="2835" w:hanging="1701"/>
        <w:rPr>
          <w:bCs/>
        </w:rPr>
      </w:pPr>
      <w:r w:rsidRPr="00552293">
        <w:rPr>
          <w:bCs/>
        </w:rPr>
        <w:tab/>
      </w:r>
      <w:r w:rsidR="00CA5DBF">
        <w:rPr>
          <w:bCs/>
        </w:rPr>
        <w:tab/>
      </w:r>
      <w:r w:rsidRPr="00552293">
        <w:rPr>
          <w:bCs/>
          <w:lang w:val="en-US"/>
        </w:rPr>
        <w:t>a</w:t>
      </w:r>
      <w:r w:rsidRPr="00552293">
        <w:rPr>
          <w:bCs/>
        </w:rPr>
        <w:t>)</w:t>
      </w:r>
      <w:r w:rsidRPr="00552293">
        <w:rPr>
          <w:bCs/>
        </w:rPr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053157" w:rsidRDefault="00053157">
      <w:pPr>
        <w:spacing w:line="240" w:lineRule="auto"/>
        <w:rPr>
          <w:bCs/>
        </w:rPr>
      </w:pPr>
      <w:r>
        <w:rPr>
          <w:bCs/>
        </w:rPr>
        <w:br w:type="page"/>
      </w:r>
    </w:p>
    <w:p w:rsidR="00552293" w:rsidRPr="00552293" w:rsidRDefault="00552293" w:rsidP="00CA5DBF">
      <w:pPr>
        <w:pStyle w:val="SingleTxtGR"/>
        <w:ind w:left="2835" w:hanging="1701"/>
      </w:pPr>
      <w:r w:rsidRPr="00552293">
        <w:rPr>
          <w:bCs/>
        </w:rPr>
        <w:tab/>
      </w:r>
      <w:r w:rsidR="00CA5DBF">
        <w:rPr>
          <w:bCs/>
        </w:rPr>
        <w:tab/>
      </w:r>
      <w:r w:rsidRPr="00552293">
        <w:rPr>
          <w:bCs/>
          <w:lang w:val="en-US"/>
        </w:rPr>
        <w:t>b</w:t>
      </w:r>
      <w:r w:rsidRPr="00552293">
        <w:rPr>
          <w:bCs/>
        </w:rPr>
        <w:t>)</w:t>
      </w:r>
      <w:r w:rsidRPr="00552293">
        <w:rPr>
          <w:bCs/>
        </w:rPr>
        <w:tab/>
        <w:t>подается сигнал, предназначенный для включения контрольного сигнала сбоя, как указано в пункте 6.12.8 Правил № 48, при условии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</w:t>
      </w:r>
      <w:r w:rsidR="00CA5DBF">
        <w:rPr>
          <w:bCs/>
        </w:rPr>
        <w:t>».</w:t>
      </w:r>
    </w:p>
    <w:p w:rsidR="00552293" w:rsidRPr="00552293" w:rsidRDefault="00552293" w:rsidP="00552293">
      <w:pPr>
        <w:pStyle w:val="SingleTxtGR"/>
      </w:pPr>
      <w:r w:rsidRPr="00552293">
        <w:rPr>
          <w:bCs/>
          <w:i/>
          <w:iCs/>
        </w:rPr>
        <w:t>Пункт 12.1</w:t>
      </w:r>
      <w:r w:rsidR="00053157">
        <w:rPr>
          <w:bCs/>
          <w:i/>
          <w:iCs/>
        </w:rPr>
        <w:t xml:space="preserve"> </w:t>
      </w:r>
      <w:r w:rsidRPr="00C01D7A">
        <w:rPr>
          <w:bCs/>
        </w:rPr>
        <w:t>изменить следующим образом:</w:t>
      </w:r>
    </w:p>
    <w:p w:rsidR="00552293" w:rsidRPr="00552293" w:rsidRDefault="00CA5DBF" w:rsidP="00CA5DBF">
      <w:pPr>
        <w:pStyle w:val="SingleTxtGR"/>
        <w:ind w:left="2268" w:hanging="1134"/>
      </w:pPr>
      <w:r>
        <w:t>«</w:t>
      </w:r>
      <w:r w:rsidR="00552293" w:rsidRPr="00552293">
        <w:t>12.1</w:t>
      </w:r>
      <w:r w:rsidR="00552293" w:rsidRPr="00552293">
        <w:tab/>
      </w:r>
      <w:r>
        <w:tab/>
      </w:r>
      <w:r w:rsidR="00552293" w:rsidRPr="00552293">
        <w:t xml:space="preserve">Стояночные фонари изготавливаются таким образом, чтобы они соответствовали типу, официально утвержденному на основании настоящих Правил. </w:t>
      </w:r>
    </w:p>
    <w:p w:rsidR="00552293" w:rsidRPr="00552293" w:rsidRDefault="00CA5DBF" w:rsidP="00CA5DBF">
      <w:pPr>
        <w:pStyle w:val="SingleTxtGR"/>
        <w:ind w:left="2268" w:hanging="1134"/>
      </w:pPr>
      <w:r>
        <w:tab/>
      </w:r>
      <w:r>
        <w:tab/>
      </w:r>
      <w:r w:rsidR="00552293" w:rsidRPr="00552293">
        <w:t>Проверка соответствия предписаниям, изложенным в пунктах 7 и 9 выше, производится следующим образом:</w:t>
      </w:r>
      <w:r>
        <w:t>».</w:t>
      </w:r>
    </w:p>
    <w:p w:rsidR="00552293" w:rsidRPr="00552293" w:rsidRDefault="00552293" w:rsidP="00552293">
      <w:pPr>
        <w:pStyle w:val="SingleTxtGR"/>
      </w:pPr>
      <w:r w:rsidRPr="00552293">
        <w:rPr>
          <w:i/>
        </w:rPr>
        <w:t>Пункт 12.2 (прежний)</w:t>
      </w:r>
      <w:r w:rsidRPr="00552293">
        <w:t>, изменить нумерацию на 12.1.1.</w:t>
      </w:r>
    </w:p>
    <w:p w:rsidR="00552293" w:rsidRPr="00552293" w:rsidRDefault="00552293" w:rsidP="00552293">
      <w:pPr>
        <w:pStyle w:val="SingleTxtGR"/>
        <w:rPr>
          <w:bCs/>
        </w:rPr>
      </w:pPr>
      <w:r w:rsidRPr="00552293">
        <w:rPr>
          <w:i/>
        </w:rPr>
        <w:t>Пункт 12.3 (прежний)</w:t>
      </w:r>
      <w:r w:rsidRPr="00552293">
        <w:t>, изменить нумерацию на 12.1.2.</w:t>
      </w:r>
    </w:p>
    <w:p w:rsidR="00552293" w:rsidRPr="00552293" w:rsidRDefault="00552293" w:rsidP="00552293">
      <w:pPr>
        <w:pStyle w:val="SingleTxtGR"/>
      </w:pPr>
      <w:r w:rsidRPr="00552293">
        <w:rPr>
          <w:i/>
        </w:rPr>
        <w:t>Пункт 12.4 (прежний)</w:t>
      </w:r>
      <w:r w:rsidRPr="00552293">
        <w:t>, изменить нумерацию на 12.2.</w:t>
      </w:r>
    </w:p>
    <w:p w:rsidR="00552293" w:rsidRPr="00552293" w:rsidRDefault="00552293" w:rsidP="00552293">
      <w:pPr>
        <w:pStyle w:val="SingleTxtGR"/>
      </w:pPr>
      <w:r w:rsidRPr="00552293">
        <w:rPr>
          <w:i/>
          <w:iCs/>
        </w:rPr>
        <w:t xml:space="preserve">Включить новый пункт 12.3 </w:t>
      </w:r>
      <w:r w:rsidRPr="00552293">
        <w:t>следующего содержания:</w:t>
      </w:r>
    </w:p>
    <w:p w:rsidR="00552293" w:rsidRPr="00A05535" w:rsidRDefault="00CA5DBF" w:rsidP="00A05535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552293" w:rsidRPr="00552293">
        <w:rPr>
          <w:bCs/>
        </w:rPr>
        <w:t>12.3</w:t>
      </w:r>
      <w:r w:rsidR="00552293" w:rsidRPr="00552293">
        <w:rPr>
          <w:bCs/>
        </w:rPr>
        <w:tab/>
      </w:r>
      <w:r w:rsidR="00B3638B">
        <w:rPr>
          <w:bCs/>
        </w:rPr>
        <w:tab/>
      </w:r>
      <w:r w:rsidR="00552293" w:rsidRPr="00552293">
        <w:rPr>
          <w:bCs/>
        </w:rPr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− требованиям к цветостойкости, предусмотренн</w:t>
      </w:r>
      <w:r w:rsidR="00D33B0A">
        <w:rPr>
          <w:bCs/>
        </w:rPr>
        <w:t>ым в пункте 2.11 публикации</w:t>
      </w:r>
      <w:r w:rsidR="00053157">
        <w:rPr>
          <w:bCs/>
        </w:rPr>
        <w:t xml:space="preserve"> </w:t>
      </w:r>
      <w:r w:rsidR="00D33B0A">
        <w:rPr>
          <w:bCs/>
        </w:rPr>
        <w:t>МЭК </w:t>
      </w:r>
      <w:r w:rsidR="00552293" w:rsidRPr="00552293">
        <w:rPr>
          <w:bCs/>
        </w:rPr>
        <w:t>60809, издание 3</w:t>
      </w:r>
      <w:r>
        <w:rPr>
          <w:bCs/>
        </w:rPr>
        <w:t>»</w:t>
      </w:r>
      <w:r w:rsidR="00A05535" w:rsidRPr="00A05535">
        <w:rPr>
          <w:bCs/>
        </w:rPr>
        <w:t>.</w:t>
      </w:r>
    </w:p>
    <w:p w:rsidR="00552293" w:rsidRPr="00552293" w:rsidRDefault="00552293" w:rsidP="00552293">
      <w:pPr>
        <w:pStyle w:val="SingleTxtGR"/>
      </w:pPr>
      <w:r w:rsidRPr="00552293">
        <w:rPr>
          <w:i/>
        </w:rPr>
        <w:t>Приложение 1,</w:t>
      </w:r>
      <w:r w:rsidR="00B3638B">
        <w:rPr>
          <w:i/>
        </w:rPr>
        <w:t xml:space="preserve"> </w:t>
      </w:r>
      <w:r w:rsidRPr="00552293">
        <w:rPr>
          <w:i/>
        </w:rPr>
        <w:t>пункт 9</w:t>
      </w:r>
      <w:r w:rsidRPr="00552293">
        <w:t xml:space="preserve"> изменить следующим образом:</w:t>
      </w:r>
    </w:p>
    <w:p w:rsidR="00552293" w:rsidRPr="00552293" w:rsidRDefault="00CA5DBF" w:rsidP="00552293">
      <w:pPr>
        <w:pStyle w:val="SingleTxtGR"/>
      </w:pPr>
      <w:r>
        <w:t>«</w:t>
      </w:r>
      <w:r w:rsidR="00552293" w:rsidRPr="00552293">
        <w:t>9.</w:t>
      </w:r>
      <w:r w:rsidR="00552293" w:rsidRPr="00552293">
        <w:tab/>
        <w:t>Краткое описание:</w:t>
      </w:r>
    </w:p>
    <w:p w:rsidR="00552293" w:rsidRPr="00552293" w:rsidRDefault="00B3638B" w:rsidP="0038058E">
      <w:pPr>
        <w:pStyle w:val="SingleTxtGR"/>
        <w:tabs>
          <w:tab w:val="right" w:leader="dot" w:pos="8505"/>
        </w:tabs>
        <w:jc w:val="left"/>
      </w:pPr>
      <w:r>
        <w:tab/>
      </w:r>
      <w:r w:rsidR="00552293" w:rsidRPr="00552293">
        <w:t xml:space="preserve">Цвет излучаемого света: </w:t>
      </w:r>
      <w:r w:rsidR="00552293" w:rsidRPr="00552293">
        <w:tab/>
      </w:r>
      <w:r w:rsidR="003D7827">
        <w:t xml:space="preserve"> </w:t>
      </w:r>
      <w:r w:rsidR="00552293" w:rsidRPr="00552293">
        <w:t>красный/белый/автожелтый</w:t>
      </w:r>
      <w:r w:rsidR="00552293" w:rsidRPr="00552293">
        <w:rPr>
          <w:vertAlign w:val="superscript"/>
        </w:rPr>
        <w:t>2</w:t>
      </w:r>
    </w:p>
    <w:p w:rsidR="00552293" w:rsidRPr="00552293" w:rsidRDefault="00552293" w:rsidP="0038058E">
      <w:pPr>
        <w:pStyle w:val="SingleTxtGR"/>
        <w:tabs>
          <w:tab w:val="right" w:leader="dot" w:pos="8505"/>
        </w:tabs>
        <w:jc w:val="left"/>
      </w:pPr>
      <w:r w:rsidRPr="00552293">
        <w:tab/>
        <w:t xml:space="preserve">Число, категория и тип источника (источников) света: </w:t>
      </w:r>
      <w:r w:rsidRPr="00552293">
        <w:tab/>
      </w:r>
    </w:p>
    <w:p w:rsidR="00552293" w:rsidRPr="00552293" w:rsidRDefault="00552293" w:rsidP="0038058E">
      <w:pPr>
        <w:pStyle w:val="SingleTxtGR"/>
        <w:tabs>
          <w:tab w:val="right" w:leader="dot" w:pos="8505"/>
        </w:tabs>
        <w:jc w:val="left"/>
      </w:pPr>
      <w:r w:rsidRPr="00552293">
        <w:tab/>
        <w:t xml:space="preserve">Модуль источника света: </w:t>
      </w:r>
      <w:r w:rsidRPr="00552293">
        <w:tab/>
      </w:r>
      <w:r w:rsidR="003D7827">
        <w:t xml:space="preserve"> </w:t>
      </w:r>
      <w:r w:rsidRPr="00552293">
        <w:t>Да/Нет</w:t>
      </w:r>
      <w:r w:rsidRPr="007F26DC">
        <w:rPr>
          <w:vertAlign w:val="superscript"/>
        </w:rPr>
        <w:t>2</w:t>
      </w:r>
    </w:p>
    <w:p w:rsidR="00552293" w:rsidRPr="00552293" w:rsidRDefault="00552293" w:rsidP="007F26DC">
      <w:pPr>
        <w:pStyle w:val="SingleTxtGR"/>
        <w:tabs>
          <w:tab w:val="left" w:leader="dot" w:pos="5809"/>
          <w:tab w:val="right" w:leader="dot" w:pos="8505"/>
        </w:tabs>
        <w:jc w:val="left"/>
      </w:pPr>
      <w:r w:rsidRPr="00552293">
        <w:tab/>
        <w:t xml:space="preserve">Конкретный идентификационный код модуля источника света: </w:t>
      </w:r>
      <w:r w:rsidRPr="00552293">
        <w:tab/>
      </w:r>
    </w:p>
    <w:p w:rsidR="00552293" w:rsidRPr="00552293" w:rsidRDefault="00552293" w:rsidP="00872979">
      <w:pPr>
        <w:pStyle w:val="SingleTxtGR"/>
        <w:tabs>
          <w:tab w:val="right" w:leader="dot" w:pos="8505"/>
        </w:tabs>
        <w:ind w:left="1701" w:hanging="567"/>
      </w:pPr>
      <w:r w:rsidRPr="00552293">
        <w:tab/>
        <w:t xml:space="preserve">Геометрические условия установки и соответствующие допуски, если </w:t>
      </w:r>
      <w:r w:rsidR="00B3638B">
        <w:br/>
      </w:r>
      <w:r w:rsidRPr="00552293">
        <w:t xml:space="preserve">таковые предусмотрены: </w:t>
      </w:r>
      <w:r w:rsidRPr="00552293">
        <w:tab/>
      </w:r>
    </w:p>
    <w:p w:rsidR="00552293" w:rsidRPr="00552293" w:rsidRDefault="00552293" w:rsidP="007F26DC">
      <w:pPr>
        <w:pStyle w:val="SingleTxtGR"/>
        <w:tabs>
          <w:tab w:val="right" w:leader="dot" w:pos="8505"/>
        </w:tabs>
        <w:ind w:left="1701" w:hanging="567"/>
      </w:pPr>
      <w:r w:rsidRPr="00552293">
        <w:tab/>
        <w:t>Применение электронного механизма управления источником света/</w:t>
      </w:r>
      <w:r w:rsidR="00B3638B">
        <w:br/>
      </w:r>
      <w:r w:rsidRPr="00552293">
        <w:t>регулятора силы света:</w:t>
      </w:r>
    </w:p>
    <w:p w:rsidR="00552293" w:rsidRPr="00552293" w:rsidRDefault="00552293" w:rsidP="0038058E">
      <w:pPr>
        <w:pStyle w:val="SingleTxtGR"/>
        <w:tabs>
          <w:tab w:val="right" w:leader="dot" w:pos="8505"/>
        </w:tabs>
        <w:jc w:val="left"/>
      </w:pPr>
      <w:r w:rsidRPr="00552293">
        <w:tab/>
      </w:r>
      <w:r w:rsidRPr="00552293">
        <w:rPr>
          <w:lang w:val="en-US"/>
        </w:rPr>
        <w:t>a</w:t>
      </w:r>
      <w:r w:rsidRPr="00552293">
        <w:t>)</w:t>
      </w:r>
      <w:r w:rsidRPr="00552293">
        <w:tab/>
        <w:t xml:space="preserve">являющегося частью огня: </w:t>
      </w:r>
      <w:r w:rsidRPr="00552293">
        <w:tab/>
      </w:r>
      <w:r w:rsidR="00A05535" w:rsidRPr="00A05535">
        <w:t xml:space="preserve"> </w:t>
      </w:r>
      <w:r w:rsidRPr="00552293">
        <w:t>Да/Нет/Неприменимо</w:t>
      </w:r>
      <w:r w:rsidRPr="0038058E">
        <w:rPr>
          <w:vertAlign w:val="superscript"/>
        </w:rPr>
        <w:t>2</w:t>
      </w:r>
    </w:p>
    <w:p w:rsidR="00552293" w:rsidRPr="00552293" w:rsidRDefault="00552293" w:rsidP="0038058E">
      <w:pPr>
        <w:pStyle w:val="SingleTxtGR"/>
        <w:tabs>
          <w:tab w:val="right" w:leader="dot" w:pos="8505"/>
        </w:tabs>
        <w:jc w:val="left"/>
      </w:pPr>
      <w:r w:rsidRPr="00552293">
        <w:tab/>
      </w:r>
      <w:r w:rsidRPr="003D7827">
        <w:t>b</w:t>
      </w:r>
      <w:r w:rsidRPr="00552293">
        <w:t>)</w:t>
      </w:r>
      <w:r w:rsidRPr="00552293">
        <w:tab/>
        <w:t xml:space="preserve">не являющегося частью огня: </w:t>
      </w:r>
      <w:r w:rsidRPr="00552293">
        <w:tab/>
      </w:r>
      <w:r w:rsidR="00A05535" w:rsidRPr="00A05535">
        <w:t xml:space="preserve"> </w:t>
      </w:r>
      <w:r w:rsidRPr="00552293">
        <w:t>Да/Нет/Неприменимо</w:t>
      </w:r>
      <w:r w:rsidRPr="0038058E">
        <w:rPr>
          <w:vertAlign w:val="superscript"/>
        </w:rPr>
        <w:t>2</w:t>
      </w:r>
    </w:p>
    <w:p w:rsidR="00552293" w:rsidRPr="00552293" w:rsidRDefault="00552293" w:rsidP="00872979">
      <w:pPr>
        <w:pStyle w:val="SingleTxtGR"/>
        <w:tabs>
          <w:tab w:val="left" w:leader="dot" w:pos="5809"/>
          <w:tab w:val="right" w:leader="dot" w:pos="8505"/>
        </w:tabs>
        <w:ind w:left="1701" w:hanging="567"/>
      </w:pPr>
      <w:r w:rsidRPr="00552293">
        <w:tab/>
        <w:t xml:space="preserve">Величина(ы) входного напряжения, подаваемого электронным механизмом управления источником света/регулятором силы света: </w:t>
      </w:r>
      <w:r w:rsidRPr="00552293">
        <w:tab/>
      </w:r>
    </w:p>
    <w:p w:rsidR="00A05535" w:rsidRDefault="00A05535">
      <w:pPr>
        <w:spacing w:line="240" w:lineRule="auto"/>
      </w:pPr>
      <w:r>
        <w:br w:type="page"/>
      </w:r>
    </w:p>
    <w:p w:rsidR="00552293" w:rsidRPr="00552293" w:rsidRDefault="00552293" w:rsidP="00A05535">
      <w:pPr>
        <w:pStyle w:val="SingleTxtGR"/>
        <w:tabs>
          <w:tab w:val="clear" w:pos="3402"/>
          <w:tab w:val="clear" w:pos="3969"/>
          <w:tab w:val="right" w:leader="dot" w:pos="8505"/>
        </w:tabs>
        <w:ind w:left="1701" w:hanging="567"/>
      </w:pPr>
      <w:r w:rsidRPr="00552293">
        <w:tab/>
        <w:t>Изготовитель электронного механизма управления источником света/</w:t>
      </w:r>
      <w:r w:rsidR="00A05535" w:rsidRPr="00A05535">
        <w:br/>
      </w:r>
      <w:r w:rsidRPr="00552293">
        <w:t xml:space="preserve">регулятора силы света и идентификационный номер (когда механизм управления источником света является частью огня, но не находится в корпусе огня): </w:t>
      </w:r>
      <w:r w:rsidRPr="00552293">
        <w:tab/>
      </w:r>
      <w:r w:rsidR="00550D47">
        <w:tab/>
      </w:r>
    </w:p>
    <w:p w:rsidR="00552293" w:rsidRPr="00550D47" w:rsidRDefault="00552293" w:rsidP="00550D47">
      <w:pPr>
        <w:pStyle w:val="SingleTxtGR"/>
        <w:ind w:left="1701" w:hanging="567"/>
      </w:pPr>
      <w:r w:rsidRPr="00552293">
        <w:tab/>
        <w:t xml:space="preserve">Данный огонь предназначен для использования только на транспортном средстве, оснащенном контрольным сигналом сбоя: </w:t>
      </w:r>
      <w:r w:rsidRPr="00552293">
        <w:tab/>
      </w:r>
      <w:r w:rsidR="00550D47">
        <w:br/>
      </w:r>
      <w:r w:rsidRPr="00552293">
        <w:t>да/нет</w:t>
      </w:r>
      <w:r w:rsidRPr="00552293">
        <w:rPr>
          <w:bCs/>
          <w:vertAlign w:val="superscript"/>
        </w:rPr>
        <w:t>2</w:t>
      </w:r>
      <w:r w:rsidR="00550D47">
        <w:rPr>
          <w:bCs/>
        </w:rPr>
        <w:t>»</w:t>
      </w:r>
    </w:p>
    <w:p w:rsidR="00552293" w:rsidRPr="00552293" w:rsidRDefault="00552293" w:rsidP="00552293">
      <w:pPr>
        <w:pStyle w:val="SingleTxtGR"/>
        <w:rPr>
          <w:i/>
        </w:rPr>
      </w:pPr>
      <w:r w:rsidRPr="00552293">
        <w:rPr>
          <w:i/>
        </w:rPr>
        <w:t xml:space="preserve">Приложение 5, </w:t>
      </w:r>
    </w:p>
    <w:p w:rsidR="00552293" w:rsidRPr="00A05535" w:rsidRDefault="00552293" w:rsidP="00B3638B">
      <w:pPr>
        <w:pStyle w:val="SingleTxtGR"/>
        <w:rPr>
          <w:iCs/>
        </w:rPr>
      </w:pPr>
      <w:r w:rsidRPr="00552293">
        <w:rPr>
          <w:i/>
        </w:rPr>
        <w:t>Пункты 1.2</w:t>
      </w:r>
      <w:r w:rsidR="00B3638B">
        <w:rPr>
          <w:i/>
        </w:rPr>
        <w:t>–</w:t>
      </w:r>
      <w:r w:rsidRPr="00552293">
        <w:rPr>
          <w:i/>
        </w:rPr>
        <w:t xml:space="preserve">1.3 </w:t>
      </w:r>
      <w:r w:rsidRPr="00A05535">
        <w:rPr>
          <w:iCs/>
        </w:rPr>
        <w:t>изменить следующим образом:</w:t>
      </w:r>
    </w:p>
    <w:p w:rsidR="00552293" w:rsidRPr="00552293" w:rsidRDefault="00CA5DBF" w:rsidP="00053157">
      <w:pPr>
        <w:pStyle w:val="SingleTxtGR"/>
        <w:ind w:left="2268" w:hanging="1134"/>
      </w:pPr>
      <w:r>
        <w:t>«</w:t>
      </w:r>
      <w:r w:rsidR="00552293" w:rsidRPr="00552293">
        <w:t>1.2</w:t>
      </w:r>
      <w:r w:rsidR="00552293" w:rsidRPr="00552293">
        <w:tab/>
      </w:r>
      <w:r w:rsidR="00B3638B">
        <w:tab/>
      </w:r>
      <w:r w:rsidR="00552293" w:rsidRPr="00552293">
        <w:t>Что касается фотометрических характеристик, то соответствие серийных фонарей считается доказанным, если при испытаниях − согласно пункту 8 настоящих Правил − фотометрических характеристик, указанных в пункте 7 настоящих Правил, любого произвольно выбранного огня, оснащенного стандартным источником света, или в случае фонарей, оснащенных несменными источниками света (ламп накаливания или других источников), и когда все измерения проводятся при напряжении 6,75</w:t>
      </w:r>
      <w:r w:rsidR="00053157">
        <w:t xml:space="preserve"> </w:t>
      </w:r>
      <w:r w:rsidR="00552293" w:rsidRPr="00552293">
        <w:t>В, 13,5 В или 28,0 В соответственно:</w:t>
      </w:r>
    </w:p>
    <w:p w:rsidR="00552293" w:rsidRPr="00552293" w:rsidRDefault="00552293" w:rsidP="00B3638B">
      <w:pPr>
        <w:pStyle w:val="SingleTxtGR"/>
        <w:ind w:left="2268" w:hanging="1134"/>
      </w:pPr>
      <w:r w:rsidRPr="00552293">
        <w:t>1.2.1</w:t>
      </w:r>
      <w:r w:rsidRPr="00552293">
        <w:tab/>
      </w:r>
      <w:r w:rsidR="00B3638B">
        <w:tab/>
      </w:r>
      <w:r w:rsidRPr="00552293">
        <w:t>ни одно из измеренных значений не отличается в неблагоприятную сторону более чем на 20% от значений, предписанных в настоящих Правилах.</w:t>
      </w:r>
    </w:p>
    <w:p w:rsidR="00552293" w:rsidRPr="00552293" w:rsidRDefault="00B3638B" w:rsidP="00B3638B">
      <w:pPr>
        <w:pStyle w:val="SingleTxtGR"/>
        <w:ind w:left="2268" w:hanging="1134"/>
      </w:pPr>
      <w:r>
        <w:tab/>
      </w:r>
      <w:r>
        <w:tab/>
      </w:r>
      <w:r w:rsidR="00552293" w:rsidRPr="00552293">
        <w:t>В случае минимальных значений в полях видимости, указанных в приложении 3, соответствующие максимальные отклонения измеренных значений должны соответствовать значениям, приведенным в таблице ниже:</w:t>
      </w:r>
    </w:p>
    <w:tbl>
      <w:tblPr>
        <w:tblStyle w:val="TabNum"/>
        <w:tblW w:w="6208" w:type="dxa"/>
        <w:tblInd w:w="22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268"/>
        <w:gridCol w:w="1843"/>
        <w:gridCol w:w="2097"/>
      </w:tblGrid>
      <w:tr w:rsidR="00B3638B" w:rsidRPr="00B3638B" w:rsidTr="00F4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552293" w:rsidRPr="00B3638B" w:rsidRDefault="00552293" w:rsidP="00A66773">
            <w:pPr>
              <w:spacing w:line="200" w:lineRule="exact"/>
              <w:jc w:val="center"/>
              <w:rPr>
                <w:sz w:val="16"/>
              </w:rPr>
            </w:pPr>
            <w:r w:rsidRPr="00B3638B">
              <w:rPr>
                <w:sz w:val="16"/>
              </w:rPr>
              <w:t xml:space="preserve">Требуемое минимальное </w:t>
            </w:r>
            <w:r w:rsidR="00B3638B">
              <w:rPr>
                <w:sz w:val="16"/>
              </w:rPr>
              <w:br/>
            </w:r>
            <w:r w:rsidRPr="00B3638B">
              <w:rPr>
                <w:sz w:val="16"/>
              </w:rPr>
              <w:t>значение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52293" w:rsidRPr="00B3638B" w:rsidRDefault="00552293" w:rsidP="00A6677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3638B">
              <w:rPr>
                <w:sz w:val="16"/>
              </w:rPr>
              <w:t xml:space="preserve">20-процентный </w:t>
            </w:r>
            <w:r w:rsidR="00F41669">
              <w:rPr>
                <w:sz w:val="16"/>
                <w:lang w:val="en-US"/>
              </w:rPr>
              <w:br/>
            </w:r>
            <w:r w:rsidRPr="00B3638B">
              <w:rPr>
                <w:sz w:val="16"/>
              </w:rPr>
              <w:t>эквивалент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52293" w:rsidRPr="00B3638B" w:rsidRDefault="00552293" w:rsidP="00A66773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3638B">
              <w:rPr>
                <w:sz w:val="16"/>
              </w:rPr>
              <w:t>30-процентный эквивалент</w:t>
            </w:r>
          </w:p>
        </w:tc>
      </w:tr>
      <w:tr w:rsidR="00B3638B" w:rsidRPr="00A66773" w:rsidTr="00F41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52293" w:rsidRPr="00A66773" w:rsidRDefault="00552293" w:rsidP="00A66773">
            <w:pPr>
              <w:jc w:val="center"/>
              <w:rPr>
                <w:i/>
                <w:iCs/>
                <w:sz w:val="18"/>
                <w:szCs w:val="18"/>
              </w:rPr>
            </w:pPr>
            <w:r w:rsidRPr="00A66773">
              <w:rPr>
                <w:i/>
                <w:iCs/>
                <w:sz w:val="18"/>
                <w:szCs w:val="18"/>
              </w:rPr>
              <w:t>кд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52293" w:rsidRPr="00A66773" w:rsidRDefault="00552293" w:rsidP="00A66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66773">
              <w:rPr>
                <w:i/>
                <w:iCs/>
                <w:sz w:val="18"/>
                <w:szCs w:val="18"/>
              </w:rPr>
              <w:t>кд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52293" w:rsidRPr="00A66773" w:rsidRDefault="00552293" w:rsidP="00A66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A66773">
              <w:rPr>
                <w:i/>
                <w:iCs/>
                <w:sz w:val="18"/>
                <w:szCs w:val="18"/>
              </w:rPr>
              <w:t>кд</w:t>
            </w:r>
          </w:p>
        </w:tc>
      </w:tr>
      <w:tr w:rsidR="00B3638B" w:rsidRPr="00A66773" w:rsidTr="00F41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52293" w:rsidRPr="00A66773" w:rsidRDefault="00552293" w:rsidP="00A66773">
            <w:pPr>
              <w:jc w:val="center"/>
              <w:rPr>
                <w:sz w:val="18"/>
                <w:szCs w:val="18"/>
              </w:rPr>
            </w:pPr>
            <w:r w:rsidRPr="00A66773">
              <w:rPr>
                <w:sz w:val="18"/>
                <w:szCs w:val="18"/>
              </w:rPr>
              <w:t>0,05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hideMark/>
          </w:tcPr>
          <w:p w:rsidR="00552293" w:rsidRPr="00A66773" w:rsidRDefault="00552293" w:rsidP="00A66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6773">
              <w:rPr>
                <w:sz w:val="18"/>
                <w:szCs w:val="18"/>
              </w:rPr>
              <w:t>0,02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hideMark/>
          </w:tcPr>
          <w:p w:rsidR="00552293" w:rsidRPr="00A66773" w:rsidRDefault="00552293" w:rsidP="00A66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6773">
              <w:rPr>
                <w:sz w:val="18"/>
                <w:szCs w:val="18"/>
              </w:rPr>
              <w:t>0,03</w:t>
            </w:r>
          </w:p>
        </w:tc>
      </w:tr>
    </w:tbl>
    <w:p w:rsidR="00552293" w:rsidRPr="00552293" w:rsidRDefault="00552293" w:rsidP="00A66773">
      <w:pPr>
        <w:pStyle w:val="SingleTxtGR"/>
        <w:spacing w:before="120"/>
        <w:ind w:left="2268" w:hanging="1134"/>
      </w:pPr>
      <w:r w:rsidRPr="00552293">
        <w:t>1.2.2</w:t>
      </w:r>
      <w:r w:rsidRPr="00552293">
        <w:tab/>
      </w:r>
      <w:r w:rsidR="00A66773">
        <w:tab/>
      </w:r>
      <w:r w:rsidRPr="00552293">
        <w:t>Если фонарь оснащен съемным источником света и если результаты описанного выше испытания не соответствуют предъявляемым требованиям, то фонари подвергаются повторным испытаниям с использованием другой стандартной лампы накаливания.</w:t>
      </w:r>
    </w:p>
    <w:p w:rsidR="00552293" w:rsidRPr="00552293" w:rsidRDefault="00552293" w:rsidP="00A66773">
      <w:pPr>
        <w:pStyle w:val="SingleTxtGR"/>
        <w:ind w:left="2268" w:hanging="1134"/>
      </w:pPr>
      <w:r w:rsidRPr="00552293">
        <w:t>1.3</w:t>
      </w:r>
      <w:r w:rsidRPr="00552293">
        <w:tab/>
      </w:r>
      <w:r w:rsidR="00A66773">
        <w:tab/>
      </w:r>
      <w:r w:rsidRPr="00552293">
        <w:t>Координаты цветности должны быть удовлетворительными, когда фонарь оснащен стандартным источником света или, в случае фонарей,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фо</w:t>
      </w:r>
      <w:r w:rsidR="008876F7">
        <w:t>наре</w:t>
      </w:r>
      <w:r w:rsidR="00CA5DBF">
        <w:t>»</w:t>
      </w:r>
      <w:r w:rsidR="008876F7">
        <w:t>.</w:t>
      </w:r>
    </w:p>
    <w:p w:rsidR="00552293" w:rsidRPr="00552293" w:rsidRDefault="00552293" w:rsidP="00552293">
      <w:pPr>
        <w:pStyle w:val="SingleTxtGR"/>
        <w:rPr>
          <w:i/>
          <w:iCs/>
        </w:rPr>
      </w:pPr>
      <w:r w:rsidRPr="00552293">
        <w:rPr>
          <w:i/>
          <w:iCs/>
        </w:rPr>
        <w:t xml:space="preserve">Приложение 5, </w:t>
      </w:r>
    </w:p>
    <w:p w:rsidR="00552293" w:rsidRPr="00552293" w:rsidRDefault="00552293" w:rsidP="008876F7">
      <w:pPr>
        <w:pStyle w:val="SingleTxtGR"/>
      </w:pPr>
      <w:r w:rsidRPr="00552293">
        <w:rPr>
          <w:i/>
          <w:iCs/>
        </w:rPr>
        <w:t>Включить новые пункты 1.4</w:t>
      </w:r>
      <w:r w:rsidR="008876F7">
        <w:rPr>
          <w:i/>
          <w:iCs/>
        </w:rPr>
        <w:t>–</w:t>
      </w:r>
      <w:r w:rsidRPr="00552293">
        <w:rPr>
          <w:i/>
          <w:iCs/>
        </w:rPr>
        <w:t>1.4.2</w:t>
      </w:r>
      <w:r w:rsidRPr="00552293">
        <w:t xml:space="preserve"> следующего содержания:</w:t>
      </w:r>
    </w:p>
    <w:p w:rsidR="00552293" w:rsidRPr="00552293" w:rsidRDefault="00CA5DBF" w:rsidP="00A66773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552293" w:rsidRPr="00552293">
        <w:rPr>
          <w:bCs/>
        </w:rPr>
        <w:t>1.4</w:t>
      </w:r>
      <w:r w:rsidR="00552293" w:rsidRPr="00552293">
        <w:rPr>
          <w:bCs/>
        </w:rPr>
        <w:tab/>
      </w:r>
      <w:r w:rsidR="00A66773">
        <w:rPr>
          <w:bCs/>
        </w:rPr>
        <w:tab/>
      </w:r>
      <w:r w:rsidR="00552293" w:rsidRPr="00552293">
        <w:rPr>
          <w:bCs/>
        </w:rPr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053157" w:rsidRDefault="00053157">
      <w:pPr>
        <w:spacing w:line="240" w:lineRule="auto"/>
        <w:rPr>
          <w:bCs/>
        </w:rPr>
      </w:pPr>
      <w:r>
        <w:rPr>
          <w:bCs/>
        </w:rPr>
        <w:br w:type="page"/>
      </w:r>
    </w:p>
    <w:p w:rsidR="00552293" w:rsidRPr="00552293" w:rsidRDefault="00552293" w:rsidP="00A66773">
      <w:pPr>
        <w:pStyle w:val="SingleTxtGR"/>
        <w:ind w:left="2268" w:hanging="1134"/>
        <w:rPr>
          <w:bCs/>
        </w:rPr>
      </w:pPr>
      <w:r w:rsidRPr="00552293">
        <w:rPr>
          <w:bCs/>
        </w:rPr>
        <w:t>1.4.1</w:t>
      </w:r>
      <w:r w:rsidRPr="00552293">
        <w:rPr>
          <w:bCs/>
        </w:rPr>
        <w:tab/>
      </w:r>
      <w:r w:rsidR="00A66773">
        <w:rPr>
          <w:bCs/>
        </w:rPr>
        <w:tab/>
      </w:r>
      <w:r w:rsidRPr="00552293">
        <w:rPr>
          <w:bCs/>
        </w:rPr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552293" w:rsidRPr="00552293" w:rsidRDefault="00552293" w:rsidP="008876F7">
      <w:pPr>
        <w:pStyle w:val="SingleTxtGR"/>
        <w:ind w:left="2268" w:hanging="1134"/>
        <w:rPr>
          <w:bCs/>
        </w:rPr>
      </w:pPr>
      <w:r w:rsidRPr="00552293">
        <w:rPr>
          <w:bCs/>
        </w:rPr>
        <w:t>1.4.2</w:t>
      </w:r>
      <w:r w:rsidRPr="00552293">
        <w:rPr>
          <w:bCs/>
        </w:rPr>
        <w:tab/>
      </w:r>
      <w:r w:rsidR="00A66773">
        <w:rPr>
          <w:bCs/>
        </w:rPr>
        <w:tab/>
      </w:r>
      <w:r w:rsidRPr="00552293">
        <w:rPr>
          <w:bCs/>
        </w:rPr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– требованиям к цветостойкости, предусмотренным в пункте 4.11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</w:t>
      </w:r>
      <w:r w:rsidR="00CA5DBF">
        <w:rPr>
          <w:bCs/>
        </w:rPr>
        <w:t>»</w:t>
      </w:r>
      <w:r w:rsidR="008876F7">
        <w:rPr>
          <w:bCs/>
        </w:rPr>
        <w:t>.</w:t>
      </w:r>
    </w:p>
    <w:p w:rsidR="00552293" w:rsidRPr="00552293" w:rsidRDefault="00552293" w:rsidP="00552293">
      <w:pPr>
        <w:pStyle w:val="SingleTxtGR"/>
        <w:rPr>
          <w:bCs/>
          <w:i/>
          <w:iCs/>
        </w:rPr>
      </w:pPr>
      <w:r w:rsidRPr="00552293">
        <w:rPr>
          <w:i/>
        </w:rPr>
        <w:t xml:space="preserve">Приложение 6 </w:t>
      </w:r>
      <w:r w:rsidRPr="00552293">
        <w:rPr>
          <w:bCs/>
          <w:iCs/>
        </w:rPr>
        <w:t>изменить следующим образом:</w:t>
      </w:r>
    </w:p>
    <w:p w:rsidR="00552293" w:rsidRPr="00552293" w:rsidRDefault="00CA5DBF" w:rsidP="008876F7">
      <w:pPr>
        <w:pStyle w:val="HChGR"/>
      </w:pPr>
      <w:r w:rsidRPr="00053157">
        <w:rPr>
          <w:b w:val="0"/>
          <w:bCs/>
          <w:sz w:val="20"/>
        </w:rPr>
        <w:t>«</w:t>
      </w:r>
      <w:r w:rsidR="00552293" w:rsidRPr="00552293">
        <w:t>Приложение 6</w:t>
      </w:r>
    </w:p>
    <w:p w:rsidR="00552293" w:rsidRPr="00552293" w:rsidRDefault="00552293" w:rsidP="008876F7">
      <w:pPr>
        <w:pStyle w:val="HChGR"/>
      </w:pPr>
      <w:r w:rsidRPr="00552293">
        <w:tab/>
      </w:r>
      <w:r w:rsidRPr="00552293">
        <w:tab/>
        <w:t>Минимальные предписания в отношении отбора образцов, производимого инспектором</w:t>
      </w:r>
    </w:p>
    <w:p w:rsidR="00552293" w:rsidRPr="00552293" w:rsidRDefault="00552293" w:rsidP="00552293">
      <w:pPr>
        <w:pStyle w:val="SingleTxtGR"/>
      </w:pPr>
      <w:r w:rsidRPr="00552293">
        <w:t>1.</w:t>
      </w:r>
      <w:r w:rsidRPr="00552293">
        <w:tab/>
      </w:r>
      <w:r w:rsidR="008876F7">
        <w:tab/>
      </w:r>
      <w:r w:rsidRPr="00552293">
        <w:t>Общие положения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1.1</w:t>
      </w:r>
      <w:r w:rsidRPr="00552293">
        <w:tab/>
      </w:r>
      <w:r w:rsidR="008876F7">
        <w:tab/>
      </w:r>
      <w:r w:rsidRPr="00552293">
        <w:t>С точки зрения механических и геометрических характеристик, требования в отношении соответствия считаются выполненными согласно предписаниям настоящих Правил − когда такие требования сформулированы, − если различия не превышают неизбежных производственных отклонений.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1.2</w:t>
      </w:r>
      <w:r w:rsidRPr="00552293">
        <w:tab/>
      </w:r>
      <w:r w:rsidR="008876F7">
        <w:tab/>
      </w:r>
      <w:r w:rsidRPr="00552293">
        <w:t>Что касается фотометрических характеристик, то соответствие серийных стояночных фонарей считается доказанным, если при испытании − согласно пункту 8 настоящих Правил − фотометрических характеристик, указанных в пункте 7 настоящих Правил, любого произвольно выбранного фонаря, оснащенного стандартным источником света, или в случае фонарей, оснащенных несменными источниками света (ламп накаливания или других источников), и когда все измерения проводятся при напряжении 6,75 В, 13,5</w:t>
      </w:r>
      <w:r w:rsidR="003A7811" w:rsidRPr="003A7811">
        <w:t xml:space="preserve"> </w:t>
      </w:r>
      <w:r w:rsidR="008876F7">
        <w:t>В или </w:t>
      </w:r>
      <w:r w:rsidRPr="00552293">
        <w:t>28,0 В, соответственно: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1.2.1</w:t>
      </w:r>
      <w:r w:rsidRPr="00552293">
        <w:tab/>
      </w:r>
      <w:r w:rsidR="008876F7">
        <w:tab/>
      </w:r>
      <w:r w:rsidRPr="00552293">
        <w:t>выполняются требования, предусмотренные в пункте</w:t>
      </w:r>
      <w:r w:rsidR="003A7811" w:rsidRPr="003A7811">
        <w:t xml:space="preserve"> </w:t>
      </w:r>
      <w:r w:rsidRPr="00552293">
        <w:t>1.2.1 приложения 5 к настоящим Правилам.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1.2.2</w:t>
      </w:r>
      <w:r w:rsidRPr="00552293">
        <w:tab/>
      </w:r>
      <w:r w:rsidR="008876F7">
        <w:tab/>
      </w:r>
      <w:r w:rsidRPr="00552293">
        <w:t>Если фонарь оснащен сменным источником света и</w:t>
      </w:r>
      <w:r w:rsidR="003A7811" w:rsidRPr="003A7811">
        <w:t xml:space="preserve"> </w:t>
      </w:r>
      <w:r w:rsidRPr="00552293">
        <w:t>если результаты описанного выше испытания не соответствуют предъявляемым требованиям, то фонари подвергаются повторным испытаниям с использованием другого стандартного источника света.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1.2.3</w:t>
      </w:r>
      <w:r w:rsidRPr="00552293">
        <w:tab/>
      </w:r>
      <w:r w:rsidR="008876F7">
        <w:tab/>
      </w:r>
      <w:r w:rsidRPr="00552293">
        <w:t>Фонари с явными неисправностями не учитываются.</w:t>
      </w:r>
    </w:p>
    <w:p w:rsidR="00053157" w:rsidRDefault="00053157">
      <w:pPr>
        <w:spacing w:line="240" w:lineRule="auto"/>
      </w:pPr>
      <w:r>
        <w:br w:type="page"/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1.3</w:t>
      </w:r>
      <w:r w:rsidRPr="00552293">
        <w:tab/>
      </w:r>
      <w:r w:rsidRPr="00552293">
        <w:tab/>
        <w:t>Координаты цветности должны быть удовлетворительными, когда фонарь оснащен стандартным источником света или, в</w:t>
      </w:r>
      <w:r w:rsidR="003A7811" w:rsidRPr="003A7811">
        <w:t xml:space="preserve"> </w:t>
      </w:r>
      <w:r w:rsidRPr="00552293">
        <w:t>случае фонарей, оснащенных несменными источниками света (лампами накаливания или другими источниками), когда колориметрические характеристики проверяются на источнике света, имеющемся в фонаре.</w:t>
      </w:r>
    </w:p>
    <w:p w:rsidR="00552293" w:rsidRPr="00552293" w:rsidRDefault="00552293" w:rsidP="00552293">
      <w:pPr>
        <w:pStyle w:val="SingleTxtGR"/>
      </w:pPr>
      <w:r w:rsidRPr="00552293">
        <w:t>2.</w:t>
      </w:r>
      <w:r w:rsidRPr="00552293">
        <w:tab/>
      </w:r>
      <w:r w:rsidR="008876F7">
        <w:tab/>
      </w:r>
      <w:r w:rsidRPr="00552293">
        <w:t>Первый отбор образцов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В ходе первого отбора образцов произвольно выбираются четыре стояночных фонаря. Первая выборка, состоящая из двух образцов, обозначается буквой </w:t>
      </w:r>
      <w:r w:rsidR="00552293" w:rsidRPr="00552293">
        <w:rPr>
          <w:lang w:val="fr-CH"/>
        </w:rPr>
        <w:t>A</w:t>
      </w:r>
      <w:r w:rsidR="00552293" w:rsidRPr="00552293">
        <w:t xml:space="preserve">, а вторая выборка, состоящая из двух образцов, − буквой </w:t>
      </w:r>
      <w:r w:rsidR="00552293" w:rsidRPr="00552293">
        <w:rPr>
          <w:lang w:val="fr-CH"/>
        </w:rPr>
        <w:t>B</w:t>
      </w:r>
      <w:r w:rsidR="00552293" w:rsidRPr="00552293">
        <w:t>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2.1</w:t>
      </w:r>
      <w:r w:rsidRPr="00552293">
        <w:tab/>
      </w:r>
      <w:r w:rsidR="008876F7">
        <w:tab/>
      </w:r>
      <w:r w:rsidRPr="00552293">
        <w:t xml:space="preserve">Соответствие производства серийных стояночных фонарей считается доказанным, если отклонения измеренных значений на любых образцах из выборок </w:t>
      </w:r>
      <w:r w:rsidRPr="00552293">
        <w:rPr>
          <w:lang w:val="fr-CH"/>
        </w:rPr>
        <w:t>A</w:t>
      </w:r>
      <w:r w:rsidRPr="00552293">
        <w:t xml:space="preserve"> и </w:t>
      </w:r>
      <w:r w:rsidRPr="00552293">
        <w:rPr>
          <w:lang w:val="fr-CH"/>
        </w:rPr>
        <w:t>B</w:t>
      </w:r>
      <w:r w:rsidRPr="00552293">
        <w:t xml:space="preserve"> (на всех четырех фонарях) не</w:t>
      </w:r>
      <w:r w:rsidR="003A7811" w:rsidRPr="003A7811">
        <w:t xml:space="preserve"> </w:t>
      </w:r>
      <w:r w:rsidRPr="00552293">
        <w:t>превышают</w:t>
      </w:r>
      <w:r w:rsidR="003A7811" w:rsidRPr="003A7811">
        <w:t xml:space="preserve"> </w:t>
      </w:r>
      <w:r w:rsidRPr="00552293">
        <w:t>20%.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>В том случае, если отклонения измеренных значений на обоих фонарях из выборки А не превышают 0%, измерения могут быть прекращены.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2.2</w:t>
      </w:r>
      <w:r w:rsidRPr="00552293">
        <w:tab/>
      </w:r>
      <w:r w:rsidR="008876F7">
        <w:tab/>
      </w:r>
      <w:r w:rsidRPr="00552293">
        <w:t xml:space="preserve">Соответствие производства серийных стояночных фонарей не считается доказанным, если отклонения измеренных значений, по крайней мере, на одном из образцов из выборки </w:t>
      </w:r>
      <w:r w:rsidRPr="00552293">
        <w:rPr>
          <w:lang w:val="fr-CH"/>
        </w:rPr>
        <w:t>A</w:t>
      </w:r>
      <w:r w:rsidRPr="00552293">
        <w:t xml:space="preserve"> или </w:t>
      </w:r>
      <w:r w:rsidRPr="00552293">
        <w:rPr>
          <w:lang w:val="fr-CH"/>
        </w:rPr>
        <w:t>B</w:t>
      </w:r>
      <w:r w:rsidRPr="00552293">
        <w:t xml:space="preserve"> превышают 20%.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Изготовителю предлагается обеспечить соответствие производства предъявляемым требованиям (привести его в соответствие с этими требованиями), и проводится повторный отбор образцов согласно пункту 3 ниже в течение двух месяцев после уведомления. Выборки </w:t>
      </w:r>
      <w:r w:rsidR="00552293" w:rsidRPr="00552293">
        <w:rPr>
          <w:lang w:val="fr-CH"/>
        </w:rPr>
        <w:t>A</w:t>
      </w:r>
      <w:r w:rsidR="00552293" w:rsidRPr="00552293">
        <w:t xml:space="preserve"> и </w:t>
      </w:r>
      <w:r w:rsidR="00552293" w:rsidRPr="00552293">
        <w:rPr>
          <w:lang w:val="fr-CH"/>
        </w:rPr>
        <w:t>B</w:t>
      </w:r>
      <w:r w:rsidR="00552293" w:rsidRPr="00552293">
        <w:t xml:space="preserve"> хранятся в технической службе до завершения всего процесса обеспечения соответствия производства. 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3.</w:t>
      </w:r>
      <w:r w:rsidRPr="00552293">
        <w:tab/>
      </w:r>
      <w:r w:rsidRPr="00552293">
        <w:tab/>
        <w:t>Первый из повторных отборов образцов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фонарей.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>Первая выборка, состоящая из двух фонарей, обозначается буквой</w:t>
      </w:r>
      <w:r w:rsidR="00A15666">
        <w:rPr>
          <w:lang w:val="en-US"/>
        </w:rPr>
        <w:t> </w:t>
      </w:r>
      <w:r w:rsidR="00552293" w:rsidRPr="00552293">
        <w:rPr>
          <w:lang w:val="en-US"/>
        </w:rPr>
        <w:t>C</w:t>
      </w:r>
      <w:r w:rsidR="00552293" w:rsidRPr="00552293">
        <w:t>, а вторая выборка, состоящая из двух фонарей, − буквой</w:t>
      </w:r>
      <w:r w:rsidR="00A15666">
        <w:rPr>
          <w:lang w:val="en-US"/>
        </w:rPr>
        <w:t> </w:t>
      </w:r>
      <w:r w:rsidR="00552293" w:rsidRPr="00552293">
        <w:rPr>
          <w:lang w:val="en-US"/>
        </w:rPr>
        <w:t>D</w:t>
      </w:r>
      <w:r w:rsidR="00552293" w:rsidRPr="00552293">
        <w:t>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3.1</w:t>
      </w:r>
      <w:r w:rsidRPr="00552293">
        <w:tab/>
      </w:r>
      <w:r w:rsidR="008876F7">
        <w:tab/>
      </w:r>
      <w:r w:rsidRPr="00552293">
        <w:t xml:space="preserve">Соответствие серийных стояночных фонарей считается доказанным, если отклонения измеренных значений на любом из образцов из выборок </w:t>
      </w:r>
      <w:r w:rsidRPr="00552293">
        <w:rPr>
          <w:lang w:val="en-US"/>
        </w:rPr>
        <w:t>C</w:t>
      </w:r>
      <w:r w:rsidRPr="00552293">
        <w:t xml:space="preserve"> и </w:t>
      </w:r>
      <w:r w:rsidRPr="00552293">
        <w:rPr>
          <w:lang w:val="en-US"/>
        </w:rPr>
        <w:t>D</w:t>
      </w:r>
      <w:r w:rsidR="008876F7">
        <w:t xml:space="preserve"> (на всех четырех фонарях</w:t>
      </w:r>
      <w:r w:rsidRPr="00552293">
        <w:t>) не превышают 20%.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В том случае, если отклонения измеренных значений на обоих фонарях из выборки </w:t>
      </w:r>
      <w:r w:rsidR="00552293" w:rsidRPr="00552293">
        <w:rPr>
          <w:lang w:val="en-US"/>
        </w:rPr>
        <w:t>C</w:t>
      </w:r>
      <w:r w:rsidR="00552293" w:rsidRPr="00552293">
        <w:t xml:space="preserve"> не превышают 0%, измерения могут быть прекращены.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3.2</w:t>
      </w:r>
      <w:r w:rsidRPr="00552293">
        <w:tab/>
      </w:r>
      <w:r w:rsidR="008876F7">
        <w:tab/>
      </w:r>
      <w:r w:rsidRPr="00552293">
        <w:t>Соответствие производства серийных стояночных фонарей не считается доказанным, если отклонения измеренных значений, по крайней мере,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3.2.1</w:t>
      </w:r>
      <w:r w:rsidRPr="00552293">
        <w:tab/>
      </w:r>
      <w:r w:rsidR="008876F7">
        <w:tab/>
      </w:r>
      <w:r w:rsidRPr="00552293">
        <w:t xml:space="preserve">на одном образце из выборки </w:t>
      </w:r>
      <w:r w:rsidRPr="00552293">
        <w:rPr>
          <w:lang w:val="en-US"/>
        </w:rPr>
        <w:t>C</w:t>
      </w:r>
      <w:r w:rsidRPr="00552293">
        <w:t xml:space="preserve"> или </w:t>
      </w:r>
      <w:r w:rsidRPr="00552293">
        <w:rPr>
          <w:lang w:val="en-US"/>
        </w:rPr>
        <w:t>D</w:t>
      </w:r>
      <w:r w:rsidRPr="00552293">
        <w:t xml:space="preserve"> превышают 20%, причем отклонения измеренных значений на всех образцах из этих выборок не должны превышать 30%;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>изготовителю в таком случае предлагается вновь обеспечить соответствие производства предъявляемым требованиям (привести его в соответствие с этими требованиями);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второй из повторных отборов образцов согласно пункту 4 ниже проводится в течение двух месяцев после уведомления. Выборки </w:t>
      </w:r>
      <w:r w:rsidR="00552293" w:rsidRPr="00552293">
        <w:rPr>
          <w:lang w:val="en-US"/>
        </w:rPr>
        <w:t>C</w:t>
      </w:r>
      <w:r w:rsidR="00552293" w:rsidRPr="00552293">
        <w:t xml:space="preserve"> и </w:t>
      </w:r>
      <w:r w:rsidR="00552293" w:rsidRPr="00552293">
        <w:rPr>
          <w:lang w:val="en-US"/>
        </w:rPr>
        <w:t>D</w:t>
      </w:r>
      <w:r w:rsidR="00552293" w:rsidRPr="00552293">
        <w:t xml:space="preserve"> хранятся в технической службе до завершения всего процесса обеспечения соответствия производства; </w:t>
      </w:r>
    </w:p>
    <w:p w:rsidR="00552293" w:rsidRPr="00552293" w:rsidRDefault="00552293" w:rsidP="008876F7">
      <w:pPr>
        <w:pStyle w:val="SingleTxtGR"/>
        <w:ind w:left="2268" w:hanging="1134"/>
      </w:pPr>
      <w:r w:rsidRPr="00552293">
        <w:t>3.2.2</w:t>
      </w:r>
      <w:r w:rsidRPr="00552293">
        <w:tab/>
      </w:r>
      <w:r w:rsidR="008876F7">
        <w:tab/>
      </w:r>
      <w:r w:rsidRPr="00552293">
        <w:t xml:space="preserve">на одном образце из выборок </w:t>
      </w:r>
      <w:r w:rsidRPr="00552293">
        <w:rPr>
          <w:lang w:val="en-US"/>
        </w:rPr>
        <w:t>C</w:t>
      </w:r>
      <w:r w:rsidRPr="00552293">
        <w:t xml:space="preserve"> и </w:t>
      </w:r>
      <w:r w:rsidRPr="00552293">
        <w:rPr>
          <w:lang w:val="en-US"/>
        </w:rPr>
        <w:t>D</w:t>
      </w:r>
      <w:r w:rsidRPr="00552293">
        <w:t xml:space="preserve"> превышают 30%.</w:t>
      </w:r>
    </w:p>
    <w:p w:rsidR="00552293" w:rsidRPr="00552293" w:rsidRDefault="008876F7" w:rsidP="008876F7">
      <w:pPr>
        <w:pStyle w:val="SingleTxtGR"/>
        <w:ind w:left="2268" w:hanging="1134"/>
      </w:pPr>
      <w:r>
        <w:tab/>
      </w:r>
      <w:r>
        <w:tab/>
      </w:r>
      <w:r w:rsidR="00552293" w:rsidRPr="00552293">
        <w:t>В таком случае официальное утверждение отменяется и применяются положения пункта 5 ниже.</w:t>
      </w:r>
    </w:p>
    <w:p w:rsidR="00552293" w:rsidRPr="00552293" w:rsidRDefault="00552293" w:rsidP="008B4AEA">
      <w:pPr>
        <w:pStyle w:val="SingleTxtGR"/>
        <w:ind w:left="2268" w:hanging="1134"/>
      </w:pPr>
      <w:r w:rsidRPr="00552293">
        <w:t>4.</w:t>
      </w:r>
      <w:r w:rsidRPr="00552293">
        <w:tab/>
      </w:r>
      <w:r w:rsidRPr="00552293">
        <w:tab/>
        <w:t>Второй из повторных отборов образцов</w:t>
      </w:r>
    </w:p>
    <w:p w:rsidR="00552293" w:rsidRPr="00552293" w:rsidRDefault="008B4AEA" w:rsidP="008B4AEA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фонарей. </w:t>
      </w:r>
    </w:p>
    <w:p w:rsidR="00552293" w:rsidRPr="00552293" w:rsidRDefault="008B4AEA" w:rsidP="00A15666">
      <w:pPr>
        <w:pStyle w:val="SingleTxtGR"/>
        <w:ind w:left="2268" w:hanging="1134"/>
      </w:pPr>
      <w:r>
        <w:tab/>
      </w:r>
      <w:r>
        <w:tab/>
      </w:r>
      <w:r w:rsidR="00552293" w:rsidRPr="00552293">
        <w:t>Первая выборка, состоящая из двух фонарей, обозначается буквой</w:t>
      </w:r>
      <w:r w:rsidR="00A15666">
        <w:rPr>
          <w:lang w:val="en-US"/>
        </w:rPr>
        <w:t> </w:t>
      </w:r>
      <w:r w:rsidR="00552293" w:rsidRPr="00552293">
        <w:rPr>
          <w:lang w:val="en-US"/>
        </w:rPr>
        <w:t>E</w:t>
      </w:r>
      <w:r w:rsidR="00552293" w:rsidRPr="00552293">
        <w:t>, а вторая выборка, состоящая из двух фонарей, − буквой</w:t>
      </w:r>
      <w:r w:rsidR="00A15666">
        <w:rPr>
          <w:lang w:val="en-US"/>
        </w:rPr>
        <w:t> </w:t>
      </w:r>
      <w:r w:rsidR="00552293" w:rsidRPr="00552293">
        <w:rPr>
          <w:lang w:val="en-US"/>
        </w:rPr>
        <w:t>F</w:t>
      </w:r>
      <w:r w:rsidR="00552293" w:rsidRPr="00552293">
        <w:t>.</w:t>
      </w:r>
    </w:p>
    <w:p w:rsidR="00552293" w:rsidRPr="00552293" w:rsidRDefault="00552293" w:rsidP="008B4AEA">
      <w:pPr>
        <w:pStyle w:val="SingleTxtGR"/>
        <w:ind w:left="2268" w:hanging="1134"/>
      </w:pPr>
      <w:r w:rsidRPr="00552293">
        <w:t>4.1</w:t>
      </w:r>
      <w:r w:rsidRPr="00552293">
        <w:tab/>
      </w:r>
      <w:r w:rsidR="008B4AEA">
        <w:tab/>
      </w:r>
      <w:r w:rsidRPr="00552293">
        <w:t xml:space="preserve">Соответствие производства серийных стояночных фонарей считается доказанным, если отклонения измеренных значений на любом из образцов из выборок </w:t>
      </w:r>
      <w:r w:rsidRPr="00552293">
        <w:rPr>
          <w:lang w:val="en-US"/>
        </w:rPr>
        <w:t>E</w:t>
      </w:r>
      <w:r w:rsidRPr="00552293">
        <w:t xml:space="preserve"> и </w:t>
      </w:r>
      <w:r w:rsidRPr="00552293">
        <w:rPr>
          <w:lang w:val="en-US"/>
        </w:rPr>
        <w:t>F</w:t>
      </w:r>
      <w:r w:rsidRPr="00552293">
        <w:t xml:space="preserve"> (на всех четырех фонарях) не</w:t>
      </w:r>
      <w:r w:rsidR="003A7811" w:rsidRPr="003A7811">
        <w:t xml:space="preserve"> </w:t>
      </w:r>
      <w:r w:rsidRPr="00552293">
        <w:t>превышают 20%.</w:t>
      </w:r>
    </w:p>
    <w:p w:rsidR="00552293" w:rsidRPr="00552293" w:rsidRDefault="008B4AEA" w:rsidP="008B4AEA">
      <w:pPr>
        <w:pStyle w:val="SingleTxtGR"/>
        <w:ind w:left="2268" w:hanging="1134"/>
      </w:pPr>
      <w:r>
        <w:tab/>
      </w:r>
      <w:r>
        <w:tab/>
      </w:r>
      <w:r w:rsidR="00552293" w:rsidRPr="00552293">
        <w:t xml:space="preserve">В том случае, если отклонения измеренных значений на обоих фонарях из выборки </w:t>
      </w:r>
      <w:r w:rsidR="00552293" w:rsidRPr="00552293">
        <w:rPr>
          <w:lang w:val="en-US"/>
        </w:rPr>
        <w:t>E</w:t>
      </w:r>
      <w:r w:rsidR="00552293" w:rsidRPr="00552293">
        <w:t xml:space="preserve"> не превышают 0%, измерения могут быть прекращены.</w:t>
      </w:r>
    </w:p>
    <w:p w:rsidR="00552293" w:rsidRPr="00552293" w:rsidRDefault="00552293" w:rsidP="008B4AEA">
      <w:pPr>
        <w:pStyle w:val="SingleTxtGR"/>
        <w:ind w:left="2268" w:hanging="1134"/>
      </w:pPr>
      <w:r w:rsidRPr="00552293">
        <w:t>4.2</w:t>
      </w:r>
      <w:r w:rsidRPr="00552293">
        <w:tab/>
      </w:r>
      <w:r w:rsidRPr="00552293">
        <w:tab/>
        <w:t xml:space="preserve">Соответствие производства серийных стояночных фонарей не считается доказанным, если отклонения измеренных значений, по крайней мере, на одном образце из выборки </w:t>
      </w:r>
      <w:r w:rsidRPr="00552293">
        <w:rPr>
          <w:lang w:val="en-US"/>
        </w:rPr>
        <w:t>E</w:t>
      </w:r>
      <w:r w:rsidRPr="00552293">
        <w:t xml:space="preserve"> или </w:t>
      </w:r>
      <w:r w:rsidRPr="00552293">
        <w:rPr>
          <w:lang w:val="en-US"/>
        </w:rPr>
        <w:t>F</w:t>
      </w:r>
      <w:r w:rsidR="00053157">
        <w:t xml:space="preserve"> превышают </w:t>
      </w:r>
      <w:r w:rsidRPr="00552293">
        <w:t>20%.</w:t>
      </w:r>
    </w:p>
    <w:p w:rsidR="00552293" w:rsidRPr="00552293" w:rsidRDefault="008B4AEA" w:rsidP="008B4AEA">
      <w:pPr>
        <w:pStyle w:val="SingleTxtGR"/>
        <w:ind w:left="2268" w:hanging="1134"/>
      </w:pPr>
      <w:r>
        <w:tab/>
      </w:r>
      <w:r>
        <w:tab/>
      </w:r>
      <w:r w:rsidR="00552293" w:rsidRPr="00552293">
        <w:t>В таком случае официальное утверждение отменяется и применяются положения пункта 5 ниже.</w:t>
      </w:r>
    </w:p>
    <w:p w:rsidR="00552293" w:rsidRPr="00552293" w:rsidRDefault="00552293" w:rsidP="008B4AEA">
      <w:pPr>
        <w:pStyle w:val="SingleTxtGR"/>
        <w:ind w:left="2268" w:hanging="1134"/>
      </w:pPr>
      <w:r w:rsidRPr="00552293">
        <w:t>5.</w:t>
      </w:r>
      <w:r w:rsidRPr="00552293">
        <w:tab/>
      </w:r>
      <w:r w:rsidR="008B4AEA">
        <w:tab/>
      </w:r>
      <w:r w:rsidRPr="00552293">
        <w:t>Отмена официального утверждения</w:t>
      </w:r>
    </w:p>
    <w:p w:rsidR="00552293" w:rsidRPr="00552293" w:rsidRDefault="00552293" w:rsidP="008B4AEA">
      <w:pPr>
        <w:pStyle w:val="SingleTxtGR"/>
        <w:ind w:left="2268" w:hanging="1134"/>
      </w:pPr>
      <w:r w:rsidRPr="00552293">
        <w:tab/>
      </w:r>
      <w:r w:rsidRPr="00552293">
        <w:tab/>
        <w:t>Официальное утверждение отменяется на основании пункта 13 настоящих Правил</w:t>
      </w:r>
      <w:r w:rsidR="00CA5DBF">
        <w:t>»</w:t>
      </w:r>
      <w:r w:rsidR="008B4AEA">
        <w:t>.</w:t>
      </w:r>
    </w:p>
    <w:p w:rsidR="00A658DB" w:rsidRDefault="00552293" w:rsidP="00552293">
      <w:pPr>
        <w:pStyle w:val="SingleTxtGR"/>
      </w:pPr>
      <w:r w:rsidRPr="00552293">
        <w:rPr>
          <w:i/>
        </w:rPr>
        <w:t>Рис. 1</w:t>
      </w:r>
      <w:r w:rsidRPr="00552293">
        <w:t xml:space="preserve"> исключить.</w:t>
      </w:r>
    </w:p>
    <w:p w:rsidR="008B4AEA" w:rsidRPr="004761F4" w:rsidRDefault="004761F4" w:rsidP="004761F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4AEA" w:rsidRPr="004761F4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8B" w:rsidRDefault="00B3638B" w:rsidP="00B471C5">
      <w:r>
        <w:separator/>
      </w:r>
    </w:p>
  </w:endnote>
  <w:endnote w:type="continuationSeparator" w:id="0">
    <w:p w:rsidR="00B3638B" w:rsidRDefault="00B3638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B" w:rsidRPr="009A6F4A" w:rsidRDefault="00B3638B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F2D8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GE.16-22399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B" w:rsidRPr="009A6F4A" w:rsidRDefault="00B3638B" w:rsidP="007005EE">
    <w:pPr>
      <w:pStyle w:val="Footer"/>
      <w:rPr>
        <w:lang w:val="en-US"/>
      </w:rPr>
    </w:pPr>
    <w:r>
      <w:rPr>
        <w:lang w:val="en-US"/>
      </w:rPr>
      <w:t>GE.16-22399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F2D8D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3638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3638B" w:rsidRPr="001C3ABC" w:rsidRDefault="00B3638B" w:rsidP="00B3638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22399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211216  221216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3638B" w:rsidRDefault="00B3638B" w:rsidP="00B3638B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3638B" w:rsidRDefault="004761F4" w:rsidP="00B3638B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3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638B" w:rsidRPr="00797A78" w:rsidTr="00B3638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3638B" w:rsidRPr="00B469A2" w:rsidRDefault="00B3638B" w:rsidP="00B3638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469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3638B" w:rsidRDefault="00B3638B" w:rsidP="00B3638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3638B" w:rsidRDefault="00B3638B" w:rsidP="00B3638B"/>
      </w:tc>
    </w:tr>
  </w:tbl>
  <w:p w:rsidR="00B3638B" w:rsidRPr="007005EE" w:rsidRDefault="00B3638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8B" w:rsidRPr="009141DC" w:rsidRDefault="00B3638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3638B" w:rsidRPr="00D1261C" w:rsidRDefault="00B3638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3638B" w:rsidRPr="00AF3235" w:rsidRDefault="00B3638B" w:rsidP="00552293">
      <w:pPr>
        <w:pStyle w:val="FootnoteText"/>
        <w:rPr>
          <w:sz w:val="20"/>
          <w:lang w:val="ru-RU"/>
        </w:rPr>
      </w:pPr>
      <w:r>
        <w:tab/>
      </w:r>
      <w:r w:rsidRPr="009C0C70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B" w:rsidRPr="007005EE" w:rsidRDefault="00B3638B">
    <w:pPr>
      <w:pStyle w:val="Header"/>
      <w:rPr>
        <w:lang w:val="en-US"/>
      </w:rPr>
    </w:pPr>
    <w:r>
      <w:rPr>
        <w:lang w:val="en-US"/>
      </w:rPr>
      <w:t>ECE/TRANS/WP.29/2017/32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8B" w:rsidRPr="004D639B" w:rsidRDefault="00B3638B" w:rsidP="009C0C70">
    <w:pPr>
      <w:pStyle w:val="Header"/>
      <w:jc w:val="right"/>
      <w:rPr>
        <w:lang w:val="en-US"/>
      </w:rPr>
    </w:pPr>
    <w:r>
      <w:rPr>
        <w:lang w:val="en-US"/>
      </w:rPr>
      <w:t>ECE/TRANS/WP.29/2017/32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A2"/>
    <w:rsid w:val="00041C49"/>
    <w:rsid w:val="000450D1"/>
    <w:rsid w:val="00053157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8058E"/>
    <w:rsid w:val="003A7811"/>
    <w:rsid w:val="003D7827"/>
    <w:rsid w:val="004761F4"/>
    <w:rsid w:val="0048005C"/>
    <w:rsid w:val="004D639B"/>
    <w:rsid w:val="004E242B"/>
    <w:rsid w:val="00544379"/>
    <w:rsid w:val="00550D47"/>
    <w:rsid w:val="00552293"/>
    <w:rsid w:val="00566944"/>
    <w:rsid w:val="005D56BF"/>
    <w:rsid w:val="0061532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1939"/>
    <w:rsid w:val="007C0317"/>
    <w:rsid w:val="007C5E23"/>
    <w:rsid w:val="007D76DD"/>
    <w:rsid w:val="007F26DC"/>
    <w:rsid w:val="008717E8"/>
    <w:rsid w:val="00872979"/>
    <w:rsid w:val="008876F7"/>
    <w:rsid w:val="008B4AEA"/>
    <w:rsid w:val="008C4B57"/>
    <w:rsid w:val="008D01AE"/>
    <w:rsid w:val="008D4589"/>
    <w:rsid w:val="008E0423"/>
    <w:rsid w:val="009141DC"/>
    <w:rsid w:val="009174A1"/>
    <w:rsid w:val="0098674D"/>
    <w:rsid w:val="00997ACA"/>
    <w:rsid w:val="009C0C70"/>
    <w:rsid w:val="00A03FB7"/>
    <w:rsid w:val="00A05535"/>
    <w:rsid w:val="00A06A0D"/>
    <w:rsid w:val="00A15666"/>
    <w:rsid w:val="00A55C56"/>
    <w:rsid w:val="00A658DB"/>
    <w:rsid w:val="00A66773"/>
    <w:rsid w:val="00A75A11"/>
    <w:rsid w:val="00A90D8E"/>
    <w:rsid w:val="00A9606E"/>
    <w:rsid w:val="00AD7EAD"/>
    <w:rsid w:val="00B35A32"/>
    <w:rsid w:val="00B3638B"/>
    <w:rsid w:val="00B432C6"/>
    <w:rsid w:val="00B469A2"/>
    <w:rsid w:val="00B471C5"/>
    <w:rsid w:val="00B6474A"/>
    <w:rsid w:val="00B64A82"/>
    <w:rsid w:val="00BE1742"/>
    <w:rsid w:val="00BF2D8D"/>
    <w:rsid w:val="00C01D7A"/>
    <w:rsid w:val="00CA5DBF"/>
    <w:rsid w:val="00D015D2"/>
    <w:rsid w:val="00D1261C"/>
    <w:rsid w:val="00D26030"/>
    <w:rsid w:val="00D33B0A"/>
    <w:rsid w:val="00D75DCE"/>
    <w:rsid w:val="00DA205B"/>
    <w:rsid w:val="00DD35AC"/>
    <w:rsid w:val="00DD479F"/>
    <w:rsid w:val="00E15E48"/>
    <w:rsid w:val="00EB0723"/>
    <w:rsid w:val="00EB2957"/>
    <w:rsid w:val="00EE6F37"/>
    <w:rsid w:val="00F1599F"/>
    <w:rsid w:val="00F31EF2"/>
    <w:rsid w:val="00F41669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B6E625-D5BF-42D0-9E95-2CEEF866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A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9887-FDCE-4AFC-AA8D-B771DA7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cp:lastPrinted>2016-12-22T09:48:00Z</cp:lastPrinted>
  <dcterms:created xsi:type="dcterms:W3CDTF">2017-01-18T10:47:00Z</dcterms:created>
  <dcterms:modified xsi:type="dcterms:W3CDTF">2017-01-18T10:47:00Z</dcterms:modified>
</cp:coreProperties>
</file>